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spacing w:val="0"/>
          <w:position w:val="0"/>
          <w:sz w:val="32"/>
          <w:szCs w:val="32"/>
        </w:rPr>
      </w:pPr>
      <w:r>
        <w:rPr>
          <w:rFonts w:hint="eastAsia" w:ascii="仿宋" w:hAnsi="仿宋" w:eastAsia="仿宋" w:cs="仿宋"/>
          <w:spacing w:val="0"/>
          <w:position w:val="0"/>
          <w:sz w:val="32"/>
          <w:szCs w:val="32"/>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b/>
          <w:bCs/>
          <w:spacing w:val="0"/>
          <w:position w:val="0"/>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1、提供合格有效的法人或者其 他组织的营业执照等证明文件，自然人的身份证明；供应商是法人或其他组织的应提供营业执照等证明文件，供应商是自然人的应提供有效的自然人身份证明。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2、提供2022年度经审计的财务报告 (包括“四表一注”即 《资产负债表》《利润表》《现金流量表》《所有者权益变动表》及其附注；或基本存款账户开户银行出具的资信证明及基本存款账户开户许可证 (基本账户信息)；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3、提供投标截止日前一年内已缴纳的至少一个月的纳税证明或完税证明，依法免税的单位应提供相关证明材料；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4、提供投标截止日前一年内 已缴存的至少一个月的社会保障资金缴存单据或社保机构开具的社会保险参保缴费情况证明，依法不需要缴纳社会保障资金的单位应提供  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5、提供具有履行合同所必需的 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6、参加政府采购 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b/>
          <w:bCs/>
          <w:spacing w:val="0"/>
          <w:position w:val="0"/>
          <w:szCs w:val="24"/>
          <w:highlight w:val="none"/>
          <w:lang w:val="en-US" w:eastAsia="zh-CN"/>
        </w:rPr>
        <w:t>（二）落实政府采购政策需满足的资格要求：</w:t>
      </w:r>
      <w:r>
        <w:rPr>
          <w:rFonts w:hint="eastAsia" w:ascii="仿宋" w:hAnsi="仿宋" w:eastAsia="仿宋" w:cs="仿宋"/>
          <w:spacing w:val="0"/>
          <w:position w:val="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b/>
          <w:bCs/>
          <w:spacing w:val="0"/>
          <w:position w:val="0"/>
          <w:szCs w:val="24"/>
          <w:highlight w:val="none"/>
          <w:lang w:val="en-US" w:eastAsia="zh-CN"/>
        </w:rPr>
      </w:pPr>
      <w:r>
        <w:rPr>
          <w:rFonts w:hint="eastAsia" w:ascii="仿宋" w:hAnsi="仿宋" w:eastAsia="仿宋" w:cs="仿宋"/>
          <w:b/>
          <w:bCs/>
          <w:spacing w:val="0"/>
          <w:position w:val="0"/>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pacing w:val="0"/>
          <w:position w:val="0"/>
          <w:szCs w:val="24"/>
          <w:highlight w:val="none"/>
          <w:lang w:val="en-US" w:eastAsia="zh-CN"/>
        </w:rPr>
      </w:pPr>
      <w:bookmarkStart w:id="0" w:name="_GoBack"/>
      <w:r>
        <w:rPr>
          <w:rFonts w:hint="eastAsia" w:ascii="仿宋" w:hAnsi="仿宋" w:eastAsia="仿宋" w:cs="仿宋"/>
          <w:spacing w:val="0"/>
          <w:position w:val="0"/>
          <w:szCs w:val="24"/>
          <w:highlight w:val="none"/>
          <w:lang w:val="en-US" w:eastAsia="zh-CN"/>
        </w:rPr>
        <w:t>1、法定代表人授权书 (附法定代表人、被授权人身份证复印件) ； 法定代表人直接参加投标，须提供法定代表人身份证明；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2、供应商为代理商应提供《医疗器械经营许可证》或《医疗器械经营备案凭证》及制造商的《医疗器械生产许可证》；供应商为制造商应提供《医疗器械生产许可证》；所投产品属于医疗器械管理的提供医疗器械注册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ascii="仿宋" w:hAnsi="仿宋" w:eastAsia="仿宋" w:cs="仿宋"/>
          <w:spacing w:val="0"/>
          <w:position w:val="0"/>
          <w:szCs w:val="24"/>
          <w:highlight w:val="none"/>
          <w:lang w:val="en-US" w:eastAsia="zh-CN"/>
        </w:rPr>
      </w:pPr>
      <w:r>
        <w:rPr>
          <w:rFonts w:hint="eastAsia" w:ascii="仿宋" w:hAnsi="仿宋" w:eastAsia="仿宋" w:cs="仿宋"/>
          <w:spacing w:val="0"/>
          <w:position w:val="0"/>
          <w:szCs w:val="24"/>
          <w:highlight w:val="none"/>
          <w:lang w:val="en-US" w:eastAsia="zh-CN"/>
        </w:rPr>
        <w:t>3、投标保证金缴纳凭证或投标担保函；</w:t>
      </w:r>
    </w:p>
    <w:p>
      <w:pPr>
        <w:keepNext w:val="0"/>
        <w:keepLines w:val="0"/>
        <w:pageBreakBefore w:val="0"/>
        <w:wordWrap/>
        <w:overflowPunct/>
        <w:topLinePunct w:val="0"/>
        <w:bidi w:val="0"/>
        <w:spacing w:line="360" w:lineRule="auto"/>
      </w:pPr>
      <w:r>
        <w:rPr>
          <w:rFonts w:hint="eastAsia" w:ascii="仿宋" w:hAnsi="仿宋" w:eastAsia="仿宋" w:cs="仿宋"/>
          <w:spacing w:val="0"/>
          <w:position w:val="0"/>
          <w:szCs w:val="24"/>
          <w:highlight w:val="none"/>
          <w:lang w:val="en-US" w:eastAsia="zh-CN"/>
        </w:rPr>
        <w:t>4、供应商未被“信用中国”网站 (https://www.creditchina.gov.cn/) 列入失信被执行人和重大税收违法 失信主体，未被中国政府采购网 (http://www.ccgp.gov.cn/) 列入政府采购严重违法失信行为记录名单。</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56570E3D"/>
    <w:rsid w:val="48AD0A60"/>
    <w:rsid w:val="5657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4">
    <w:name w:val="Body Text"/>
    <w:basedOn w:val="1"/>
    <w:autoRedefine/>
    <w:uiPriority w:val="0"/>
    <w:pPr>
      <w:spacing w:after="120" w:afterLines="0" w:afterAutospacing="0"/>
    </w:pPr>
  </w:style>
  <w:style w:type="paragraph" w:styleId="5">
    <w:name w:val="Body Text First Indent"/>
    <w:basedOn w:val="4"/>
    <w:autoRedefine/>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2024-03-06T01:41:00Z</dcterms:created>
  <dc:creator>1</dc:creator>
  <cp:lastModifiedBy>1</cp:lastModifiedBy>
  <dcterms:modified xsi:type="dcterms:W3CDTF">2024-03-06T01:41:34Z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AEAFC69AA2DB4FAAB8D55EB08902C00D_11</vt:lpwstr>
  </property>
</Properties>
</file>