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警用数字集群通信设备采购项目</w:t>
      </w:r>
    </w:p>
    <w:p>
      <w:pPr>
        <w:pStyle w:val="null3"/>
        <w:jc w:val="center"/>
        <w:outlineLvl w:val="5"/>
      </w:pPr>
      <w:r>
        <w:rPr>
          <w:b/>
          <w:sz w:val="15"/>
        </w:rPr>
        <w:t xml:space="preserve">项目编号: </w:t>
      </w:r>
      <w:r>
        <w:rPr>
          <w:b/>
          <w:sz w:val="15"/>
        </w:rPr>
        <w:t>DQB-2024004-US</w:t>
      </w:r>
      <w:r>
        <w:br/>
      </w:r>
      <w:r>
        <w:br/>
      </w:r>
      <w:r>
        <w:br/>
      </w:r>
      <w:r>
        <w:br/>
      </w:r>
      <w:r>
        <w:br/>
      </w:r>
    </w:p>
    <w:p>
      <w:pPr>
        <w:pStyle w:val="null3"/>
        <w:jc w:val="center"/>
        <w:outlineLvl w:val="5"/>
      </w:pPr>
      <w:r>
        <w:rPr>
          <w:b/>
          <w:sz w:val="15"/>
        </w:rPr>
        <w:t>陕西省公安厅机场公安局</w:t>
      </w:r>
    </w:p>
    <w:p>
      <w:pPr>
        <w:pStyle w:val="null3"/>
        <w:jc w:val="center"/>
        <w:outlineLvl w:val="5"/>
      </w:pPr>
      <w:r>
        <w:rPr>
          <w:b/>
          <w:sz w:val="15"/>
        </w:rPr>
        <w:t>陕西德勤招标有限公司</w:t>
      </w:r>
      <w:r>
        <w:rPr>
          <w:b/>
          <w:sz w:val="15"/>
        </w:rPr>
        <w:t>共同编制</w:t>
      </w:r>
    </w:p>
    <w:p>
      <w:pPr>
        <w:pStyle w:val="null3"/>
        <w:jc w:val="center"/>
        <w:outlineLvl w:val="5"/>
      </w:pPr>
      <w:r>
        <w:rPr>
          <w:b/>
          <w:sz w:val="15"/>
        </w:rPr>
        <w:t>2024年03月11日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陕西德勤招标有限公司</w:t>
      </w:r>
      <w:r>
        <w:rPr/>
        <w:t>（以下简称“代理机构”）受</w:t>
      </w:r>
      <w:r>
        <w:rPr/>
        <w:t>陕西省公安厅机场公安局</w:t>
      </w:r>
      <w:r>
        <w:rPr/>
        <w:t>委托，拟对</w:t>
      </w:r>
      <w:r>
        <w:rPr/>
        <w:t>警用数字集群通信设备采购项目</w:t>
      </w:r>
      <w:r>
        <w:rPr/>
        <w:t>采用单一来源方式进行采购，现邀请贵公司参加该项目的协商。</w:t>
      </w:r>
    </w:p>
    <w:p>
      <w:pPr>
        <w:pStyle w:val="null3"/>
        <w:outlineLvl w:val="2"/>
      </w:pPr>
      <w:r>
        <w:rPr>
          <w:b/>
          <w:sz w:val="28"/>
        </w:rPr>
        <w:t>一、采购项目编号：</w:t>
      </w:r>
      <w:r>
        <w:rPr>
          <w:b/>
          <w:sz w:val="28"/>
        </w:rPr>
        <w:t>DQB-2024004-US</w:t>
      </w:r>
    </w:p>
    <w:p>
      <w:pPr>
        <w:pStyle w:val="null3"/>
        <w:outlineLvl w:val="2"/>
      </w:pPr>
      <w:r>
        <w:rPr>
          <w:b/>
          <w:sz w:val="28"/>
        </w:rPr>
        <w:t>二、采购项目名称：</w:t>
      </w:r>
      <w:r>
        <w:rPr>
          <w:b/>
          <w:sz w:val="28"/>
        </w:rPr>
        <w:t>警用数字集群通信设备采购项目</w:t>
      </w:r>
    </w:p>
    <w:p>
      <w:pPr>
        <w:pStyle w:val="null3"/>
        <w:outlineLvl w:val="2"/>
      </w:pPr>
      <w:r>
        <w:rPr>
          <w:b/>
          <w:sz w:val="28"/>
        </w:rPr>
        <w:t>三、协商项目简介：</w:t>
      </w:r>
    </w:p>
    <w:p>
      <w:pPr>
        <w:pStyle w:val="null3"/>
        <w:ind w:firstLine="480"/>
      </w:pPr>
      <w:r>
        <w:rPr/>
        <w:t>根据陕西省公安厅对全省民警终端配备率要求，保证无线通信的信息安全及实战需求，陕西省公安厅机场公安局拟采购警用数字集群通讯设备，262套。</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采购包1（警用数字集群通信设备采购项目）：属于专门面向中小企业采购。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2022年度或2023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t>3、社保缴纳证明：提供递交响应文件截止之日前一年内任意一个月的社会保障资金缴存单据或社保机构开具的社会保险参保缴费情况证明。依法不需要缴纳社会保障资金的供应商应提供相关文件证明。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4、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法定代表人授权委托书：法定代表人参加响应的，须提供本人身份证复印件；法定代表人授权他人参加响应的，须提供法定代表人授权委托书。采购文件中凡是需要法定代表人盖章之处，非法人单位的负责人均参照执行。法人的分支机构参与响应时，除提供《法定代表人授权委托书》外，还须同时提供法人给分支机构出具的授权书。</w:t>
      </w:r>
    </w:p>
    <w:p>
      <w:pPr>
        <w:pStyle w:val="null3"/>
      </w:pPr>
      <w:r>
        <w:rPr/>
        <w:t>8、本项目不接受联合体响应，不允许分包：供应商应提供《非联合体不分包响应声明》，视为独立响应，不分包。</w:t>
      </w:r>
    </w:p>
    <w:p>
      <w:pPr>
        <w:pStyle w:val="null3"/>
      </w:pPr>
      <w:r>
        <w:rPr/>
        <w:t>9、书面声明：提供书面声明，包括声明具有履行合同所必需的设备和专业技术能力；未为本项目提供整体设计、规范编制或者项目管理、监理、检测等服务。</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陕西省公安厅机场公安局</w:t>
      </w:r>
    </w:p>
    <w:p>
      <w:pPr>
        <w:pStyle w:val="null3"/>
      </w:pPr>
      <w:r>
        <w:rPr/>
        <w:t xml:space="preserve"> 地址： </w:t>
      </w:r>
      <w:r>
        <w:rPr/>
        <w:t>陕西省咸阳市渭城区空港东一路</w:t>
      </w:r>
    </w:p>
    <w:p>
      <w:pPr>
        <w:pStyle w:val="null3"/>
      </w:pPr>
      <w:r>
        <w:rPr/>
        <w:t xml:space="preserve"> 邮编： </w:t>
      </w:r>
      <w:r>
        <w:rPr/>
        <w:t>/</w:t>
      </w:r>
    </w:p>
    <w:p>
      <w:pPr>
        <w:pStyle w:val="null3"/>
      </w:pPr>
      <w:r>
        <w:rPr/>
        <w:t xml:space="preserve"> 联系人： </w:t>
      </w:r>
      <w:r>
        <w:rPr/>
        <w:t>陕西省公安厅机场公安局经办</w:t>
      </w:r>
    </w:p>
    <w:p>
      <w:pPr>
        <w:pStyle w:val="null3"/>
      </w:pPr>
      <w:r>
        <w:rPr/>
        <w:t xml:space="preserve"> 联系电话： </w:t>
      </w:r>
      <w:r>
        <w:rPr/>
        <w:t>029-88796217</w:t>
      </w:r>
    </w:p>
    <w:p>
      <w:pPr>
        <w:pStyle w:val="null3"/>
        <w:outlineLvl w:val="2"/>
      </w:pPr>
      <w:r>
        <w:rPr>
          <w:b/>
          <w:sz w:val="28"/>
        </w:rPr>
        <w:t>代理机构：</w:t>
      </w:r>
      <w:r>
        <w:rPr>
          <w:b/>
          <w:sz w:val="28"/>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李浩、罗宇</w:t>
      </w:r>
    </w:p>
    <w:p>
      <w:pPr>
        <w:pStyle w:val="null3"/>
      </w:pPr>
      <w:r>
        <w:rPr/>
        <w:t xml:space="preserve"> 联系电话： </w:t>
      </w:r>
      <w:r>
        <w:rPr/>
        <w:t>029-81169855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采购包1：995,600.00元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采购包1：995,600.00元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采购包1保证金金额：19,000.00元</w:t>
            </w:r>
          </w:p>
          <w:p>
            <w:pPr>
              <w:pStyle w:val="null3"/>
            </w:pPr>
            <w:r>
              <w:rPr/>
              <w:t>缴交渠道：转账、支票、汇票等（需通过实体账户、户名及开户行信息）,电子保函</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代理服务费收费标准：按国家计委颁发的《招标代理服务收费管理暂行办法》（计价格[2002]1980号）的标准收取。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陕西省公安厅机场公安局</w:t>
      </w:r>
      <w:r>
        <w:rPr/>
        <w:t>和</w:t>
      </w:r>
      <w:r>
        <w:rPr/>
        <w:t>陕西德勤招标有限公司</w:t>
      </w:r>
      <w:r>
        <w:rPr/>
        <w:t>享有。对采购文件中供应商参加本次政府采购活动应当具备的条件、项目技术、服务、商务及其他要求，评审标准由采购人负责解释。除上述采购文件内容，其他内容由</w:t>
      </w:r>
      <w:r>
        <w:rPr/>
        <w:t>陕西德勤招标有限公司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陕西省公安厅机场公安局</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陕西德勤招标有限公司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详见采购文件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警用数字集群通讯设备采购项目</w:t>
      </w:r>
    </w:p>
    <w:p>
      <w:pPr>
        <w:pStyle w:val="null3"/>
        <w:outlineLvl w:val="2"/>
      </w:pPr>
      <w:r>
        <w:rPr>
          <w:b/>
          <w:sz w:val="28"/>
        </w:rPr>
        <w:t>3.2采购内容</w:t>
      </w:r>
    </w:p>
    <w:p>
      <w:pPr>
        <w:pStyle w:val="null3"/>
      </w:pPr>
      <w:r>
        <w:rPr/>
        <w:t>采购包1：</w:t>
      </w:r>
    </w:p>
    <w:p>
      <w:pPr>
        <w:pStyle w:val="null3"/>
      </w:pPr>
      <w:r>
        <w:rPr/>
        <w:t>采购包预算金额（元）: 995,600.00</w:t>
      </w:r>
    </w:p>
    <w:p>
      <w:pPr>
        <w:pStyle w:val="null3"/>
      </w:pPr>
      <w:r>
        <w:rPr/>
        <w:t>采购包最高限价（元）: 995,600.00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数字集群设备</w:t>
            </w:r>
          </w:p>
        </w:tc>
        <w:tc>
          <w:tcPr>
            <w:tcW w:type="dxa" w:w="831"/>
          </w:tcPr>
          <w:p>
            <w:pPr>
              <w:pStyle w:val="null3"/>
              <w:jc w:val="right"/>
            </w:pPr>
            <w:r>
              <w:rPr/>
              <w:t>1.00</w:t>
            </w:r>
          </w:p>
        </w:tc>
        <w:tc>
          <w:tcPr>
            <w:tcW w:type="dxa" w:w="831"/>
          </w:tcPr>
          <w:p>
            <w:pPr>
              <w:pStyle w:val="null3"/>
              <w:jc w:val="right"/>
            </w:pPr>
            <w:r>
              <w:rPr/>
              <w:t>995,600.00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标的名称：数字集群设备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4"/>
              </w:rPr>
              <w:t>产品为国产自主品牌，通过国家无线电管理局无线电发射设备型号核准并获得型号核准证，提供有效期内的型号核准证复印件。</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rPr>
              <w:t>符合国军标</w:t>
            </w:r>
            <w:r>
              <w:rPr>
                <w:rFonts w:ascii="&quot;times new roman&quot;, serif" w:hAnsi="&quot;times new roman&quot;, serif" w:cs="&quot;times new roman&quot;, serif" w:eastAsia="&quot;times new roman&quot;, serif"/>
                <w:sz w:val="24"/>
              </w:rPr>
              <w:t>GJB 150A-2009</w:t>
            </w:r>
            <w:r>
              <w:rPr>
                <w:rFonts w:ascii="宋体" w:hAnsi="宋体" w:cs="宋体" w:eastAsia="宋体"/>
                <w:sz w:val="24"/>
              </w:rPr>
              <w:t>检测</w:t>
            </w:r>
            <w:r>
              <w:rPr>
                <w:rFonts w:ascii="&quot;times new roman&quot;, serif" w:hAnsi="&quot;times new roman&quot;, serif" w:cs="&quot;times new roman&quot;, serif" w:eastAsia="&quot;times new roman&quot;, serif"/>
                <w:sz w:val="24"/>
              </w:rPr>
              <w:t>,</w:t>
            </w:r>
            <w:r>
              <w:rPr>
                <w:rFonts w:ascii="宋体" w:hAnsi="宋体" w:cs="宋体" w:eastAsia="宋体"/>
                <w:sz w:val="24"/>
              </w:rPr>
              <w:t>提供国家认可检测机构出具的检测报告复印件。</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24"/>
              </w:rPr>
              <w:t>不低于</w:t>
            </w:r>
            <w:r>
              <w:rPr>
                <w:rFonts w:ascii="&quot;times new roman&quot;, serif" w:hAnsi="&quot;times new roman&quot;, serif" w:cs="&quot;times new roman&quot;, serif" w:eastAsia="&quot;times new roman&quot;, serif"/>
                <w:sz w:val="24"/>
              </w:rPr>
              <w:t>IP68</w:t>
            </w:r>
            <w:r>
              <w:rPr>
                <w:rFonts w:ascii="宋体" w:hAnsi="宋体" w:cs="宋体" w:eastAsia="宋体"/>
                <w:sz w:val="24"/>
              </w:rPr>
              <w:t>的国标外壳防护等级。提供国家认可检测机构出具的检测报告复印件。</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rFonts w:ascii="宋体" w:hAnsi="宋体" w:cs="宋体" w:eastAsia="宋体"/>
                <w:sz w:val="24"/>
              </w:rPr>
              <w:t>产品通过中国质量认证中心的中国国家强制性产品认证，提供国家认可检测机构出具的</w:t>
            </w:r>
            <w:r>
              <w:rPr>
                <w:rFonts w:ascii="&quot;times new roman&quot;, serif" w:hAnsi="&quot;times new roman&quot;, serif" w:cs="&quot;times new roman&quot;, serif" w:eastAsia="&quot;times new roman&quot;, serif"/>
                <w:sz w:val="24"/>
              </w:rPr>
              <w:t>CCC</w:t>
            </w:r>
            <w:r>
              <w:rPr>
                <w:rFonts w:ascii="宋体" w:hAnsi="宋体" w:cs="宋体" w:eastAsia="宋体"/>
                <w:sz w:val="24"/>
              </w:rPr>
              <w:t>证书复印件</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宋体" w:hAnsi="宋体" w:cs="宋体" w:eastAsia="宋体"/>
                <w:sz w:val="24"/>
              </w:rPr>
              <w:t>为了确保后期产品的平滑升级，设备相关软件为设备制造商自行开发的正版软件，提供投标产品生产厂家软件著作权证书复印件</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4"/>
              </w:rPr>
              <w:t>产品外观设计获得国家专利，提供国家知识产权局出具的证书复印件</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4"/>
              </w:rPr>
              <w:t>对讲制式：</w:t>
            </w:r>
            <w:r>
              <w:rPr>
                <w:rFonts w:ascii="&quot;times new roman&quot;, serif" w:hAnsi="&quot;times new roman&quot;, serif" w:cs="&quot;times new roman&quot;, serif" w:eastAsia="&quot;times new roman&quot;, serif"/>
                <w:sz w:val="24"/>
              </w:rPr>
              <w:t>PDT/</w:t>
            </w:r>
            <w:r>
              <w:rPr>
                <w:rFonts w:ascii="宋体" w:hAnsi="宋体" w:cs="宋体" w:eastAsia="宋体"/>
                <w:sz w:val="24"/>
              </w:rPr>
              <w:t>公网</w:t>
            </w:r>
          </w:p>
        </w:tc>
      </w:tr>
      <w:tr>
        <w:tc>
          <w:tcPr>
            <w:tcW w:type="dxa" w:w="2769"/>
          </w:tcPr>
          <w:p/>
        </w:tc>
        <w:tc>
          <w:tcPr>
            <w:tcW w:type="dxa" w:w="2769"/>
          </w:tcPr>
          <w:p>
            <w:pPr>
              <w:pStyle w:val="null3"/>
            </w:pPr>
            <w:r>
              <w:rPr/>
              <w:t>8</w:t>
            </w:r>
          </w:p>
        </w:tc>
        <w:tc>
          <w:tcPr>
            <w:tcW w:type="dxa" w:w="2769"/>
          </w:tcPr>
          <w:p>
            <w:pPr>
              <w:pStyle w:val="null3"/>
              <w:jc w:val="both"/>
            </w:pPr>
            <w:r>
              <w:rPr>
                <w:rFonts w:ascii="&quot;times new roman&quot;, serif" w:hAnsi="&quot;times new roman&quot;, serif" w:cs="&quot;times new roman&quot;, serif" w:eastAsia="&quot;times new roman&quot;, serif"/>
                <w:sz w:val="24"/>
              </w:rPr>
              <w:t>PDT/</w:t>
            </w:r>
            <w:r>
              <w:rPr>
                <w:rFonts w:ascii="宋体" w:hAnsi="宋体" w:cs="宋体" w:eastAsia="宋体"/>
                <w:sz w:val="24"/>
              </w:rPr>
              <w:t>模拟</w:t>
            </w:r>
            <w:r>
              <w:rPr>
                <w:rFonts w:ascii="宋体" w:hAnsi="宋体" w:cs="宋体" w:eastAsia="宋体"/>
                <w:sz w:val="24"/>
              </w:rPr>
              <w:t>：</w:t>
            </w:r>
            <w:r>
              <w:rPr>
                <w:rFonts w:ascii="&quot;times new roman&quot;, serif" w:hAnsi="&quot;times new roman&quot;, serif" w:cs="&quot;times new roman&quot;, serif" w:eastAsia="&quot;times new roman&quot;, serif"/>
                <w:sz w:val="24"/>
              </w:rPr>
              <w:t>350M-400M</w:t>
            </w:r>
            <w:r>
              <w:rPr>
                <w:rFonts w:ascii="宋体" w:hAnsi="宋体" w:cs="宋体" w:eastAsia="宋体"/>
                <w:sz w:val="24"/>
              </w:rPr>
              <w:t>（</w:t>
            </w:r>
            <w:r>
              <w:rPr>
                <w:rFonts w:ascii="&quot;times new roman&quot;, serif" w:hAnsi="&quot;times new roman&quot;, serif" w:cs="&quot;times new roman&quot;, serif" w:eastAsia="&quot;times new roman&quot;, serif"/>
                <w:sz w:val="24"/>
              </w:rPr>
              <w:t>UHF3</w:t>
            </w:r>
            <w:r>
              <w:rPr>
                <w:rFonts w:ascii="宋体" w:hAnsi="宋体" w:cs="宋体" w:eastAsia="宋体"/>
                <w:sz w:val="24"/>
              </w:rPr>
              <w:t>）</w:t>
            </w:r>
          </w:p>
          <w:p>
            <w:pPr>
              <w:pStyle w:val="null3"/>
              <w:jc w:val="both"/>
            </w:pPr>
            <w:r>
              <w:rPr>
                <w:rFonts w:ascii="宋体" w:hAnsi="宋体" w:cs="宋体" w:eastAsia="宋体"/>
                <w:sz w:val="24"/>
              </w:rPr>
              <w:t>公网</w:t>
            </w:r>
            <w:r>
              <w:rPr>
                <w:rFonts w:ascii="&quot;times new roman&quot;, serif" w:hAnsi="&quot;times new roman&quot;, serif" w:cs="&quot;times new roman&quot;, serif" w:eastAsia="&quot;times new roman&quot;, serif"/>
                <w:sz w:val="24"/>
              </w:rPr>
              <w:t>LTE :TDD B38/B39/B40/B41 FDD B1/B3/B5/B7/B8</w:t>
            </w:r>
            <w:r>
              <w:rPr>
                <w:rFonts w:ascii="宋体" w:hAnsi="宋体" w:cs="宋体" w:eastAsia="宋体"/>
                <w:sz w:val="24"/>
              </w:rPr>
              <w:t>、</w:t>
            </w:r>
            <w:r>
              <w:rPr>
                <w:rFonts w:ascii="&quot;times new roman&quot;, serif" w:hAnsi="&quot;times new roman&quot;, serif" w:cs="&quot;times new roman&quot;, serif" w:eastAsia="&quot;times new roman&quot;, serif"/>
                <w:sz w:val="24"/>
              </w:rPr>
              <w:t>WCDMA: B1</w:t>
            </w:r>
            <w:r>
              <w:rPr>
                <w:rFonts w:ascii="宋体" w:hAnsi="宋体" w:cs="宋体" w:eastAsia="宋体"/>
                <w:sz w:val="24"/>
              </w:rPr>
              <w:t>、</w:t>
            </w:r>
            <w:r>
              <w:rPr>
                <w:rFonts w:ascii="&quot;times new roman&quot;, serif" w:hAnsi="&quot;times new roman&quot;, serif" w:cs="&quot;times new roman&quot;, serif" w:eastAsia="&quot;times new roman&quot;, serif"/>
                <w:sz w:val="24"/>
              </w:rPr>
              <w:t>GSM: B2/B3/B5/B8"</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宋体" w:hAnsi="宋体" w:cs="宋体" w:eastAsia="宋体"/>
                <w:sz w:val="24"/>
              </w:rPr>
              <w:t>屏幕：主屏：不小于</w:t>
            </w:r>
            <w:r>
              <w:rPr>
                <w:rFonts w:ascii="&quot;times new roman&quot;, serif" w:hAnsi="&quot;times new roman&quot;, serif" w:cs="&quot;times new roman&quot;, serif" w:eastAsia="&quot;times new roman&quot;, serif"/>
                <w:sz w:val="24"/>
              </w:rPr>
              <w:t>4.0</w:t>
            </w:r>
            <w:r>
              <w:rPr>
                <w:rFonts w:ascii="宋体" w:hAnsi="宋体" w:cs="宋体" w:eastAsia="宋体"/>
                <w:sz w:val="24"/>
              </w:rPr>
              <w:t>吋</w:t>
            </w:r>
            <w:r>
              <w:rPr>
                <w:rFonts w:ascii="&quot;times new roman&quot;, serif" w:hAnsi="&quot;times new roman&quot;, serif" w:cs="&quot;times new roman&quot;, serif" w:eastAsia="&quot;times new roman&quot;, serif"/>
                <w:sz w:val="24"/>
              </w:rPr>
              <w:t>LCD</w:t>
            </w:r>
            <w:r>
              <w:rPr>
                <w:rFonts w:ascii="宋体" w:hAnsi="宋体" w:cs="宋体" w:eastAsia="宋体"/>
                <w:sz w:val="24"/>
              </w:rPr>
              <w:t>，分辨率</w:t>
            </w:r>
            <w:r>
              <w:rPr>
                <w:rFonts w:ascii="&quot;times new roman&quot;, serif" w:hAnsi="&quot;times new roman&quot;, serif" w:cs="&quot;times new roman&quot;, serif" w:eastAsia="&quot;times new roman&quot;, serif"/>
                <w:sz w:val="24"/>
              </w:rPr>
              <w:t>480*800</w:t>
            </w:r>
            <w:r>
              <w:rPr>
                <w:rFonts w:ascii="宋体" w:hAnsi="宋体" w:cs="宋体" w:eastAsia="宋体"/>
                <w:sz w:val="24"/>
              </w:rPr>
              <w:t>、肩屏：不小于</w:t>
            </w:r>
            <w:r>
              <w:rPr>
                <w:rFonts w:ascii="&quot;times new roman&quot;, serif" w:hAnsi="&quot;times new roman&quot;, serif" w:cs="&quot;times new roman&quot;, serif" w:eastAsia="&quot;times new roman&quot;, serif"/>
                <w:sz w:val="24"/>
              </w:rPr>
              <w:t>0.9</w:t>
            </w:r>
            <w:r>
              <w:rPr>
                <w:rFonts w:ascii="宋体" w:hAnsi="宋体" w:cs="宋体" w:eastAsia="宋体"/>
                <w:sz w:val="24"/>
              </w:rPr>
              <w:t>吋，分辨率</w:t>
            </w:r>
            <w:r>
              <w:rPr>
                <w:rFonts w:ascii="&quot;times new roman&quot;, serif" w:hAnsi="&quot;times new roman&quot;, serif" w:cs="&quot;times new roman&quot;, serif" w:eastAsia="&quot;times new roman&quot;, serif"/>
                <w:sz w:val="24"/>
              </w:rPr>
              <w:t>128*64</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4"/>
              </w:rPr>
              <w:t>外形尺寸：不小于</w:t>
            </w:r>
            <w:r>
              <w:rPr>
                <w:rFonts w:ascii="&quot;times new roman&quot;, serif" w:hAnsi="&quot;times new roman&quot;, serif" w:cs="&quot;times new roman&quot;, serif" w:eastAsia="&quot;times new roman&quot;, serif"/>
                <w:sz w:val="24"/>
              </w:rPr>
              <w:t>150*68*27mm；</w:t>
            </w:r>
            <w:r>
              <w:rPr>
                <w:rFonts w:ascii="宋体" w:hAnsi="宋体" w:cs="宋体" w:eastAsia="宋体"/>
                <w:sz w:val="24"/>
              </w:rPr>
              <w:t>重量：不大于</w:t>
            </w:r>
            <w:r>
              <w:rPr>
                <w:rFonts w:ascii="&quot;times new roman&quot;, serif" w:hAnsi="&quot;times new roman&quot;, serif" w:cs="&quot;times new roman&quot;, serif" w:eastAsia="&quot;times new roman&quot;, serif"/>
                <w:sz w:val="24"/>
              </w:rPr>
              <w:t>390g；</w:t>
            </w:r>
            <w:r>
              <w:rPr>
                <w:rFonts w:ascii="宋体" w:hAnsi="宋体" w:cs="宋体" w:eastAsia="宋体"/>
                <w:sz w:val="24"/>
              </w:rPr>
              <w:t>电池容量：不小于</w:t>
            </w:r>
            <w:r>
              <w:rPr>
                <w:rFonts w:ascii="&quot;times new roman&quot;, serif" w:hAnsi="&quot;times new roman&quot;, serif" w:cs="&quot;times new roman&quot;, serif" w:eastAsia="&quot;times new roman&quot;, serif"/>
                <w:sz w:val="24"/>
              </w:rPr>
              <w:t>4000mAh；</w:t>
            </w:r>
            <w:r>
              <w:rPr>
                <w:rFonts w:ascii="宋体" w:hAnsi="宋体" w:cs="宋体" w:eastAsia="宋体"/>
                <w:sz w:val="24"/>
              </w:rPr>
              <w:t>操作系统：深度定制智能安全操作系统；</w:t>
            </w:r>
            <w:r>
              <w:rPr>
                <w:rFonts w:ascii="宋体" w:hAnsi="宋体" w:cs="宋体" w:eastAsia="宋体"/>
                <w:sz w:val="24"/>
              </w:rPr>
              <w:t>内存：不低于</w:t>
            </w:r>
            <w:r>
              <w:rPr>
                <w:rFonts w:ascii="&quot;times new roman&quot;, serif" w:hAnsi="&quot;times new roman&quot;, serif" w:cs="&quot;times new roman&quot;, serif" w:eastAsia="&quot;times new roman&quot;, serif"/>
                <w:sz w:val="24"/>
              </w:rPr>
              <w:t>3G RAM</w:t>
            </w:r>
            <w:r>
              <w:rPr>
                <w:rFonts w:ascii="宋体" w:hAnsi="宋体" w:cs="宋体" w:eastAsia="宋体"/>
                <w:sz w:val="24"/>
              </w:rPr>
              <w:t>，</w:t>
            </w:r>
            <w:r>
              <w:rPr>
                <w:rFonts w:ascii="&quot;times new roman&quot;, serif" w:hAnsi="&quot;times new roman&quot;, serif" w:cs="&quot;times new roman&quot;, serif" w:eastAsia="&quot;times new roman&quot;, serif"/>
                <w:sz w:val="24"/>
              </w:rPr>
              <w:t>32G ROM/；</w:t>
            </w:r>
            <w:r>
              <w:rPr>
                <w:rFonts w:ascii="宋体" w:hAnsi="宋体" w:cs="宋体" w:eastAsia="宋体"/>
                <w:sz w:val="24"/>
              </w:rPr>
              <w:t>摄像头：前后摄像头不小于</w:t>
            </w:r>
            <w:r>
              <w:rPr>
                <w:rFonts w:ascii="&quot;times new roman&quot;, serif" w:hAnsi="&quot;times new roman&quot;, serif" w:cs="&quot;times new roman&quot;, serif" w:eastAsia="&quot;times new roman&quot;, serif"/>
                <w:sz w:val="24"/>
              </w:rPr>
              <w:t>1300</w:t>
            </w:r>
            <w:r>
              <w:rPr>
                <w:rFonts w:ascii="宋体" w:hAnsi="宋体" w:cs="宋体" w:eastAsia="宋体"/>
                <w:sz w:val="24"/>
              </w:rPr>
              <w:t>万；</w:t>
            </w:r>
            <w:r>
              <w:rPr>
                <w:rFonts w:ascii="&quot;times new roman&quot;, serif" w:hAnsi="&quot;times new roman&quot;, serif" w:cs="&quot;times new roman&quot;, serif" w:eastAsia="&quot;times new roman&quot;, serif"/>
                <w:sz w:val="24"/>
              </w:rPr>
              <w:t>NFC:</w:t>
            </w:r>
            <w:r>
              <w:rPr>
                <w:rFonts w:ascii="宋体" w:hAnsi="宋体" w:cs="宋体" w:eastAsia="宋体"/>
                <w:sz w:val="24"/>
              </w:rPr>
              <w:t>支持；</w:t>
            </w:r>
            <w:r>
              <w:rPr>
                <w:rFonts w:ascii="&quot;times new roman&quot;, serif" w:hAnsi="&quot;times new roman&quot;, serif" w:cs="&quot;times new roman&quot;, serif" w:eastAsia="&quot;times new roman&quot;, serif"/>
                <w:sz w:val="24"/>
              </w:rPr>
              <w:t>WiFi</w:t>
            </w:r>
            <w:r>
              <w:rPr>
                <w:rFonts w:ascii="宋体" w:hAnsi="宋体" w:cs="宋体" w:eastAsia="宋体"/>
                <w:sz w:val="24"/>
              </w:rPr>
              <w:t>：支持；</w:t>
            </w:r>
            <w:r>
              <w:rPr>
                <w:rFonts w:ascii="&quot;times new roman&quot;, serif" w:hAnsi="&quot;times new roman&quot;, serif" w:cs="&quot;times new roman&quot;, serif" w:eastAsia="&quot;times new roman&quot;, serif"/>
                <w:sz w:val="24"/>
              </w:rPr>
              <w:t xml:space="preserve"> </w:t>
            </w:r>
            <w:r>
              <w:rPr>
                <w:rFonts w:ascii="宋体" w:hAnsi="宋体" w:cs="宋体" w:eastAsia="宋体"/>
                <w:sz w:val="24"/>
              </w:rPr>
              <w:t>蓝牙：支持；</w:t>
            </w:r>
            <w:r>
              <w:rPr>
                <w:rFonts w:ascii="宋体" w:hAnsi="宋体" w:cs="宋体" w:eastAsia="宋体"/>
                <w:sz w:val="24"/>
              </w:rPr>
              <w:t>北斗定位：支持；</w:t>
            </w:r>
            <w:r>
              <w:rPr>
                <w:rFonts w:ascii="宋体" w:hAnsi="宋体" w:cs="宋体" w:eastAsia="宋体"/>
                <w:sz w:val="24"/>
              </w:rPr>
              <w:t>座充：支持；</w:t>
            </w:r>
            <w:r>
              <w:rPr>
                <w:rFonts w:ascii="宋体" w:hAnsi="宋体" w:cs="宋体" w:eastAsia="宋体"/>
                <w:sz w:val="24"/>
              </w:rPr>
              <w:t>可靠性等级：</w:t>
            </w:r>
            <w:r>
              <w:rPr>
                <w:rFonts w:ascii="&quot;times new roman&quot;, serif" w:hAnsi="&quot;times new roman&quot;, serif" w:cs="&quot;times new roman&quot;, serif" w:eastAsia="&quot;times new roman&quot;, serif"/>
                <w:sz w:val="24"/>
              </w:rPr>
              <w:t>GJB 150A-2009；</w:t>
            </w:r>
            <w:r>
              <w:rPr>
                <w:rFonts w:ascii="宋体" w:hAnsi="宋体" w:cs="宋体" w:eastAsia="宋体"/>
                <w:sz w:val="24"/>
              </w:rPr>
              <w:t>工作温度：不低于</w:t>
            </w:r>
            <w:r>
              <w:rPr>
                <w:rFonts w:ascii="&quot;times new roman&quot;, serif" w:hAnsi="&quot;times new roman&quot;, serif" w:cs="&quot;times new roman&quot;, serif" w:eastAsia="&quot;times new roman&quot;, serif"/>
                <w:sz w:val="24"/>
              </w:rPr>
              <w:t>(-20</w:t>
            </w:r>
            <w:r>
              <w:rPr>
                <w:rFonts w:ascii="宋体" w:hAnsi="宋体" w:cs="宋体" w:eastAsia="宋体"/>
                <w:sz w:val="24"/>
              </w:rPr>
              <w:t>℃</w:t>
            </w:r>
            <w:r>
              <w:rPr>
                <w:rFonts w:ascii="&quot;times new roman&quot;, serif" w:hAnsi="&quot;times new roman&quot;, serif" w:cs="&quot;times new roman&quot;, serif" w:eastAsia="&quot;times new roman&quot;, serif"/>
                <w:sz w:val="24"/>
              </w:rPr>
              <w:t xml:space="preserve"> , +60</w:t>
            </w:r>
            <w:r>
              <w:rPr>
                <w:rFonts w:ascii="宋体" w:hAnsi="宋体" w:cs="宋体" w:eastAsia="宋体"/>
                <w:sz w:val="24"/>
              </w:rPr>
              <w:t>℃</w:t>
            </w:r>
            <w:r>
              <w:rPr>
                <w:rFonts w:ascii="&quot;times new roman&quot;, serif" w:hAnsi="&quot;times new roman&quot;, serif" w:cs="&quot;times new roman&quot;, serif" w:eastAsia="&quot;times new roman&quot;, serif"/>
                <w:sz w:val="24"/>
              </w:rPr>
              <w:t>)</w:t>
            </w:r>
            <w:r>
              <w:rPr>
                <w:rFonts w:ascii="宋体" w:hAnsi="宋体" w:cs="宋体" w:eastAsia="宋体"/>
                <w:sz w:val="24"/>
              </w:rPr>
              <w:t>、存储温度：不低于</w:t>
            </w:r>
            <w:r>
              <w:rPr>
                <w:rFonts w:ascii="&quot;times new roman&quot;, serif" w:hAnsi="&quot;times new roman&quot;, serif" w:cs="&quot;times new roman&quot;, serif" w:eastAsia="&quot;times new roman&quot;, serif"/>
                <w:sz w:val="24"/>
              </w:rPr>
              <w:t>(-40</w:t>
            </w:r>
            <w:r>
              <w:rPr>
                <w:rFonts w:ascii="宋体" w:hAnsi="宋体" w:cs="宋体" w:eastAsia="宋体"/>
                <w:sz w:val="24"/>
              </w:rPr>
              <w:t>℃</w:t>
            </w:r>
            <w:r>
              <w:rPr>
                <w:rFonts w:ascii="&quot;times new roman&quot;, serif" w:hAnsi="&quot;times new roman&quot;, serif" w:cs="&quot;times new roman&quot;, serif" w:eastAsia="&quot;times new roman&quot;, serif"/>
                <w:sz w:val="24"/>
              </w:rPr>
              <w:t xml:space="preserve"> , +85</w:t>
            </w:r>
            <w:r>
              <w:rPr>
                <w:rFonts w:ascii="宋体" w:hAnsi="宋体" w:cs="宋体" w:eastAsia="宋体"/>
                <w:sz w:val="24"/>
              </w:rPr>
              <w:t>℃</w:t>
            </w:r>
            <w:r>
              <w:rPr>
                <w:rFonts w:ascii="&quot;times new roman&quot;, serif" w:hAnsi="&quot;times new roman&quot;, serif" w:cs="&quot;times new roman&quot;, serif" w:eastAsia="&quot;times new roman&quot;, serif"/>
                <w:sz w:val="24"/>
              </w:rPr>
              <w:t>)；</w:t>
            </w:r>
            <w:r>
              <w:rPr>
                <w:rFonts w:ascii="宋体" w:hAnsi="宋体" w:cs="宋体" w:eastAsia="宋体"/>
                <w:sz w:val="24"/>
              </w:rPr>
              <w:t>与既有的系统能够无缝接入，实现与既有的系统和终端业务互联互通。</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合同签订后30日</w:t>
      </w:r>
    </w:p>
    <w:p>
      <w:pPr>
        <w:pStyle w:val="null3"/>
        <w:outlineLvl w:val="3"/>
      </w:pPr>
      <w:r>
        <w:rPr>
          <w:b/>
          <w:sz w:val="24"/>
        </w:rPr>
        <w:t>3.4.2交货地点</w:t>
      </w:r>
    </w:p>
    <w:p>
      <w:pPr>
        <w:pStyle w:val="null3"/>
      </w:pPr>
      <w:r>
        <w:rPr/>
        <w:t>采购包1：</w:t>
      </w:r>
    </w:p>
    <w:p>
      <w:pPr>
        <w:pStyle w:val="null3"/>
      </w:pPr>
      <w:r>
        <w:rPr/>
        <w:t>陕西省公安厅机场公安局</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100.00</w:t>
      </w:r>
      <w:r>
        <w:rPr/>
        <w:t>%。</w:t>
      </w:r>
    </w:p>
    <w:p>
      <w:pPr>
        <w:pStyle w:val="null3"/>
        <w:jc w:val="left"/>
        <w:outlineLvl w:val="3"/>
      </w:pPr>
      <w:r>
        <w:rPr>
          <w:b/>
          <w:sz w:val="24"/>
        </w:rPr>
        <w:t>3.4.5.验收标准和方法</w:t>
      </w:r>
    </w:p>
    <w:p>
      <w:pPr>
        <w:pStyle w:val="null3"/>
      </w:pPr>
      <w:r>
        <w:rPr/>
        <w:t>采购包1：</w:t>
      </w:r>
    </w:p>
    <w:p>
      <w:pPr>
        <w:pStyle w:val="null3"/>
      </w:pPr>
      <w:r>
        <w:rPr/>
        <w:t>货物交付前，乙方应对货物的质量、数量等方面进行详细、全面的检验，并向甲方出具证明货物符合合同约定的文件。</w:t>
      </w:r>
    </w:p>
    <w:p>
      <w:pPr>
        <w:pStyle w:val="null3"/>
        <w:outlineLvl w:val="3"/>
      </w:pPr>
      <w:r>
        <w:rPr>
          <w:b/>
          <w:sz w:val="24"/>
        </w:rPr>
        <w:t>3.4.6.包装方式及运输</w:t>
      </w:r>
    </w:p>
    <w:p>
      <w:pPr>
        <w:pStyle w:val="null3"/>
      </w:pPr>
      <w:r>
        <w:rPr/>
        <w:t>采购包1：</w:t>
      </w:r>
    </w:p>
    <w:p>
      <w:pPr>
        <w:pStyle w:val="null3"/>
      </w:pPr>
      <w:r>
        <w:rPr/>
        <w:t>供应商交付的全部货物,均应采用本行业通用的方式进行包装，且该包装应符合国家有关包装的法律、法规的规定。如有必要，包装应适用于远距离运输、防潮、防震、防锈和防粗暴装卸，确保货物安全无损地运抵现场。由于包装不善所引起的货物锈蚀、损坏和损失等一切风险均由供应商承担。</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供应商承诺为本项目提供原厂免费质保2年。 质保期内除人为因素损坏外，全部免费维修。 （1）在质保期内，出现故障（非人为故障），供应商免费维修； （2）质保期满后所有设备零配件维修只收取成本费用； （3）提供7*24小时服务响应； （4）提供产品终身维修和软件免费升级。 2.质保期意外及人为因素损坏 提供5×8小时保修和技术支持服务，7×24电话响应，如诊断为硬件故障，应返厂维修，承诺尽力在最短时间内恢复设备正常运行。如果供应商在接到通知后的48个小时内未作出响应，则由于故障所造成的全部损失由供应商承担； 货物发生人为因素严重故障时，供应商当免费维修，只收取相应的材料费。在3日内将补充或者更换的货物运抵发生故障的货物所在地，由此产生的一切相关费用由供应商负担。</w:t>
      </w:r>
    </w:p>
    <w:p>
      <w:pPr>
        <w:pStyle w:val="null3"/>
        <w:outlineLvl w:val="3"/>
      </w:pPr>
      <w:r>
        <w:rPr>
          <w:b/>
          <w:sz w:val="24"/>
        </w:rPr>
        <w:t>3.4.8.违约责任与解决争议的方法</w:t>
      </w:r>
    </w:p>
    <w:p>
      <w:pPr>
        <w:pStyle w:val="null3"/>
      </w:pPr>
      <w:r>
        <w:rPr/>
        <w:t>采购包1：</w:t>
      </w:r>
    </w:p>
    <w:p>
      <w:pPr>
        <w:pStyle w:val="null3"/>
      </w:pPr>
      <w:r>
        <w:rPr/>
        <w:t>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outlineLvl w:val="2"/>
      </w:pPr>
      <w:r>
        <w:rPr>
          <w:b/>
          <w:sz w:val="28"/>
        </w:rPr>
        <w:t>3.5其他要求</w:t>
      </w:r>
    </w:p>
    <w:p>
      <w:pPr>
        <w:pStyle w:val="null3"/>
      </w:pPr>
      <w:r>
        <w:rPr/>
        <w:t>采购包1：</w:t>
      </w:r>
    </w:p>
    <w:p>
      <w:pPr>
        <w:pStyle w:val="null3"/>
      </w:pPr>
      <w:r>
        <w:rPr/>
        <w:t>3.5.1样品递交： （1）递交时间：响应文件提交截止时间前，逾期递交无效。 （2）递交地点：陕西省西安市高新区丈八一路1号汇鑫中心D座2206室 （3）样品应单独包装，并在包装上注明供应商名称、产品名称，要求厂家标识齐全，因标识不全导致无法辨别的，供应商自行承担责任； （4）成交供应商的样品送至采购单位封存，作为履约验收参考。 3.5.2供应商应根据项目的具体情况，充分考虑到采购方工作人员实际水平，提出培训方案，帮助采购方工作人员更快的熟悉设备的使用。 3.5.3纸质文件递交： （1）供应商需要在线提交所有通过电子化交易平台实施的政府采购项目的响应文件，同时，线下提交纸质响应文件正本壹份、副本贰份。若电子响应文件与纸质响应文件不一致的，以电子响应文件为准。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响应的，须提供本人身份证复印件；法定代表人授权他人参加响应的，须提供法定代表人授权委托书。采购文件中凡是需要法定代表人盖章之处，非法人单位的负责人均参照执行。法人的分支机构参与响应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8</w:t>
            </w:r>
          </w:p>
        </w:tc>
        <w:tc>
          <w:tcPr>
            <w:tcW w:type="dxa" w:w="2492"/>
          </w:tcPr>
          <w:p>
            <w:pPr>
              <w:pStyle w:val="null3"/>
            </w:pPr>
            <w:r>
              <w:rPr/>
              <w:t>本项目不接受联合体响应，不允许分包</w:t>
            </w:r>
          </w:p>
        </w:tc>
        <w:tc>
          <w:tcPr>
            <w:tcW w:type="dxa" w:w="3322"/>
          </w:tcPr>
          <w:p>
            <w:pPr>
              <w:pStyle w:val="null3"/>
            </w:pPr>
            <w:r>
              <w:rPr/>
              <w:t>供应商应提供《非联合体不分包响应声明》，视为独立响应，不分包。</w:t>
            </w:r>
          </w:p>
        </w:tc>
        <w:tc>
          <w:tcPr>
            <w:tcW w:type="dxa" w:w="1661"/>
          </w:tcPr>
          <w:p>
            <w:pPr>
              <w:pStyle w:val="null3"/>
            </w:pPr>
            <w:r>
              <w:rPr/>
              <w:t>非联合体不分包响应声明</w:t>
            </w:r>
          </w:p>
        </w:tc>
      </w:tr>
      <w:tr>
        <w:tc>
          <w:tcPr>
            <w:tcW w:type="dxa" w:w="831"/>
          </w:tcPr>
          <w:p>
            <w:pPr>
              <w:pStyle w:val="null3"/>
            </w:pPr>
            <w:r>
              <w:rPr/>
              <w:t>9</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面向中小企业</w:t>
            </w:r>
          </w:p>
        </w:tc>
        <w:tc>
          <w:tcPr>
            <w:tcW w:type="dxa" w:w="3322"/>
          </w:tcPr>
          <w:p>
            <w:pPr>
              <w:pStyle w:val="null3"/>
            </w:pPr>
            <w:r>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协商过程中，协商小组认为供应商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需要文件作为无效处理。</w:t>
            </w:r>
          </w:p>
        </w:tc>
        <w:tc>
          <w:tcPr>
            <w:tcW w:type="dxa" w:w="1661"/>
          </w:tcPr>
          <w:p>
            <w:pPr>
              <w:pStyle w:val="null3"/>
            </w:pPr>
            <w:r>
              <w:rPr/>
              <w:t>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响应文件语言及有效期</w:t>
            </w:r>
          </w:p>
        </w:tc>
        <w:tc>
          <w:tcPr>
            <w:tcW w:type="dxa" w:w="3322"/>
          </w:tcPr>
          <w:p>
            <w:pPr>
              <w:pStyle w:val="null3"/>
            </w:pPr>
            <w:r>
              <w:rPr/>
              <w:t>响应文件语言及有效期符合采购文件要求。</w:t>
            </w:r>
          </w:p>
        </w:tc>
        <w:tc>
          <w:tcPr>
            <w:tcW w:type="dxa" w:w="1661"/>
          </w:tcPr>
          <w:p>
            <w:pPr>
              <w:pStyle w:val="null3"/>
            </w:pPr>
            <w:r>
              <w:rPr/>
              <w:t>分项报价表 中小企业声明函 商务应答表 供应商应提交的相关资格证明材料 报价表 非联合体不分包响应声明 响应方案 法定代表人授权书 响应文件封面 保证金汇款声明函或保函 近三年无重大违法、违纪书面声明 产品技术参数表 残疾人福利性单位声明函 标的清单 响应函 书面声明 监狱企业的证明文件</w:t>
            </w:r>
          </w:p>
        </w:tc>
      </w:tr>
      <w:tr>
        <w:tc>
          <w:tcPr>
            <w:tcW w:type="dxa" w:w="831"/>
          </w:tcPr>
          <w:p>
            <w:pPr>
              <w:pStyle w:val="null3"/>
            </w:pPr>
            <w:r>
              <w:rPr/>
              <w:t>5</w:t>
            </w:r>
          </w:p>
        </w:tc>
        <w:tc>
          <w:tcPr>
            <w:tcW w:type="dxa" w:w="2492"/>
          </w:tcPr>
          <w:p>
            <w:pPr>
              <w:pStyle w:val="null3"/>
            </w:pPr>
            <w:r>
              <w:rPr/>
              <w:t>响应文件封面、响应函、法定代表人授权委托书三处的项目名称、项目编号、包号(如有)</w:t>
            </w:r>
          </w:p>
        </w:tc>
        <w:tc>
          <w:tcPr>
            <w:tcW w:type="dxa" w:w="3322"/>
          </w:tcPr>
          <w:p>
            <w:pPr>
              <w:pStyle w:val="null3"/>
            </w:pPr>
            <w:r>
              <w:rPr/>
              <w:t>三处均无遗漏，且与所投项目名称、项目编号、包号(如有)一致。</w:t>
            </w:r>
          </w:p>
        </w:tc>
        <w:tc>
          <w:tcPr>
            <w:tcW w:type="dxa" w:w="1661"/>
          </w:tcPr>
          <w:p>
            <w:pPr>
              <w:pStyle w:val="null3"/>
            </w:pPr>
            <w:r>
              <w:rPr/>
              <w:t>响应文件封面 响应函 法定代表人授权书</w:t>
            </w:r>
          </w:p>
        </w:tc>
      </w:tr>
      <w:tr>
        <w:tc>
          <w:tcPr>
            <w:tcW w:type="dxa" w:w="831"/>
          </w:tcPr>
          <w:p>
            <w:pPr>
              <w:pStyle w:val="null3"/>
            </w:pPr>
            <w:r>
              <w:rPr/>
              <w:t>6</w:t>
            </w:r>
          </w:p>
        </w:tc>
        <w:tc>
          <w:tcPr>
            <w:tcW w:type="dxa" w:w="2492"/>
          </w:tcPr>
          <w:p>
            <w:pPr>
              <w:pStyle w:val="null3"/>
            </w:pPr>
            <w:r>
              <w:rPr/>
              <w:t>响应文件签署、盖章</w:t>
            </w:r>
          </w:p>
        </w:tc>
        <w:tc>
          <w:tcPr>
            <w:tcW w:type="dxa" w:w="3322"/>
          </w:tcPr>
          <w:p>
            <w:pPr>
              <w:pStyle w:val="null3"/>
            </w:pPr>
            <w:r>
              <w:rPr/>
              <w:t>均按采购文件要求签章(评分标准中要求提供的证明材料除外)。</w:t>
            </w:r>
          </w:p>
        </w:tc>
        <w:tc>
          <w:tcPr>
            <w:tcW w:type="dxa" w:w="1661"/>
          </w:tcPr>
          <w:p>
            <w:pPr>
              <w:pStyle w:val="null3"/>
            </w:pPr>
            <w:r>
              <w:rPr/>
              <w:t>近三年无重大违法、违纪书面声明 中小企业声明函 残疾人福利性单位声明函 标的清单 报价表 非联合体不分包响应声明 响应函 书面声明 法定代表人授权书 监狱企业的证明文件</w:t>
            </w:r>
          </w:p>
        </w:tc>
      </w:tr>
      <w:tr>
        <w:tc>
          <w:tcPr>
            <w:tcW w:type="dxa" w:w="831"/>
          </w:tcPr>
          <w:p>
            <w:pPr>
              <w:pStyle w:val="null3"/>
            </w:pPr>
            <w:r>
              <w:rPr/>
              <w:t>7</w:t>
            </w:r>
          </w:p>
        </w:tc>
        <w:tc>
          <w:tcPr>
            <w:tcW w:type="dxa" w:w="2492"/>
          </w:tcPr>
          <w:p>
            <w:pPr>
              <w:pStyle w:val="null3"/>
            </w:pPr>
            <w:r>
              <w:rPr/>
              <w:t>报价表</w:t>
            </w:r>
          </w:p>
        </w:tc>
        <w:tc>
          <w:tcPr>
            <w:tcW w:type="dxa" w:w="3322"/>
          </w:tcPr>
          <w:p>
            <w:pPr>
              <w:pStyle w:val="null3"/>
            </w:pPr>
            <w:r>
              <w:rPr/>
              <w:t>(1)响应报价符合唯一性要求： (2)报价表填写符合要求； (3)计量单位、报价货币均符合采购文件要求； (4)未超出采购预算或采购文件规定的最高限价。</w:t>
            </w:r>
          </w:p>
        </w:tc>
        <w:tc>
          <w:tcPr>
            <w:tcW w:type="dxa" w:w="1661"/>
          </w:tcPr>
          <w:p>
            <w:pPr>
              <w:pStyle w:val="null3"/>
            </w:pPr>
            <w:r>
              <w:rPr/>
              <w:t>报价表</w:t>
            </w:r>
          </w:p>
        </w:tc>
      </w:tr>
      <w:tr>
        <w:tc>
          <w:tcPr>
            <w:tcW w:type="dxa" w:w="831"/>
          </w:tcPr>
          <w:p>
            <w:pPr>
              <w:pStyle w:val="null3"/>
            </w:pPr>
            <w:r>
              <w:rPr/>
              <w:t>8</w:t>
            </w:r>
          </w:p>
        </w:tc>
        <w:tc>
          <w:tcPr>
            <w:tcW w:type="dxa" w:w="2492"/>
          </w:tcPr>
          <w:p>
            <w:pPr>
              <w:pStyle w:val="null3"/>
            </w:pPr>
            <w:r>
              <w:rPr/>
              <w:t>商务条款响应</w:t>
            </w:r>
          </w:p>
        </w:tc>
        <w:tc>
          <w:tcPr>
            <w:tcW w:type="dxa" w:w="3322"/>
          </w:tcPr>
          <w:p>
            <w:pPr>
              <w:pStyle w:val="null3"/>
            </w:pPr>
            <w:r>
              <w:rPr/>
              <w:t>完全理解接受采购文件商务条款。</w:t>
            </w:r>
          </w:p>
        </w:tc>
        <w:tc>
          <w:tcPr>
            <w:tcW w:type="dxa" w:w="1661"/>
          </w:tcPr>
          <w:p>
            <w:pPr>
              <w:pStyle w:val="null3"/>
            </w:pPr>
            <w:r>
              <w:rPr/>
              <w:t>商务应答表</w:t>
            </w:r>
          </w:p>
        </w:tc>
      </w:tr>
      <w:tr>
        <w:tc>
          <w:tcPr>
            <w:tcW w:type="dxa" w:w="831"/>
          </w:tcPr>
          <w:p>
            <w:pPr>
              <w:pStyle w:val="null3"/>
            </w:pPr>
            <w:r>
              <w:rPr/>
              <w:t>9</w:t>
            </w:r>
          </w:p>
        </w:tc>
        <w:tc>
          <w:tcPr>
            <w:tcW w:type="dxa" w:w="2492"/>
          </w:tcPr>
          <w:p>
            <w:pPr>
              <w:pStyle w:val="null3"/>
            </w:pPr>
            <w:r>
              <w:rPr/>
              <w:t>保证金</w:t>
            </w:r>
          </w:p>
        </w:tc>
        <w:tc>
          <w:tcPr>
            <w:tcW w:type="dxa" w:w="3322"/>
          </w:tcPr>
          <w:p>
            <w:pPr>
              <w:pStyle w:val="null3"/>
            </w:pPr>
            <w:r>
              <w:rPr/>
              <w:t>保证金交纳符合采购文件要求。</w:t>
            </w:r>
          </w:p>
        </w:tc>
        <w:tc>
          <w:tcPr>
            <w:tcW w:type="dxa" w:w="1661"/>
          </w:tcPr>
          <w:p>
            <w:pPr>
              <w:pStyle w:val="null3"/>
            </w:pPr>
            <w:r>
              <w:rPr/>
              <w:t>保证金汇款声明函或保函</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详见附件：保证金汇款声明函或保函</w:t>
      </w:r>
    </w:p>
    <w:p>
      <w:pPr>
        <w:pStyle w:val="null3"/>
        <w:ind w:firstLine="960"/>
      </w:pPr>
      <w:r>
        <w:rPr/>
        <w:t>详见附件：法定代表人授权书</w:t>
      </w:r>
    </w:p>
    <w:p>
      <w:pPr>
        <w:pStyle w:val="null3"/>
        <w:ind w:firstLine="960"/>
      </w:pPr>
      <w:r>
        <w:rPr/>
        <w:t>详见附件：非联合体不分包响应声明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详见附件：书面声明</w:t>
      </w:r>
    </w:p>
    <w:p>
      <w:pPr>
        <w:pStyle w:val="null3"/>
        <w:ind w:firstLine="960"/>
      </w:pPr>
      <w:r>
        <w:rPr/>
        <w:t>详见附件：响应方案</w:t>
      </w:r>
    </w:p>
    <w:p>
      <w:pPr>
        <w:pStyle w:val="null3"/>
      </w:pPr>
      <w:r>
        <w:rPr/>
        <w:t xml:space="preserve"> </w:t>
      </w:r>
    </w:p>
    <w:p>
      <w:pPr>
        <w:pStyle w:val="null3"/>
        <w:jc w:val="center"/>
        <w:outlineLvl w:val="1"/>
      </w:pPr>
      <w:r>
        <w:rPr>
          <w:b/>
          <w:sz w:val="36"/>
        </w:rPr>
        <w:t>第七章 拟签订采购合同文本</w:t>
      </w:r>
    </w:p>
    <w:p>
      <w:pPr>
        <w:pStyle w:val="null3"/>
      </w:pPr>
      <w:r>
        <w:rPr/>
        <w:t>详见附件：参考合同文本.docx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