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2024年场地搬迁服务采购项目</w:t>
      </w:r>
    </w:p>
    <w:p>
      <w:pPr>
        <w:pStyle w:val="null3"/>
        <w:jc w:val="center"/>
        <w:outlineLvl w:val="2"/>
      </w:pPr>
      <w:r>
        <w:rPr>
          <w:b/>
          <w:sz w:val="28"/>
        </w:rPr>
        <w:t>采购项目编号：</w:t>
      </w:r>
      <w:r>
        <w:rPr>
          <w:b/>
          <w:sz w:val="28"/>
        </w:rPr>
        <w:t>SDZC2024--040</w:t>
      </w:r>
      <w:r>
        <w:br/>
      </w:r>
      <w:r>
        <w:br/>
      </w:r>
      <w:r>
        <w:br/>
      </w:r>
    </w:p>
    <w:p>
      <w:pPr>
        <w:pStyle w:val="null3"/>
        <w:jc w:val="center"/>
        <w:outlineLvl w:val="2"/>
      </w:pPr>
      <w:r>
        <w:rPr>
          <w:b/>
          <w:sz w:val="28"/>
        </w:rPr>
        <w:t>中国西安人才市场管理委员会办公室</w:t>
      </w:r>
    </w:p>
    <w:p>
      <w:pPr>
        <w:pStyle w:val="null3"/>
        <w:jc w:val="center"/>
        <w:outlineLvl w:val="2"/>
      </w:pPr>
      <w:r>
        <w:rPr>
          <w:b/>
          <w:sz w:val="28"/>
        </w:rPr>
        <w:t>陕西上德招标有限公司</w:t>
      </w:r>
      <w:r>
        <w:rPr>
          <w:b/>
          <w:sz w:val="28"/>
        </w:rPr>
        <w:t>共同编制</w:t>
      </w:r>
    </w:p>
    <w:p>
      <w:pPr>
        <w:pStyle w:val="null3"/>
        <w:jc w:val="center"/>
        <w:outlineLvl w:val="2"/>
      </w:pPr>
      <w:r>
        <w:rPr>
          <w:b/>
          <w:sz w:val="28"/>
        </w:rPr>
        <w:t>2024年04月11日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陕西上德招标有限公司</w:t>
      </w:r>
      <w:r>
        <w:rPr/>
        <w:t>（以下简称“代理机构”）受</w:t>
      </w:r>
      <w:r>
        <w:rPr/>
        <w:t>中国西安人才市场管理委员会办公室</w:t>
      </w:r>
      <w:r>
        <w:rPr/>
        <w:t>委托，拟对</w:t>
      </w:r>
      <w:r>
        <w:rPr/>
        <w:t>2024年场地搬迁服务采购项目</w:t>
      </w:r>
      <w:r>
        <w:rPr/>
        <w:t>采用竞争性磋商采购方式进行采购，兹邀请供应商参加本项目的竞争性磋商。</w:t>
      </w:r>
    </w:p>
    <w:p>
      <w:pPr>
        <w:pStyle w:val="null3"/>
        <w:outlineLvl w:val="2"/>
      </w:pPr>
      <w:r>
        <w:rPr>
          <w:b/>
          <w:sz w:val="28"/>
        </w:rPr>
        <w:t>一、项目编号：</w:t>
      </w:r>
      <w:r>
        <w:rPr>
          <w:b/>
          <w:sz w:val="28"/>
        </w:rPr>
        <w:t>SDZC2024--040</w:t>
      </w:r>
    </w:p>
    <w:p>
      <w:pPr>
        <w:pStyle w:val="null3"/>
        <w:outlineLvl w:val="2"/>
      </w:pPr>
      <w:r>
        <w:rPr>
          <w:b/>
          <w:sz w:val="28"/>
        </w:rPr>
        <w:t>二、项目名称：</w:t>
      </w:r>
      <w:r>
        <w:rPr>
          <w:b/>
          <w:sz w:val="28"/>
        </w:rPr>
        <w:t>2024年场地搬迁服务采购项目</w:t>
      </w:r>
    </w:p>
    <w:p>
      <w:pPr>
        <w:pStyle w:val="null3"/>
        <w:outlineLvl w:val="2"/>
      </w:pPr>
      <w:r>
        <w:rPr>
          <w:b/>
          <w:sz w:val="28"/>
        </w:rPr>
        <w:t>三、磋商项目简介</w:t>
      </w:r>
    </w:p>
    <w:p>
      <w:pPr>
        <w:pStyle w:val="null3"/>
        <w:ind w:firstLine="480"/>
      </w:pPr>
      <w:r>
        <w:rPr/>
        <w:t>2024年场地搬迁服务</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采购包1（文件资料、家具类资产及档案密集柜搬迁）：属于专门面向中小企业采购。</w:t>
      </w:r>
    </w:p>
    <w:p>
      <w:pPr>
        <w:pStyle w:val="null3"/>
      </w:pPr>
      <w:r>
        <w:rPr/>
        <w:t>采购包2（库房档案搬迁）：属于专门面向中小企业采购。</w:t>
      </w:r>
    </w:p>
    <w:p>
      <w:pPr>
        <w:pStyle w:val="null3"/>
      </w:pPr>
      <w:r>
        <w:rPr/>
        <w:t>采购包3（信息化搬迁）：属于专门面向中小企业采购。</w:t>
      </w:r>
    </w:p>
    <w:p>
      <w:pPr>
        <w:pStyle w:val="null3"/>
        <w:ind w:firstLine="480"/>
      </w:pPr>
      <w:r>
        <w:rPr/>
        <w:t>（三）本项目的特定资格要求：</w:t>
      </w:r>
    </w:p>
    <w:p>
      <w:pPr>
        <w:pStyle w:val="null3"/>
      </w:pPr>
      <w:r>
        <w:rPr/>
        <w:t>采购包1：</w:t>
      </w:r>
    </w:p>
    <w:p>
      <w:pPr>
        <w:pStyle w:val="null3"/>
      </w:pPr>
      <w:r>
        <w:rPr/>
        <w:t>1、提供供应商合法注册的法人或者其他组织的营业执照等证明文件、自然人的身份证明：提供供应商合法注册的法人或者其他组织的营业执照等证明文件、自然人的身份证明；</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3、税收缴纳证明：税收缴纳证明：提供截止至开标时间前一年内任意一个月的缴纳凭据；（增值税、企业所得税至少提供一种，依法免税的供应商应提供相关文件证明）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5、提供具有履行本合同所必需的设备和专业技术能力的说明及承诺：提供具有履行本合同所必需的设备和专业技术能力的说明及承诺；（提供书面说明及承诺，加盖供应商公章）</w:t>
      </w:r>
    </w:p>
    <w:p>
      <w:pPr>
        <w:pStyle w:val="null3"/>
      </w:pPr>
      <w:r>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落实政府采购政策需满足的资格要求：落实政府采购政策需满足的资格要求：本项目专门面向中小企业采购；须符合《政府采购促进中小企业发展管理办法》（财库〔2020〕46号）规定的中小企业参加。（提供《中小企业声明函》，式样见竞争性磋商响应文件格式）</w:t>
      </w:r>
    </w:p>
    <w:p>
      <w:pPr>
        <w:pStyle w:val="null3"/>
      </w:pPr>
      <w:r>
        <w:rPr/>
        <w:t>8、法定代表人授权委托书：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竞争性磋商响应文件格式）</w:t>
      </w:r>
    </w:p>
    <w:p>
      <w:pPr>
        <w:pStyle w:val="null3"/>
      </w:pPr>
      <w:r>
        <w:rPr/>
        <w:t>9、磋商保证金交纳凭证或担保函：磋商保证金交纳凭证或担保函；（银行凭证加盖供应商公章或财政部门认可的政府采购信用担保机构出具的担保函）</w:t>
      </w:r>
    </w:p>
    <w:p>
      <w:pPr>
        <w:pStyle w:val="null3"/>
      </w:pPr>
      <w:r>
        <w:rPr/>
        <w:t>10、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响应截止日当天在“信用中国”网站和中国政府采购网站进行查询，截图留档；如网站无供应商信息的，供应商须提供相关证明资料或书面声明）</w:t>
      </w:r>
    </w:p>
    <w:p>
      <w:pPr>
        <w:pStyle w:val="null3"/>
      </w:pPr>
      <w:r>
        <w:rPr/>
        <w:t>11、控股关系查询或声明：单位负责人为同一人或者存在直接控股、管理关系的不同供应商，不得参加同一合同项下的政府采购活动。(根据财库【2019】38号文规定，此项在磋商响应截止日当天在“国家企业信用信息公示系统”网站进行查询，截图留档；如网站无供应商信息的，供应商须提供相关证明资料或书面声明）</w:t>
      </w:r>
    </w:p>
    <w:p>
      <w:pPr>
        <w:pStyle w:val="null3"/>
      </w:pPr>
      <w:r>
        <w:rPr/>
        <w:t>采购包2：</w:t>
      </w:r>
    </w:p>
    <w:p>
      <w:pPr>
        <w:pStyle w:val="null3"/>
      </w:pPr>
      <w:r>
        <w:rPr/>
        <w:t>1、提供供应商合法注册的法人或者其他组织的营业执照等证明文件、自然人的身份证明：提供供应商合法注册的法人或者其他组织的营业执照等证明文件、自然人的身份证明；</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3、税收缴纳证明：税收缴纳证明：提供截止至开标时间前一年内任意一个月的缴纳凭据；（增值税、企业所得税至少提供一种，依法免税的供应商应提供相关文件证明）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5、提供具有履行本合同所必需的设备和专业技术能力的说明及承诺：提供具有履行本合同所必需的设备和专业技术能力的说明及承诺；（提供书面说明及承诺，加盖供应商公章）</w:t>
      </w:r>
    </w:p>
    <w:p>
      <w:pPr>
        <w:pStyle w:val="null3"/>
      </w:pPr>
      <w:r>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落实政府采购政策需满足的资格要求：落实政府采购政策需满足的资格要求：本项目专门面向中小企业采购；须符合《政府采购促进中小企业发展管理办法》（财库〔2020〕46号）规定的中小企业参加。（提供《中小企业声明函》，式样见竞争性磋商响应文件格式）</w:t>
      </w:r>
    </w:p>
    <w:p>
      <w:pPr>
        <w:pStyle w:val="null3"/>
      </w:pPr>
      <w:r>
        <w:rPr/>
        <w:t>8、法定代表人授权委托书：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竞争性磋商响应文件格式）</w:t>
      </w:r>
    </w:p>
    <w:p>
      <w:pPr>
        <w:pStyle w:val="null3"/>
      </w:pPr>
      <w:r>
        <w:rPr/>
        <w:t>9、磋商保证金交纳凭证或担保函：磋商保证金交纳凭证或担保函；（银行凭证加盖供应商公章或财政部门认可的政府采购信用担保机构出具的担保函）</w:t>
      </w:r>
    </w:p>
    <w:p>
      <w:pPr>
        <w:pStyle w:val="null3"/>
      </w:pPr>
      <w:r>
        <w:rPr/>
        <w:t>10、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响应截止日当天在“信用中国”网站和中国政府采购网站进行查询，截图留档；如网站无供应商信息的，供应商须提供相关证明资料或书面声明）</w:t>
      </w:r>
    </w:p>
    <w:p>
      <w:pPr>
        <w:pStyle w:val="null3"/>
      </w:pPr>
      <w:r>
        <w:rPr/>
        <w:t>11、控股关系查询或声明：单位负责人为同一人或者存在直接控股、管理关系的不同供应商，不得参加同一合同项下的政府采购活动。(根据财库【2019】38号文规定，此项在磋商响应截止日当天在“国家企业信用信息公示系统”网站进行查询，截图留档；如网站无供应商信息的，供应商须提供相关证明资料或书面声明）</w:t>
      </w:r>
    </w:p>
    <w:p>
      <w:pPr>
        <w:pStyle w:val="null3"/>
      </w:pPr>
      <w:r>
        <w:rPr/>
        <w:t>采购包3：</w:t>
      </w:r>
    </w:p>
    <w:p>
      <w:pPr>
        <w:pStyle w:val="null3"/>
      </w:pPr>
      <w:r>
        <w:rPr/>
        <w:t>1、提供供应商合法注册的法人或者其他组织的营业执照等证明文件、自然人的身份证明：提供供应商合法注册的法人或者其他组织的营业执照等证明文件、自然人的身份证明；</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3、税收缴纳证明：税收缴纳证明：提供截止至开标时间前一年内任意一个月的缴纳凭据；（增值税、企业所得税至少提供一种，依法免税的供应商应提供相关文件证明）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5、提供具有履行本合同所必需的设备和专业技术能力的说明及承诺：提供具有履行本合同所必需的设备和专业技术能力的说明及承诺；（提供书面说明及承诺，加盖供应商公章）</w:t>
      </w:r>
    </w:p>
    <w:p>
      <w:pPr>
        <w:pStyle w:val="null3"/>
      </w:pPr>
      <w:r>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落实政府采购政策需满足的资格要求：落实政府采购政策需满足的资格要求：本项目专门面向中小企业采购；须符合《政府采购促进中小企业发展管理办法》（财库〔2020〕46号）规定的中小企业参加。（提供《中小企业声明函》，式样见竞争性磋商响应文件格式）</w:t>
      </w:r>
    </w:p>
    <w:p>
      <w:pPr>
        <w:pStyle w:val="null3"/>
      </w:pPr>
      <w:r>
        <w:rPr/>
        <w:t>8、法定代表人授权委托书：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竞争性磋商响应文件格式）</w:t>
      </w:r>
    </w:p>
    <w:p>
      <w:pPr>
        <w:pStyle w:val="null3"/>
      </w:pPr>
      <w:r>
        <w:rPr/>
        <w:t>9、磋商保证金交纳凭证或担保函：磋商保证金交纳凭证或担保函；（银行凭证加盖供应商公章或财政部门认可的政府采购信用担保机构出具的担保函）</w:t>
      </w:r>
    </w:p>
    <w:p>
      <w:pPr>
        <w:pStyle w:val="null3"/>
      </w:pPr>
      <w:r>
        <w:rPr/>
        <w:t>10、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响应截止日当天在“信用中国”网站和中国政府采购网站进行查询，截图留档；如网站无供应商信息的，供应商须提供相关证明资料或书面声明）</w:t>
      </w:r>
    </w:p>
    <w:p>
      <w:pPr>
        <w:pStyle w:val="null3"/>
      </w:pPr>
      <w:r>
        <w:rPr/>
        <w:t>11、控股关系查询或声明：单位负责人为同一人或者存在直接控股、管理关系的不同供应商，不得参加同一合同项下的政府采购活动。(根据财库【2019】38号文规定，此项在磋商响应截止日当天在“国家企业信用信息公示系统”网站进行查询，截图留档；如网站无供应商信息的，供应商须提供相关证明资料或书面声明）</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中国西安人才市场管理委员会办公室</w:t>
      </w:r>
    </w:p>
    <w:p>
      <w:pPr>
        <w:pStyle w:val="null3"/>
      </w:pPr>
      <w:r>
        <w:rPr/>
        <w:t xml:space="preserve"> 地址： </w:t>
      </w:r>
      <w:r>
        <w:rPr/>
        <w:t>西安市雁塔区翠华路1819号</w:t>
      </w:r>
    </w:p>
    <w:p>
      <w:pPr>
        <w:pStyle w:val="null3"/>
      </w:pPr>
      <w:r>
        <w:rPr/>
        <w:t xml:space="preserve"> 邮编： </w:t>
      </w:r>
      <w:r>
        <w:rPr/>
        <w:t>710061</w:t>
      </w:r>
    </w:p>
    <w:p>
      <w:pPr>
        <w:pStyle w:val="null3"/>
      </w:pPr>
      <w:r>
        <w:rPr/>
        <w:t xml:space="preserve"> 联系人： </w:t>
      </w:r>
      <w:r>
        <w:rPr/>
        <w:t>中国西安人才市场管理委员会办公室</w:t>
      </w:r>
    </w:p>
    <w:p>
      <w:pPr>
        <w:pStyle w:val="null3"/>
      </w:pPr>
      <w:r>
        <w:rPr/>
        <w:t xml:space="preserve"> 联系电话： </w:t>
      </w:r>
      <w:r>
        <w:rPr/>
        <w:t>029-85262173</w:t>
      </w:r>
    </w:p>
    <w:p>
      <w:pPr>
        <w:pStyle w:val="null3"/>
        <w:outlineLvl w:val="3"/>
      </w:pPr>
      <w:r>
        <w:rPr>
          <w:b/>
          <w:sz w:val="24"/>
        </w:rPr>
        <w:t>代理机构：</w:t>
      </w:r>
      <w:r>
        <w:rPr>
          <w:b/>
          <w:sz w:val="24"/>
        </w:rPr>
        <w:t>陕西上德招标有限公司</w:t>
      </w:r>
    </w:p>
    <w:p>
      <w:pPr>
        <w:pStyle w:val="null3"/>
      </w:pPr>
      <w:r>
        <w:rPr/>
        <w:t xml:space="preserve"> 地址： </w:t>
      </w:r>
      <w:r>
        <w:rPr/>
        <w:t xml:space="preserve"> 西安市经开区凤城八路正尚国际金融广场A 座7 层703（张家堡转盘东南角）</w:t>
      </w:r>
    </w:p>
    <w:p>
      <w:pPr>
        <w:pStyle w:val="null3"/>
      </w:pPr>
      <w:r>
        <w:rPr/>
        <w:t xml:space="preserve"> 邮编： </w:t>
      </w:r>
      <w:r>
        <w:rPr/>
        <w:t>710018</w:t>
      </w:r>
    </w:p>
    <w:p>
      <w:pPr>
        <w:pStyle w:val="null3"/>
      </w:pPr>
      <w:r>
        <w:rPr/>
        <w:t xml:space="preserve"> 联系人： </w:t>
      </w:r>
      <w:r>
        <w:rPr/>
        <w:t>黄诗末</w:t>
      </w:r>
    </w:p>
    <w:p>
      <w:pPr>
        <w:pStyle w:val="null3"/>
      </w:pPr>
      <w:r>
        <w:rPr/>
        <w:t xml:space="preserve"> 联系电话： </w:t>
      </w:r>
      <w:r>
        <w:rPr/>
        <w:t>029-86673953/86518381转8007</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p>
          <w:p>
            <w:pPr>
              <w:pStyle w:val="null3"/>
            </w:pPr>
            <w:r>
              <w:rPr/>
              <w:t>采购包2：540,000.00元</w:t>
            </w:r>
          </w:p>
          <w:p>
            <w:pPr>
              <w:pStyle w:val="null3"/>
            </w:pPr>
            <w:r>
              <w:rPr/>
              <w:t>采购包3：350,000.00元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采购包1保证金金额：12,000.00元</w:t>
            </w:r>
          </w:p>
          <w:p>
            <w:pPr>
              <w:pStyle w:val="null3"/>
            </w:pPr>
            <w:r>
              <w:rPr/>
              <w:t>采购包2保证金金额：10,000.00元</w:t>
            </w:r>
          </w:p>
          <w:p>
            <w:pPr>
              <w:pStyle w:val="null3"/>
            </w:pPr>
            <w:r>
              <w:rPr/>
              <w:t>采购包3保证金金额：7,000.00元</w:t>
            </w:r>
          </w:p>
          <w:p>
            <w:pPr>
              <w:pStyle w:val="null3"/>
            </w:pPr>
            <w:r>
              <w:rPr/>
              <w:t>缴交渠道：转账、支票、汇票等（需通过实体账户、户名及开户行信息）,电子保函</w:t>
            </w:r>
          </w:p>
          <w:p>
            <w:pPr>
              <w:pStyle w:val="null3"/>
            </w:pPr>
            <w:r>
              <w:rPr/>
              <w:t>开户名称：陕西上德招标有限公司</w:t>
            </w:r>
          </w:p>
          <w:p>
            <w:pPr>
              <w:pStyle w:val="null3"/>
            </w:pPr>
            <w:r>
              <w:rPr/>
              <w:t>开户银行：中信银行西安南稍门支行</w:t>
            </w:r>
          </w:p>
          <w:p>
            <w:pPr>
              <w:pStyle w:val="null3"/>
            </w:pPr>
            <w:r>
              <w:rPr/>
              <w:t>银行账号：8111 7010 1170 0299 237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说明：签订合同前，乙方提供合同金额5%的履约保函</w:t>
            </w:r>
          </w:p>
          <w:p>
            <w:pPr>
              <w:pStyle w:val="null3"/>
            </w:pPr>
            <w:r>
              <w:rPr/>
              <w:t>采购包2：缴纳</w:t>
            </w:r>
          </w:p>
          <w:p>
            <w:pPr>
              <w:pStyle w:val="null3"/>
            </w:pPr>
            <w:r>
              <w:rPr/>
              <w:t>本采购包履约保证金为合同金额的5.0%</w:t>
            </w:r>
          </w:p>
          <w:p>
            <w:pPr>
              <w:pStyle w:val="null3"/>
            </w:pPr>
            <w:r>
              <w:rPr/>
              <w:t>说明：签订合同前，乙方提供合同金额5%的履约保函</w:t>
            </w:r>
          </w:p>
          <w:p>
            <w:pPr>
              <w:pStyle w:val="null3"/>
            </w:pPr>
            <w:r>
              <w:rPr/>
              <w:t>采购包3：缴纳</w:t>
            </w:r>
          </w:p>
          <w:p>
            <w:pPr>
              <w:pStyle w:val="null3"/>
            </w:pPr>
            <w:r>
              <w:rPr/>
              <w:t>本采购包履约保证金为合同金额的5.0%</w:t>
            </w:r>
          </w:p>
          <w:p>
            <w:pPr>
              <w:pStyle w:val="null3"/>
            </w:pPr>
            <w:r>
              <w:rPr/>
              <w:t>说明：签订合同前，乙方提供合同金额5%的履约保函</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在领取中标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踏勘时间：2024-04-19 09:30:00</w:t>
            </w:r>
          </w:p>
          <w:p>
            <w:pPr>
              <w:pStyle w:val="null3"/>
              <w:ind w:firstLine="975"/>
            </w:pPr>
            <w:r>
              <w:rPr/>
              <w:t>踏勘地点：雁塔区翠华路1819号</w:t>
            </w:r>
          </w:p>
          <w:p>
            <w:pPr>
              <w:pStyle w:val="null3"/>
              <w:ind w:firstLine="975"/>
            </w:pPr>
            <w:r>
              <w:rPr/>
              <w:t>联系人：杨老师</w:t>
            </w:r>
          </w:p>
          <w:p>
            <w:pPr>
              <w:pStyle w:val="null3"/>
              <w:ind w:firstLine="975"/>
            </w:pPr>
            <w:r>
              <w:rPr/>
              <w:t>联系电话号码：18192651839</w:t>
            </w:r>
          </w:p>
          <w:p>
            <w:pPr>
              <w:pStyle w:val="null3"/>
            </w:pPr>
            <w:r>
              <w:rPr/>
              <w:t>采购包2：组织现场踏勘：是</w:t>
            </w:r>
          </w:p>
          <w:p>
            <w:pPr>
              <w:pStyle w:val="null3"/>
              <w:ind w:firstLine="975"/>
            </w:pPr>
            <w:r>
              <w:rPr/>
              <w:t>踏勘时间：2024-04-19 09:30:00</w:t>
            </w:r>
          </w:p>
          <w:p>
            <w:pPr>
              <w:pStyle w:val="null3"/>
              <w:ind w:firstLine="975"/>
            </w:pPr>
            <w:r>
              <w:rPr/>
              <w:t>踏勘地点：雁塔区翠华路1819号</w:t>
            </w:r>
          </w:p>
          <w:p>
            <w:pPr>
              <w:pStyle w:val="null3"/>
              <w:ind w:firstLine="975"/>
            </w:pPr>
            <w:r>
              <w:rPr/>
              <w:t>联系人：杨老师</w:t>
            </w:r>
          </w:p>
          <w:p>
            <w:pPr>
              <w:pStyle w:val="null3"/>
              <w:ind w:firstLine="975"/>
            </w:pPr>
            <w:r>
              <w:rPr/>
              <w:t>联系电话号码：18192651839</w:t>
            </w:r>
          </w:p>
          <w:p>
            <w:pPr>
              <w:pStyle w:val="null3"/>
            </w:pPr>
            <w:r>
              <w:rPr/>
              <w:t>采购包3：组织现场踏勘：是</w:t>
            </w:r>
          </w:p>
          <w:p>
            <w:pPr>
              <w:pStyle w:val="null3"/>
              <w:ind w:firstLine="975"/>
            </w:pPr>
            <w:r>
              <w:rPr/>
              <w:t>踏勘时间：2024-04-19 09:30:00</w:t>
            </w:r>
          </w:p>
          <w:p>
            <w:pPr>
              <w:pStyle w:val="null3"/>
              <w:ind w:firstLine="975"/>
            </w:pPr>
            <w:r>
              <w:rPr/>
              <w:t>踏勘地点：雁塔区翠华路1819号</w:t>
            </w:r>
          </w:p>
          <w:p>
            <w:pPr>
              <w:pStyle w:val="null3"/>
              <w:ind w:firstLine="975"/>
            </w:pPr>
            <w:r>
              <w:rPr/>
              <w:t>联系人：杨老师</w:t>
            </w:r>
          </w:p>
          <w:p>
            <w:pPr>
              <w:pStyle w:val="null3"/>
              <w:ind w:firstLine="975"/>
            </w:pPr>
            <w:r>
              <w:rPr/>
              <w:t>联系电话号码：18192651839</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中国西安人才市场管理委员会办公室</w:t>
      </w:r>
      <w:r>
        <w:rPr/>
        <w:t>和</w:t>
      </w:r>
      <w:r>
        <w:rPr/>
        <w:t>陕西上德招标有限公司</w:t>
      </w:r>
      <w:r>
        <w:rPr/>
        <w:t>享有。对磋商文件中供应商参加本次政府采购活动应当具备的条件，磋商项目技术、服务、商务及其他要求，评审细则及标准由</w:t>
      </w:r>
      <w:r>
        <w:rPr/>
        <w:t>中国西安人才市场管理委员会办公室</w:t>
      </w:r>
      <w:r>
        <w:rPr/>
        <w:t>负责解释。除上述磋商文件内容，其他内容由</w:t>
      </w:r>
      <w:r>
        <w:rPr/>
        <w:t>陕西上德招标有限公司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中国西安人才市场管理委员会办公室</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陕西上德招标有限公司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满足采购人及磋商文件要求</w:t>
      </w:r>
    </w:p>
    <w:p>
      <w:pPr>
        <w:pStyle w:val="null3"/>
      </w:pPr>
      <w:r>
        <w:rPr/>
        <w:t>采购包2：</w:t>
      </w:r>
    </w:p>
    <w:p>
      <w:pPr>
        <w:pStyle w:val="null3"/>
      </w:pPr>
      <w:r>
        <w:rPr/>
        <w:t>满足采购人及磋商文件要求</w:t>
      </w:r>
    </w:p>
    <w:p>
      <w:pPr>
        <w:pStyle w:val="null3"/>
      </w:pPr>
      <w:r>
        <w:rPr/>
        <w:t>采购包3：</w:t>
      </w:r>
    </w:p>
    <w:p>
      <w:pPr>
        <w:pStyle w:val="null3"/>
      </w:pPr>
      <w:r>
        <w:rPr/>
        <w:t>满足采购人及磋商文件要求</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联系人：黄诗末</w:t>
      </w:r>
    </w:p>
    <w:p>
      <w:pPr>
        <w:pStyle w:val="null3"/>
      </w:pPr>
      <w:r>
        <w:rPr/>
        <w:t>联系电话：029-86673953、029-86518381、029-89299829、029-89293231 转8007</w:t>
      </w:r>
    </w:p>
    <w:p>
      <w:pPr>
        <w:pStyle w:val="null3"/>
      </w:pPr>
      <w:r>
        <w:rPr/>
        <w:t>地址：西安市经开区凤城八路正尚国际金融广场A座7层703 （张家堡转盘东南角）</w:t>
      </w:r>
    </w:p>
    <w:p>
      <w:pPr>
        <w:pStyle w:val="null3"/>
      </w:pPr>
      <w:r>
        <w:rPr/>
        <w:t>邮编：710018</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2024年场地搬迁服务采购</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600,000.00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文件资料及家具类资产及档案密集柜搬迁</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项</w:t>
            </w:r>
          </w:p>
        </w:tc>
        <w:tc>
          <w:tcPr>
            <w:tcW w:type="dxa" w:w="831"/>
          </w:tcPr>
          <w:p>
            <w:pPr>
              <w:pStyle w:val="null3"/>
            </w:pPr>
            <w:r>
              <w:rPr/>
              <w:t>仓储业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540,000.00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库房档案搬迁</w:t>
            </w:r>
          </w:p>
        </w:tc>
        <w:tc>
          <w:tcPr>
            <w:tcW w:type="dxa" w:w="831"/>
          </w:tcPr>
          <w:p>
            <w:pPr>
              <w:pStyle w:val="null3"/>
              <w:jc w:val="right"/>
            </w:pPr>
            <w:r>
              <w:rPr/>
              <w:t>1.00</w:t>
            </w:r>
          </w:p>
        </w:tc>
        <w:tc>
          <w:tcPr>
            <w:tcW w:type="dxa" w:w="831"/>
          </w:tcPr>
          <w:p>
            <w:pPr>
              <w:pStyle w:val="null3"/>
              <w:jc w:val="right"/>
            </w:pPr>
            <w:r>
              <w:rPr/>
              <w:t>540,000.00</w:t>
            </w:r>
          </w:p>
        </w:tc>
        <w:tc>
          <w:tcPr>
            <w:tcW w:type="dxa" w:w="831"/>
          </w:tcPr>
          <w:p>
            <w:pPr>
              <w:pStyle w:val="null3"/>
            </w:pPr>
            <w:r>
              <w:rPr/>
              <w:t>项</w:t>
            </w:r>
          </w:p>
        </w:tc>
        <w:tc>
          <w:tcPr>
            <w:tcW w:type="dxa" w:w="831"/>
          </w:tcPr>
          <w:p>
            <w:pPr>
              <w:pStyle w:val="null3"/>
            </w:pPr>
            <w:r>
              <w:rPr/>
              <w:t>仓储业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350,000.00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信息化搬迁</w:t>
            </w:r>
          </w:p>
        </w:tc>
        <w:tc>
          <w:tcPr>
            <w:tcW w:type="dxa" w:w="831"/>
          </w:tcPr>
          <w:p>
            <w:pPr>
              <w:pStyle w:val="null3"/>
              <w:jc w:val="right"/>
            </w:pPr>
            <w:r>
              <w:rPr/>
              <w:t>1.00</w:t>
            </w:r>
          </w:p>
        </w:tc>
        <w:tc>
          <w:tcPr>
            <w:tcW w:type="dxa" w:w="831"/>
          </w:tcPr>
          <w:p>
            <w:pPr>
              <w:pStyle w:val="null3"/>
              <w:jc w:val="right"/>
            </w:pPr>
            <w:r>
              <w:rPr/>
              <w:t>350,000.00</w:t>
            </w:r>
          </w:p>
        </w:tc>
        <w:tc>
          <w:tcPr>
            <w:tcW w:type="dxa" w:w="831"/>
          </w:tcPr>
          <w:p>
            <w:pPr>
              <w:pStyle w:val="null3"/>
            </w:pPr>
            <w:r>
              <w:rPr/>
              <w:t>项</w:t>
            </w:r>
          </w:p>
        </w:tc>
        <w:tc>
          <w:tcPr>
            <w:tcW w:type="dxa" w:w="831"/>
          </w:tcPr>
          <w:p>
            <w:pPr>
              <w:pStyle w:val="null3"/>
            </w:pPr>
            <w:r>
              <w:rPr/>
              <w:t>仓储业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标的名称：文件资料及家具类资产及档案密集柜搬迁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rPr>
              <w:t>一、搬迁需求</w:t>
            </w:r>
          </w:p>
          <w:p>
            <w:pPr>
              <w:pStyle w:val="null3"/>
              <w:ind w:firstLine="480"/>
              <w:jc w:val="both"/>
            </w:pPr>
            <w:r>
              <w:rPr>
                <w:rFonts w:ascii="宋体" w:hAnsi="宋体" w:cs="宋体" w:eastAsia="宋体"/>
                <w:sz w:val="24"/>
              </w:rPr>
              <w:t>所有文件资料及家具类资产</w:t>
            </w:r>
            <w:r>
              <w:rPr>
                <w:rFonts w:ascii="宋体" w:hAnsi="宋体" w:cs="宋体" w:eastAsia="宋体"/>
                <w:sz w:val="24"/>
              </w:rPr>
              <w:t>、档案密集柜</w:t>
            </w:r>
            <w:r>
              <w:rPr>
                <w:rFonts w:ascii="宋体" w:hAnsi="宋体" w:cs="宋体" w:eastAsia="宋体"/>
                <w:sz w:val="24"/>
              </w:rPr>
              <w:t>从旧办公场地（雁塔区翠华路</w:t>
            </w:r>
            <w:r>
              <w:rPr>
                <w:rFonts w:ascii="宋体" w:hAnsi="宋体" w:cs="宋体" w:eastAsia="宋体"/>
                <w:sz w:val="24"/>
              </w:rPr>
              <w:t>1819号）搬入新办公场地（莲湖区习武园39号）指定位置。</w:t>
            </w:r>
          </w:p>
          <w:p>
            <w:pPr>
              <w:pStyle w:val="null3"/>
              <w:ind w:firstLine="480"/>
              <w:jc w:val="both"/>
            </w:pPr>
            <w:r>
              <w:rPr>
                <w:rFonts w:ascii="宋体" w:hAnsi="宋体" w:cs="宋体" w:eastAsia="宋体"/>
                <w:sz w:val="24"/>
              </w:rPr>
              <w:t>二、有关要求</w:t>
            </w:r>
          </w:p>
          <w:p>
            <w:pPr>
              <w:pStyle w:val="null3"/>
              <w:ind w:firstLine="482"/>
              <w:jc w:val="both"/>
            </w:pPr>
            <w:r>
              <w:rPr>
                <w:rFonts w:ascii="宋体" w:hAnsi="宋体" w:cs="宋体" w:eastAsia="宋体"/>
                <w:b/>
                <w:sz w:val="24"/>
              </w:rPr>
              <w:t>（一）所需物资</w:t>
            </w:r>
          </w:p>
          <w:p>
            <w:pPr>
              <w:pStyle w:val="null3"/>
              <w:ind w:firstLine="480"/>
              <w:jc w:val="both"/>
            </w:pPr>
            <w:r>
              <w:rPr>
                <w:rFonts w:ascii="宋体" w:hAnsi="宋体" w:cs="宋体" w:eastAsia="宋体"/>
                <w:sz w:val="24"/>
              </w:rPr>
              <w:t>1.</w:t>
            </w:r>
            <w:r>
              <w:rPr>
                <w:rFonts w:ascii="宋体" w:hAnsi="宋体" w:cs="宋体" w:eastAsia="宋体"/>
                <w:sz w:val="24"/>
              </w:rPr>
              <w:t>搬迁服务方提供纸箱</w:t>
            </w:r>
            <w:r>
              <w:rPr>
                <w:rFonts w:ascii="宋体" w:hAnsi="宋体" w:cs="宋体" w:eastAsia="宋体"/>
                <w:sz w:val="24"/>
              </w:rPr>
              <w:t>1</w:t>
            </w:r>
            <w:r>
              <w:rPr>
                <w:rFonts w:ascii="宋体" w:hAnsi="宋体" w:cs="宋体" w:eastAsia="宋体"/>
                <w:sz w:val="24"/>
              </w:rPr>
              <w:t>100</w:t>
            </w:r>
            <w:r>
              <w:rPr>
                <w:rFonts w:ascii="宋体" w:hAnsi="宋体" w:cs="宋体" w:eastAsia="宋体"/>
                <w:sz w:val="24"/>
              </w:rPr>
              <w:t>个（尺寸：</w:t>
            </w:r>
            <w:r>
              <w:rPr>
                <w:rFonts w:ascii="宋体" w:hAnsi="宋体" w:cs="宋体" w:eastAsia="宋体"/>
                <w:sz w:val="24"/>
              </w:rPr>
              <w:t>60</w:t>
            </w:r>
            <w:r>
              <w:rPr>
                <w:rFonts w:ascii="宋体" w:hAnsi="宋体" w:cs="宋体" w:eastAsia="宋体"/>
                <w:sz w:val="24"/>
              </w:rPr>
              <w:t>cm</w:t>
            </w:r>
            <w:r>
              <w:rPr>
                <w:rFonts w:ascii="宋体" w:hAnsi="宋体" w:cs="宋体" w:eastAsia="宋体"/>
                <w:sz w:val="24"/>
              </w:rPr>
              <w:t>×50</w:t>
            </w:r>
            <w:r>
              <w:rPr>
                <w:rFonts w:ascii="宋体" w:hAnsi="宋体" w:cs="宋体" w:eastAsia="宋体"/>
                <w:sz w:val="24"/>
              </w:rPr>
              <w:t>cm</w:t>
            </w:r>
            <w:r>
              <w:rPr>
                <w:rFonts w:ascii="宋体" w:hAnsi="宋体" w:cs="宋体" w:eastAsia="宋体"/>
                <w:sz w:val="24"/>
              </w:rPr>
              <w:t>×40</w:t>
            </w:r>
            <w:r>
              <w:rPr>
                <w:rFonts w:ascii="宋体" w:hAnsi="宋体" w:cs="宋体" w:eastAsia="宋体"/>
                <w:sz w:val="24"/>
              </w:rPr>
              <w:t>cm</w:t>
            </w:r>
            <w:r>
              <w:rPr>
                <w:rFonts w:ascii="宋体" w:hAnsi="宋体" w:cs="宋体" w:eastAsia="宋体"/>
                <w:sz w:val="24"/>
              </w:rPr>
              <w:t>）、宽胶带</w:t>
            </w:r>
            <w:r>
              <w:rPr>
                <w:rFonts w:ascii="宋体" w:hAnsi="宋体" w:cs="宋体" w:eastAsia="宋体"/>
                <w:sz w:val="24"/>
              </w:rPr>
              <w:t>190卷、标签纸20张、记号笔130支，绳子100根（每根约50米）。</w:t>
            </w:r>
          </w:p>
          <w:p>
            <w:pPr>
              <w:pStyle w:val="null3"/>
              <w:ind w:firstLine="480"/>
              <w:jc w:val="both"/>
            </w:pPr>
            <w:r>
              <w:rPr>
                <w:rFonts w:ascii="宋体" w:hAnsi="宋体" w:cs="宋体" w:eastAsia="宋体"/>
                <w:sz w:val="24"/>
              </w:rPr>
              <w:t>2.</w:t>
            </w:r>
            <w:r>
              <w:rPr>
                <w:rFonts w:ascii="宋体" w:hAnsi="宋体" w:cs="宋体" w:eastAsia="宋体"/>
                <w:sz w:val="24"/>
              </w:rPr>
              <w:t>我单位</w:t>
            </w:r>
            <w:r>
              <w:rPr>
                <w:rFonts w:ascii="宋体" w:hAnsi="宋体" w:cs="宋体" w:eastAsia="宋体"/>
                <w:sz w:val="24"/>
              </w:rPr>
              <w:t>仅提供初步搬迁需求，完成整个搬迁服务涉及设备、家具、箱包等以实际搬迁产生的数量为准，所需的相关材料、配件、人工、打包、拆装等设施设备及费用均包含在报价内，搬迁服务商应根据实际需求保障供给。</w:t>
            </w:r>
          </w:p>
          <w:p>
            <w:pPr>
              <w:pStyle w:val="null3"/>
              <w:ind w:firstLine="482"/>
              <w:jc w:val="both"/>
            </w:pPr>
            <w:r>
              <w:rPr>
                <w:rFonts w:ascii="宋体" w:hAnsi="宋体" w:cs="宋体" w:eastAsia="宋体"/>
                <w:b/>
                <w:sz w:val="24"/>
              </w:rPr>
              <w:t>（二）搬迁前的准备</w:t>
            </w:r>
          </w:p>
          <w:p>
            <w:pPr>
              <w:pStyle w:val="null3"/>
              <w:ind w:firstLine="480"/>
              <w:jc w:val="both"/>
            </w:pPr>
            <w:r>
              <w:rPr>
                <w:rFonts w:ascii="宋体" w:hAnsi="宋体" w:cs="宋体" w:eastAsia="宋体"/>
                <w:sz w:val="24"/>
              </w:rPr>
              <w:t>1</w:t>
            </w:r>
            <w:r>
              <w:rPr>
                <w:rFonts w:ascii="宋体" w:hAnsi="宋体" w:cs="宋体" w:eastAsia="宋体"/>
                <w:sz w:val="24"/>
              </w:rPr>
              <w:t>.搬迁服务商须提前考察搬迁物品、搬迁路线、道路交通规定、新旧场地具体环境条件等，提出详尽的搬迁实施方案由我单位审核确定后，遵照执行。</w:t>
            </w:r>
          </w:p>
          <w:p>
            <w:pPr>
              <w:pStyle w:val="null3"/>
              <w:ind w:firstLine="480"/>
              <w:jc w:val="both"/>
            </w:pPr>
            <w:r>
              <w:rPr>
                <w:rFonts w:ascii="宋体" w:hAnsi="宋体" w:cs="宋体" w:eastAsia="宋体"/>
                <w:sz w:val="24"/>
              </w:rPr>
              <w:t>2</w:t>
            </w:r>
            <w:r>
              <w:rPr>
                <w:rFonts w:ascii="宋体" w:hAnsi="宋体" w:cs="宋体" w:eastAsia="宋体"/>
                <w:sz w:val="24"/>
              </w:rPr>
              <w:t>.运输车辆须为封闭厢式货车，如遇下雨等恶劣天气，搬迁服务商需做好必要的防淋防潮准备。搬迁及运输过程中需确保资料及各类资产无丢失、无破损，搬迁过程中造成的物品损坏，搬迁服务商需按原价赔偿；因搬迁造成资料丢失，搬迁服务商需根据国家相关规定赔偿经济损失。</w:t>
            </w:r>
          </w:p>
          <w:p>
            <w:pPr>
              <w:pStyle w:val="null3"/>
              <w:ind w:firstLine="482"/>
              <w:jc w:val="both"/>
            </w:pPr>
            <w:r>
              <w:rPr>
                <w:rFonts w:ascii="宋体" w:hAnsi="宋体" w:cs="宋体" w:eastAsia="宋体"/>
                <w:b/>
                <w:sz w:val="24"/>
              </w:rPr>
              <w:t>（三）搬迁过程中</w:t>
            </w:r>
          </w:p>
          <w:p>
            <w:pPr>
              <w:pStyle w:val="null3"/>
              <w:ind w:firstLine="480"/>
              <w:jc w:val="both"/>
            </w:pPr>
            <w:r>
              <w:rPr>
                <w:rFonts w:ascii="宋体" w:hAnsi="宋体" w:cs="宋体" w:eastAsia="宋体"/>
                <w:sz w:val="24"/>
              </w:rPr>
              <w:t>1</w:t>
            </w:r>
            <w:r>
              <w:rPr>
                <w:rFonts w:ascii="宋体" w:hAnsi="宋体" w:cs="宋体" w:eastAsia="宋体"/>
                <w:sz w:val="24"/>
              </w:rPr>
              <w:t>.搬迁过程中需保持场地整洁、安全，由搬迁服务商做好对新旧场地墙面、地面的保护工作，造成的损坏由搬迁服务商按原价赔偿。</w:t>
            </w:r>
          </w:p>
          <w:p>
            <w:pPr>
              <w:pStyle w:val="null3"/>
              <w:ind w:firstLine="480"/>
              <w:jc w:val="both"/>
            </w:pPr>
            <w:r>
              <w:rPr>
                <w:rFonts w:ascii="宋体" w:hAnsi="宋体" w:cs="宋体" w:eastAsia="宋体"/>
                <w:sz w:val="24"/>
              </w:rPr>
              <w:t>2</w:t>
            </w:r>
            <w:r>
              <w:rPr>
                <w:rFonts w:ascii="宋体" w:hAnsi="宋体" w:cs="宋体" w:eastAsia="宋体"/>
                <w:sz w:val="24"/>
              </w:rPr>
              <w:t>.搬迁过程中要做到专人负责，搬迁人员有序组织，车辆有序安排，遵守相关规定，因搬迁造成服务商方人员、车辆、物品等损失，由搬迁服务商承担责任。</w:t>
            </w:r>
          </w:p>
          <w:p>
            <w:pPr>
              <w:pStyle w:val="null3"/>
              <w:ind w:firstLine="480"/>
              <w:jc w:val="both"/>
            </w:pPr>
            <w:r>
              <w:rPr>
                <w:rFonts w:ascii="宋体" w:hAnsi="宋体" w:cs="宋体" w:eastAsia="宋体"/>
                <w:sz w:val="24"/>
              </w:rPr>
              <w:t>3</w:t>
            </w:r>
            <w:r>
              <w:rPr>
                <w:rFonts w:ascii="宋体" w:hAnsi="宋体" w:cs="宋体" w:eastAsia="宋体"/>
                <w:sz w:val="24"/>
              </w:rPr>
              <w:t>.按照</w:t>
            </w:r>
            <w:r>
              <w:rPr>
                <w:rFonts w:ascii="宋体" w:hAnsi="宋体" w:cs="宋体" w:eastAsia="宋体"/>
                <w:sz w:val="24"/>
              </w:rPr>
              <w:t>我单位</w:t>
            </w:r>
            <w:r>
              <w:rPr>
                <w:rFonts w:ascii="宋体" w:hAnsi="宋体" w:cs="宋体" w:eastAsia="宋体"/>
                <w:sz w:val="24"/>
              </w:rPr>
              <w:t>要求以部门为单位打包搬运，搬出原办公室前，需双方工作人员核对、签字确认，按序放到指定位置，等待搬运装车。</w:t>
            </w:r>
          </w:p>
          <w:p>
            <w:pPr>
              <w:pStyle w:val="null3"/>
              <w:ind w:firstLine="480"/>
              <w:jc w:val="both"/>
            </w:pPr>
            <w:r>
              <w:rPr>
                <w:rFonts w:ascii="宋体" w:hAnsi="宋体" w:cs="宋体" w:eastAsia="宋体"/>
                <w:sz w:val="24"/>
              </w:rPr>
              <w:t>4</w:t>
            </w:r>
            <w:r>
              <w:rPr>
                <w:rFonts w:ascii="宋体" w:hAnsi="宋体" w:cs="宋体" w:eastAsia="宋体"/>
                <w:sz w:val="24"/>
              </w:rPr>
              <w:t>.装车后，须有专人列明每辆车搬运清单，与我单位跟车人清点物品数量、确认无误并签字确认后方可出发。</w:t>
            </w:r>
          </w:p>
          <w:p>
            <w:pPr>
              <w:pStyle w:val="null3"/>
              <w:ind w:firstLine="480"/>
              <w:jc w:val="both"/>
            </w:pPr>
            <w:r>
              <w:rPr>
                <w:rFonts w:ascii="宋体" w:hAnsi="宋体" w:cs="宋体" w:eastAsia="宋体"/>
                <w:sz w:val="24"/>
              </w:rPr>
              <w:t>5</w:t>
            </w:r>
            <w:r>
              <w:rPr>
                <w:rFonts w:ascii="宋体" w:hAnsi="宋体" w:cs="宋体" w:eastAsia="宋体"/>
                <w:sz w:val="24"/>
              </w:rPr>
              <w:t>.文件资料及家具等资产</w:t>
            </w:r>
            <w:r>
              <w:rPr>
                <w:rFonts w:ascii="宋体" w:hAnsi="宋体" w:cs="宋体" w:eastAsia="宋体"/>
                <w:sz w:val="24"/>
              </w:rPr>
              <w:t>搬迁至</w:t>
            </w:r>
            <w:r>
              <w:rPr>
                <w:rFonts w:ascii="宋体" w:hAnsi="宋体" w:cs="宋体" w:eastAsia="宋体"/>
                <w:sz w:val="24"/>
              </w:rPr>
              <w:t>新办公场地</w:t>
            </w:r>
            <w:r>
              <w:rPr>
                <w:rFonts w:ascii="宋体" w:hAnsi="宋体" w:cs="宋体" w:eastAsia="宋体"/>
                <w:sz w:val="24"/>
              </w:rPr>
              <w:t>指定位置</w:t>
            </w:r>
            <w:r>
              <w:rPr>
                <w:rFonts w:ascii="宋体" w:hAnsi="宋体" w:cs="宋体" w:eastAsia="宋体"/>
                <w:sz w:val="24"/>
              </w:rPr>
              <w:t>后，由我单位工作人员核对，确认物品数量、位置准确并签字后，搬迁人员方可离开。</w:t>
            </w:r>
          </w:p>
          <w:p>
            <w:pPr>
              <w:pStyle w:val="null3"/>
              <w:ind w:firstLine="480"/>
              <w:jc w:val="left"/>
            </w:pPr>
            <w:r>
              <w:rPr>
                <w:rFonts w:ascii="宋体" w:hAnsi="宋体" w:cs="宋体" w:eastAsia="宋体"/>
                <w:sz w:val="24"/>
              </w:rPr>
              <w:t>6</w:t>
            </w:r>
            <w:r>
              <w:rPr>
                <w:rFonts w:ascii="宋体" w:hAnsi="宋体" w:cs="宋体" w:eastAsia="宋体"/>
                <w:sz w:val="24"/>
              </w:rPr>
              <w:t>.对需要拆卸后搬运的家具、设施等，搬运服务商需提供专业的拆装服务，对零部件打包、标记，搬运到指定位置后安装，保证谁拆卸谁安装；搬运过程中需要用软质包装材料包裹严实，不得损坏；禁止暴力拆卸，确保零部件的完好无损，不掉漆、不变形。对于不能拆卸的，做好防护措施后再整体搬迁，确保不会造成损坏。</w:t>
            </w:r>
          </w:p>
          <w:p>
            <w:pPr>
              <w:pStyle w:val="null3"/>
              <w:ind w:firstLine="480"/>
              <w:jc w:val="both"/>
            </w:pPr>
            <w:r>
              <w:rPr>
                <w:rFonts w:ascii="宋体" w:hAnsi="宋体" w:cs="宋体" w:eastAsia="宋体"/>
                <w:sz w:val="24"/>
              </w:rPr>
              <w:t>7</w:t>
            </w:r>
            <w:r>
              <w:rPr>
                <w:rFonts w:ascii="宋体" w:hAnsi="宋体" w:cs="宋体" w:eastAsia="宋体"/>
                <w:sz w:val="24"/>
              </w:rPr>
              <w:t>.钢制玻璃门展柜等柜体的整体搬运，需用防护棉整体包裹，搬运过程中杜绝在地面上推行，确保不会造成损坏。对易损的玻璃面板需拆除后做好防护措施，再和柜体分开进行搬运，保证运输过程中玻璃不碎和人员不被划伤。无法拆卸玻璃面板时，需要做好必要的防护措施，确保搬运过程中玻璃面板不破损。</w:t>
            </w:r>
          </w:p>
          <w:p>
            <w:pPr>
              <w:pStyle w:val="null3"/>
              <w:ind w:firstLine="482"/>
              <w:jc w:val="both"/>
            </w:pPr>
            <w:r>
              <w:rPr>
                <w:rFonts w:ascii="宋体" w:hAnsi="宋体" w:cs="宋体" w:eastAsia="宋体"/>
                <w:b/>
                <w:sz w:val="24"/>
              </w:rPr>
              <w:t>（四）搬迁后</w:t>
            </w:r>
          </w:p>
          <w:p>
            <w:pPr>
              <w:pStyle w:val="null3"/>
              <w:ind w:firstLine="640"/>
              <w:jc w:val="both"/>
            </w:pPr>
            <w:r>
              <w:rPr>
                <w:rFonts w:ascii="宋体" w:hAnsi="宋体" w:cs="宋体" w:eastAsia="宋体"/>
                <w:sz w:val="24"/>
              </w:rPr>
              <w:t>1</w:t>
            </w:r>
            <w:r>
              <w:rPr>
                <w:rFonts w:ascii="宋体" w:hAnsi="宋体" w:cs="宋体" w:eastAsia="宋体"/>
                <w:sz w:val="24"/>
              </w:rPr>
              <w:t>.搬迁结束后，对搬迁过程中服务商产生的各种废弃物进行清理。</w:t>
            </w:r>
          </w:p>
          <w:p>
            <w:pPr>
              <w:pStyle w:val="null3"/>
              <w:ind w:firstLine="480"/>
              <w:jc w:val="both"/>
            </w:pPr>
            <w:r>
              <w:rPr>
                <w:rFonts w:ascii="宋体" w:hAnsi="宋体" w:cs="宋体" w:eastAsia="宋体"/>
                <w:sz w:val="24"/>
              </w:rPr>
              <w:t>2</w:t>
            </w:r>
            <w:r>
              <w:rPr>
                <w:rFonts w:ascii="宋体" w:hAnsi="宋体" w:cs="宋体" w:eastAsia="宋体"/>
                <w:sz w:val="24"/>
              </w:rPr>
              <w:t>.搬迁工作需按合同约定按时完成，达到合同规定的预期效果，并通过搬迁单位验收。</w:t>
            </w:r>
          </w:p>
          <w:p>
            <w:pPr>
              <w:pStyle w:val="null3"/>
              <w:ind w:firstLine="482"/>
              <w:jc w:val="both"/>
            </w:pPr>
            <w:r>
              <w:rPr>
                <w:rFonts w:ascii="宋体" w:hAnsi="宋体" w:cs="宋体" w:eastAsia="宋体"/>
                <w:b/>
                <w:sz w:val="24"/>
              </w:rPr>
              <w:t>（五）档案密集柜搬迁要求</w:t>
            </w:r>
          </w:p>
          <w:p>
            <w:pPr>
              <w:pStyle w:val="null3"/>
              <w:ind w:firstLine="480"/>
              <w:jc w:val="both"/>
            </w:pPr>
            <w:r>
              <w:rPr>
                <w:rFonts w:ascii="宋体" w:hAnsi="宋体" w:cs="宋体" w:eastAsia="宋体"/>
                <w:sz w:val="24"/>
              </w:rPr>
              <w:t>1.需将档案密集柜144组，拆卸、运输至习武园二楼档案室，并结合场地情况完成档案室规划设计，改造、组装、调试、保养、维修密集柜（如有需要，需更换配件），以达到档案室使用标准。拆装过程中如需购置新配件，由供应商提供。如在拆、装档案密集柜时损坏配件及外观，需原价赔偿。（备注：密集柜共144组，其中88组四联密集柜，规格为双面6层*4节，12组为五联密集柜，规格为双面6层*5节，44组为六联密集柜，规格为双面6层*6节。）</w:t>
            </w:r>
          </w:p>
          <w:p>
            <w:pPr>
              <w:pStyle w:val="null3"/>
              <w:ind w:firstLine="480"/>
              <w:jc w:val="both"/>
            </w:pPr>
            <w:r>
              <w:rPr>
                <w:rFonts w:ascii="宋体" w:hAnsi="宋体" w:cs="宋体" w:eastAsia="宋体"/>
                <w:sz w:val="24"/>
              </w:rPr>
              <w:t>2.档案密集柜搬迁之前需制定详细搬迁方案及工作流程由我单位审核（需附新场地档案库房内密集架安装摆放设计图）。</w:t>
            </w:r>
          </w:p>
          <w:p>
            <w:pPr>
              <w:pStyle w:val="null3"/>
              <w:ind w:firstLine="480"/>
              <w:jc w:val="both"/>
            </w:pPr>
            <w:r>
              <w:rPr>
                <w:rFonts w:ascii="宋体" w:hAnsi="宋体" w:cs="宋体" w:eastAsia="宋体"/>
                <w:sz w:val="24"/>
              </w:rPr>
              <w:t>3.搬迁服务商需具备搬迁档案密集柜的专业能力。</w:t>
            </w:r>
          </w:p>
          <w:p>
            <w:pPr>
              <w:pStyle w:val="null3"/>
              <w:ind w:firstLine="482"/>
              <w:jc w:val="both"/>
            </w:pPr>
            <w:r>
              <w:rPr>
                <w:rFonts w:ascii="宋体" w:hAnsi="宋体" w:cs="宋体" w:eastAsia="宋体"/>
                <w:b/>
                <w:sz w:val="24"/>
              </w:rPr>
              <w:t>（六）时限要求</w:t>
            </w:r>
          </w:p>
          <w:p>
            <w:pPr>
              <w:pStyle w:val="null3"/>
              <w:ind w:firstLine="480"/>
              <w:jc w:val="both"/>
            </w:pPr>
            <w:r>
              <w:rPr>
                <w:rFonts w:ascii="宋体" w:hAnsi="宋体" w:cs="宋体" w:eastAsia="宋体"/>
                <w:sz w:val="24"/>
              </w:rPr>
              <w:t>1.</w:t>
            </w:r>
            <w:r>
              <w:rPr>
                <w:rFonts w:ascii="宋体" w:hAnsi="宋体" w:cs="宋体" w:eastAsia="宋体"/>
                <w:sz w:val="24"/>
              </w:rPr>
              <w:t>档</w:t>
            </w:r>
            <w:r>
              <w:rPr>
                <w:rFonts w:ascii="宋体" w:hAnsi="宋体" w:cs="宋体" w:eastAsia="宋体"/>
                <w:sz w:val="24"/>
              </w:rPr>
              <w:t>案密集柜搬迁</w:t>
            </w:r>
            <w:r>
              <w:rPr>
                <w:rFonts w:ascii="宋体" w:hAnsi="宋体" w:cs="宋体" w:eastAsia="宋体"/>
                <w:sz w:val="24"/>
              </w:rPr>
              <w:t>时间限定</w:t>
            </w:r>
            <w:r>
              <w:rPr>
                <w:rFonts w:ascii="宋体" w:hAnsi="宋体" w:cs="宋体" w:eastAsia="宋体"/>
                <w:sz w:val="24"/>
              </w:rPr>
              <w:t>30天之内</w:t>
            </w:r>
            <w:r>
              <w:rPr>
                <w:rFonts w:ascii="宋体" w:hAnsi="宋体" w:cs="宋体" w:eastAsia="宋体"/>
                <w:sz w:val="24"/>
              </w:rPr>
              <w:t>，需与纸质档案搬迁进度配合。</w:t>
            </w:r>
          </w:p>
          <w:p>
            <w:pPr>
              <w:pStyle w:val="null3"/>
              <w:ind w:firstLine="480"/>
              <w:jc w:val="both"/>
            </w:pPr>
            <w:r>
              <w:rPr>
                <w:rFonts w:ascii="宋体" w:hAnsi="宋体" w:cs="宋体" w:eastAsia="宋体"/>
                <w:sz w:val="24"/>
              </w:rPr>
              <w:t>2.其他</w:t>
            </w:r>
            <w:r>
              <w:rPr>
                <w:rFonts w:ascii="宋体" w:hAnsi="宋体" w:cs="宋体" w:eastAsia="宋体"/>
                <w:sz w:val="24"/>
              </w:rPr>
              <w:t>所有文件资料及家具类资产</w:t>
            </w:r>
            <w:r>
              <w:rPr>
                <w:rFonts w:ascii="宋体" w:hAnsi="宋体" w:cs="宋体" w:eastAsia="宋体"/>
                <w:sz w:val="24"/>
              </w:rPr>
              <w:t>搬迁</w:t>
            </w:r>
            <w:r>
              <w:rPr>
                <w:rFonts w:ascii="宋体" w:hAnsi="宋体" w:cs="宋体" w:eastAsia="宋体"/>
                <w:sz w:val="24"/>
              </w:rPr>
              <w:t>时间限</w:t>
            </w:r>
            <w:r>
              <w:rPr>
                <w:rFonts w:ascii="宋体" w:hAnsi="宋体" w:cs="宋体" w:eastAsia="宋体"/>
                <w:sz w:val="24"/>
              </w:rPr>
              <w:t>定</w:t>
            </w:r>
            <w:r>
              <w:rPr>
                <w:rFonts w:ascii="宋体" w:hAnsi="宋体" w:cs="宋体" w:eastAsia="宋体"/>
                <w:sz w:val="24"/>
              </w:rPr>
              <w:t>8天。</w:t>
            </w:r>
          </w:p>
          <w:p>
            <w:pPr>
              <w:pStyle w:val="null3"/>
              <w:jc w:val="both"/>
            </w:pPr>
            <w:r>
              <w:rPr>
                <w:rFonts w:ascii="宋体" w:hAnsi="宋体" w:cs="宋体" w:eastAsia="宋体"/>
                <w:sz w:val="24"/>
              </w:rPr>
              <w:t>附件：需搬迁的物品清单</w:t>
            </w:r>
          </w:p>
          <w:p>
            <w:pPr>
              <w:pStyle w:val="null3"/>
              <w:jc w:val="both"/>
            </w:pPr>
            <w:r>
              <w:rPr>
                <w:rFonts w:ascii="宋体" w:hAnsi="宋体" w:cs="宋体" w:eastAsia="宋体"/>
                <w:sz w:val="24"/>
              </w:rPr>
              <w:t>附件</w:t>
            </w:r>
          </w:p>
          <w:p>
            <w:pPr>
              <w:pStyle w:val="null3"/>
              <w:jc w:val="center"/>
            </w:pPr>
            <w:r>
              <w:rPr>
                <w:rFonts w:ascii="宋体" w:hAnsi="宋体" w:cs="宋体" w:eastAsia="宋体"/>
                <w:sz w:val="24"/>
              </w:rPr>
              <w:t>需搬迁的物品清单</w:t>
            </w:r>
          </w:p>
          <w:tbl>
            <w:tblPr>
              <w:tblBorders>
                <w:top w:val="none" w:color="000000" w:sz="4"/>
                <w:left w:val="none" w:color="000000" w:sz="4"/>
                <w:bottom w:val="none" w:color="000000" w:sz="4"/>
                <w:right w:val="none" w:color="000000" w:sz="4"/>
                <w:insideH w:val="none"/>
                <w:insideV w:val="none"/>
              </w:tblBorders>
            </w:tblPr>
            <w:tblGrid>
              <w:gridCol w:w="338"/>
              <w:gridCol w:w="1477"/>
              <w:gridCol w:w="738"/>
            </w:tblGrid>
            <w:tr>
              <w:tc>
                <w:tcPr>
                  <w:tcW w:type="dxa" w:w="3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序号</w:t>
                  </w:r>
                </w:p>
              </w:tc>
              <w:tc>
                <w:tcPr>
                  <w:tcW w:type="dxa" w:w="1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物品名称</w:t>
                  </w:r>
                </w:p>
              </w:tc>
              <w:tc>
                <w:tcPr>
                  <w:tcW w:type="dxa" w:w="7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数量</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四联档案</w:t>
                  </w:r>
                  <w:r>
                    <w:rPr>
                      <w:rFonts w:ascii="宋体" w:hAnsi="宋体" w:cs="宋体" w:eastAsia="宋体"/>
                      <w:color w:val="000000"/>
                      <w:sz w:val="24"/>
                    </w:rPr>
                    <w:t>密集</w:t>
                  </w:r>
                  <w:r>
                    <w:rPr>
                      <w:rFonts w:ascii="宋体" w:hAnsi="宋体" w:cs="宋体" w:eastAsia="宋体"/>
                      <w:color w:val="000000"/>
                      <w:sz w:val="24"/>
                    </w:rPr>
                    <w:t>柜（双面</w:t>
                  </w:r>
                  <w:r>
                    <w:rPr>
                      <w:rFonts w:ascii="宋体" w:hAnsi="宋体" w:cs="宋体" w:eastAsia="宋体"/>
                      <w:color w:val="000000"/>
                      <w:sz w:val="24"/>
                    </w:rPr>
                    <w:t>6层*4节）</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88组</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五联档案密集柜</w:t>
                  </w:r>
                  <w:r>
                    <w:rPr>
                      <w:rFonts w:ascii="宋体" w:hAnsi="宋体" w:cs="宋体" w:eastAsia="宋体"/>
                      <w:color w:val="000000"/>
                      <w:sz w:val="24"/>
                    </w:rPr>
                    <w:t>（双面</w:t>
                  </w:r>
                  <w:r>
                    <w:rPr>
                      <w:rFonts w:ascii="宋体" w:hAnsi="宋体" w:cs="宋体" w:eastAsia="宋体"/>
                      <w:color w:val="000000"/>
                      <w:sz w:val="24"/>
                    </w:rPr>
                    <w:t>6层*5节）</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12组</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六联档案密集柜</w:t>
                  </w:r>
                  <w:r>
                    <w:rPr>
                      <w:rFonts w:ascii="宋体" w:hAnsi="宋体" w:cs="宋体" w:eastAsia="宋体"/>
                      <w:color w:val="000000"/>
                      <w:sz w:val="24"/>
                    </w:rPr>
                    <w:t>（双面</w:t>
                  </w:r>
                  <w:r>
                    <w:rPr>
                      <w:rFonts w:ascii="宋体" w:hAnsi="宋体" w:cs="宋体" w:eastAsia="宋体"/>
                      <w:color w:val="000000"/>
                      <w:sz w:val="24"/>
                    </w:rPr>
                    <w:t>6层*6节）</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44组</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组合铁皮文件柜（带更衣柜）</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文件柜</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78个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打印机柜</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52个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三门更衣柜</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18个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五节铁皮档案柜</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1099个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9</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六门更衣柜</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23个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新木三门柜</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茶水柜</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22个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玻璃三开门书柜（棕色）</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13</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八屉柜</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18个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14</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大玻璃更衣柜</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15</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四门铁皮柜</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38个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16</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四门文件柜</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9个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17</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异型铁皮柜</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18</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办公桌柜</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34个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19</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卡片柜</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20</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两门玻璃文件柜</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13个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21</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三节文件柜</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97个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22</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七门柜</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23</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白柜</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24</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票据柜</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25</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五节文件柜</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23个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26</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单门木柜</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27</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双门木柜</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28</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鞋柜</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29</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环亚二节四开门书柜</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30</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书柜</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31</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条柜</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32</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960"/>
                    <w:jc w:val="center"/>
                  </w:pPr>
                  <w:r>
                    <w:rPr>
                      <w:rFonts w:ascii="宋体" w:hAnsi="宋体" w:cs="宋体" w:eastAsia="宋体"/>
                      <w:color w:val="000000"/>
                      <w:sz w:val="24"/>
                    </w:rPr>
                    <w:t>半截柜、放视频柜</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各</w:t>
                  </w: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33</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留样柜</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34</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添加剂柜子</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35</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面柜</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36</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餐边柜</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37</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电子保险柜</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13个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38</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 xml:space="preserve">      </w:t>
                  </w:r>
                  <w:r>
                    <w:rPr>
                      <w:rFonts w:ascii="宋体" w:hAnsi="宋体" w:cs="宋体" w:eastAsia="宋体"/>
                      <w:color w:val="000000"/>
                      <w:sz w:val="24"/>
                    </w:rPr>
                    <w:t>联排桌椅（需拆卸无需安装）</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304套</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39</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会议条桌</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104个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40</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新组合会议桌</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4组</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41</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电脑桌</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42</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大老板桌</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16个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43</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办公桌</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167个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44</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三角洽谈桌</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45</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包间餐桌（</w:t>
                  </w:r>
                  <w:r>
                    <w:rPr>
                      <w:rFonts w:ascii="宋体" w:hAnsi="宋体" w:cs="宋体" w:eastAsia="宋体"/>
                      <w:color w:val="000000"/>
                      <w:sz w:val="24"/>
                    </w:rPr>
                    <w:t>2.6m）</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46</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包间餐桌（</w:t>
                  </w:r>
                  <w:r>
                    <w:rPr>
                      <w:rFonts w:ascii="宋体" w:hAnsi="宋体" w:cs="宋体" w:eastAsia="宋体"/>
                      <w:color w:val="000000"/>
                      <w:sz w:val="24"/>
                    </w:rPr>
                    <w:t>1.8m）</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47</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餐桌</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40个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48</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新茶几（方）</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27个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49</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新茶几（长）</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39个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50</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920"/>
                    <w:jc w:val="both"/>
                  </w:pPr>
                  <w:r>
                    <w:rPr>
                      <w:rFonts w:ascii="宋体" w:hAnsi="宋体" w:cs="宋体" w:eastAsia="宋体"/>
                      <w:color w:val="000000"/>
                      <w:sz w:val="24"/>
                    </w:rPr>
                    <w:t>办公椅</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766个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51</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弓长椅</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44个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52</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铁制排椅（</w:t>
                  </w:r>
                  <w:r>
                    <w:rPr>
                      <w:rFonts w:ascii="宋体" w:hAnsi="宋体" w:cs="宋体" w:eastAsia="宋体"/>
                      <w:color w:val="000000"/>
                      <w:sz w:val="24"/>
                    </w:rPr>
                    <w:t>4人座）</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36个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53</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电竞椅</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54</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条形换鞋凳</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55</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单人真皮沙发</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43个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56</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长沙发（</w:t>
                  </w:r>
                  <w:r>
                    <w:rPr>
                      <w:rFonts w:ascii="宋体" w:hAnsi="宋体" w:cs="宋体" w:eastAsia="宋体"/>
                      <w:color w:val="000000"/>
                      <w:sz w:val="24"/>
                    </w:rPr>
                    <w:t>3人位）</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38个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57</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新皮双人沙发</w:t>
                  </w:r>
                  <w:r>
                    <w:rPr>
                      <w:rFonts w:ascii="宋体" w:hAnsi="宋体" w:cs="宋体" w:eastAsia="宋体"/>
                      <w:color w:val="000000"/>
                      <w:sz w:val="24"/>
                    </w:rPr>
                    <w:t>9939（1+1+3）</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11组</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58</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双人沙发</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59</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架子床</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60</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钢丝床</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61</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折叠床</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62</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三孔打孔机</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63</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财务装订机</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64</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固定终端机</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65</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手持终端机</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66</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碎纸机</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9个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67</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手部消毒机</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68</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烘干机</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69</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净水机</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70</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饮水机</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71</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屏风</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72</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衣架</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36个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73</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三层书车（档案车）</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74</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二步带斗书梯</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75</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冰箱</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76</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显示屏架</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77</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卡西欧电子琴</w:t>
                  </w:r>
                  <w:r>
                    <w:rPr>
                      <w:rFonts w:ascii="宋体" w:hAnsi="宋体" w:cs="宋体" w:eastAsia="宋体"/>
                      <w:color w:val="000000"/>
                      <w:sz w:val="24"/>
                    </w:rPr>
                    <w:t>CTK-551</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78</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空气净化器</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79</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电子钟表</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80</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墙上装饰字画（带框）</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22个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81</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洗手台（架）</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82</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电暖器</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83</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中心灭火器</w:t>
                  </w:r>
                  <w:r>
                    <w:rPr>
                      <w:rFonts w:ascii="宋体" w:hAnsi="宋体" w:cs="宋体" w:eastAsia="宋体"/>
                      <w:color w:val="000000"/>
                      <w:sz w:val="24"/>
                    </w:rPr>
                    <w:t>30kg</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84</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中心灭火器</w:t>
                  </w:r>
                  <w:r>
                    <w:rPr>
                      <w:rFonts w:ascii="宋体" w:hAnsi="宋体" w:cs="宋体" w:eastAsia="宋体"/>
                      <w:color w:val="000000"/>
                      <w:sz w:val="24"/>
                    </w:rPr>
                    <w:t>8kg</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85</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中心灭火器</w:t>
                  </w:r>
                  <w:r>
                    <w:rPr>
                      <w:rFonts w:ascii="宋体" w:hAnsi="宋体" w:cs="宋体" w:eastAsia="宋体"/>
                      <w:color w:val="000000"/>
                      <w:sz w:val="24"/>
                    </w:rPr>
                    <w:t>4kg</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63个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86</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宣传展板</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13个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87</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便民服务箱</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88</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宣传展架</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89</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隔离带</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90</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意见箱</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91</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垃圾桶</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25个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92</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公告栏</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93</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铁皮架</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94</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铁皮茶几</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95</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带门操作台</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96</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地架</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9个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97</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电饼铛</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98</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四层平台货架</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99</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四层空格货架</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100</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板车</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101</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地称</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102</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热水器</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103</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洗碗台</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104</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切肉机</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105</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双层操作台</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106</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展台</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107</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封口机</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108</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餐车</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109</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小四层货架</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110</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收餐台</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111</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饸络机</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112</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全自动揉面机</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113</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平冷工作台</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114</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单室真空机</w:t>
                  </w:r>
                  <w:r>
                    <w:rPr>
                      <w:rFonts w:ascii="宋体" w:hAnsi="宋体" w:cs="宋体" w:eastAsia="宋体"/>
                      <w:color w:val="000000"/>
                      <w:sz w:val="24"/>
                    </w:rPr>
                    <w:t>(400型)</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115</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乒乓球台桌</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116</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跑步机</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117</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动感单车</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118</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平卧推架</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119</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哑铃练习椅</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120</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乒乓球发球机</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1套</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121</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美的热水器</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122</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洗衣机</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123</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哑铃及哑铃架</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1套</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124</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腹肌板椅</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125</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拳击不倒翁沙袋</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126</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综合训练器</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2套</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127</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舞蹈练习镜</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6块</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128</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挡球板</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23块</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129</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健身器械垫</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190块</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130</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皮坐凳</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131</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大花瓶</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132</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拖把清洁器</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133</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瑜伽枕</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20个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134</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拖把</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135</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叫号系统配套设备</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6箱</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136</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扫地机器人</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137</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智能除湿净化一体机</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138</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硬盘录像机</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139</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音响吊架</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140</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水牌</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23个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141</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文件资料</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1100箱</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备注：以上各类物品数量如有变化，请以实际搬迁数量为准。</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标的名称：库房档案搬迁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rPr>
              <w:t>一、搬迁需求</w:t>
            </w:r>
          </w:p>
          <w:p>
            <w:pPr>
              <w:pStyle w:val="null3"/>
              <w:ind w:firstLine="480"/>
              <w:jc w:val="both"/>
            </w:pPr>
            <w:r>
              <w:rPr>
                <w:rFonts w:ascii="宋体" w:hAnsi="宋体" w:cs="宋体" w:eastAsia="宋体"/>
                <w:sz w:val="24"/>
              </w:rPr>
              <w:t>将</w:t>
            </w:r>
            <w:r>
              <w:rPr>
                <w:rFonts w:ascii="宋体" w:hAnsi="宋体" w:cs="宋体" w:eastAsia="宋体"/>
                <w:sz w:val="24"/>
              </w:rPr>
              <w:t>库房</w:t>
            </w:r>
            <w:r>
              <w:rPr>
                <w:rFonts w:ascii="宋体" w:hAnsi="宋体" w:cs="宋体" w:eastAsia="宋体"/>
                <w:sz w:val="24"/>
              </w:rPr>
              <w:t>所有档案等资料</w:t>
            </w:r>
            <w:r>
              <w:rPr>
                <w:rFonts w:ascii="宋体" w:hAnsi="宋体" w:cs="宋体" w:eastAsia="宋体"/>
                <w:sz w:val="24"/>
              </w:rPr>
              <w:t>从旧办公场地（雁塔区翠华路</w:t>
            </w:r>
            <w:r>
              <w:rPr>
                <w:rFonts w:ascii="宋体" w:hAnsi="宋体" w:cs="宋体" w:eastAsia="宋体"/>
                <w:sz w:val="24"/>
              </w:rPr>
              <w:t>1819号）搬入新办公场地（莲湖区习武园39号）指定位置。</w:t>
            </w:r>
          </w:p>
          <w:p>
            <w:pPr>
              <w:pStyle w:val="null3"/>
              <w:ind w:firstLine="480"/>
              <w:jc w:val="both"/>
            </w:pPr>
            <w:r>
              <w:rPr>
                <w:rFonts w:ascii="宋体" w:hAnsi="宋体" w:cs="宋体" w:eastAsia="宋体"/>
                <w:sz w:val="24"/>
              </w:rPr>
              <w:t>二、有关要求</w:t>
            </w:r>
          </w:p>
          <w:p>
            <w:pPr>
              <w:pStyle w:val="null3"/>
              <w:ind w:firstLine="480"/>
              <w:jc w:val="both"/>
            </w:pPr>
            <w:r>
              <w:rPr>
                <w:rFonts w:ascii="宋体" w:hAnsi="宋体" w:cs="宋体" w:eastAsia="宋体"/>
                <w:sz w:val="24"/>
              </w:rPr>
              <w:t>1.档案搬迁需专业的搬迁公司，签署档案搬迁合同和保密协议。</w:t>
            </w:r>
          </w:p>
          <w:p>
            <w:pPr>
              <w:pStyle w:val="null3"/>
              <w:ind w:firstLine="480"/>
              <w:jc w:val="both"/>
            </w:pPr>
            <w:r>
              <w:rPr>
                <w:rFonts w:ascii="宋体" w:hAnsi="宋体" w:cs="宋体" w:eastAsia="宋体"/>
                <w:sz w:val="24"/>
              </w:rPr>
              <w:t>2.档案搬迁路线经双方商榷后固定行车路线，以新旧两址之间距离最近最方便的路线为上，不得绕行或路途办理其他事项，保障路途档案的安全。</w:t>
            </w:r>
          </w:p>
          <w:p>
            <w:pPr>
              <w:pStyle w:val="null3"/>
              <w:ind w:firstLine="480"/>
              <w:jc w:val="both"/>
            </w:pPr>
            <w:r>
              <w:rPr>
                <w:rFonts w:ascii="宋体" w:hAnsi="宋体" w:cs="宋体" w:eastAsia="宋体"/>
                <w:sz w:val="24"/>
              </w:rPr>
              <w:t>3.档案搬迁每车需有我单位专人押车，做好交接。</w:t>
            </w:r>
          </w:p>
          <w:p>
            <w:pPr>
              <w:pStyle w:val="null3"/>
              <w:ind w:firstLine="480"/>
              <w:jc w:val="both"/>
            </w:pPr>
            <w:r>
              <w:rPr>
                <w:rFonts w:ascii="宋体" w:hAnsi="宋体" w:cs="宋体" w:eastAsia="宋体"/>
                <w:sz w:val="24"/>
              </w:rPr>
              <w:t>4.提供的服务：搬迁公司工作人员将档案按照档案自身编号顺序从架子上搬入包装箱，双方清点交接后用专用封条封装（我单位盖章），包装箱进行编号登记。到达新址后，在双方监督下拆封包装箱，档案由搬迁公司工作人员上架摆放。</w:t>
            </w:r>
          </w:p>
          <w:p>
            <w:pPr>
              <w:pStyle w:val="null3"/>
              <w:ind w:firstLine="480"/>
              <w:jc w:val="both"/>
            </w:pPr>
            <w:r>
              <w:rPr>
                <w:rFonts w:ascii="宋体" w:hAnsi="宋体" w:cs="宋体" w:eastAsia="宋体"/>
                <w:sz w:val="24"/>
              </w:rPr>
              <w:t>5.档案包装要求和数量：档案总量约36.5万卷。档案架每个格挡的所有档案（</w:t>
            </w:r>
            <w:r>
              <w:rPr>
                <w:rFonts w:ascii="宋体" w:hAnsi="宋体" w:cs="宋体" w:eastAsia="宋体"/>
                <w:sz w:val="24"/>
              </w:rPr>
              <w:t>不限数量，一个格挡一个包装箱</w:t>
            </w:r>
            <w:r>
              <w:rPr>
                <w:rFonts w:ascii="宋体" w:hAnsi="宋体" w:cs="宋体" w:eastAsia="宋体"/>
                <w:sz w:val="24"/>
              </w:rPr>
              <w:t>）打包为一个包装箱。目前总共</w:t>
            </w:r>
            <w:r>
              <w:rPr>
                <w:rFonts w:ascii="宋体" w:hAnsi="宋体" w:cs="宋体" w:eastAsia="宋体"/>
                <w:sz w:val="24"/>
              </w:rPr>
              <w:t>7503个格挡，需打包7503个包装箱。每个包装箱承重须达到25千克。</w:t>
            </w:r>
          </w:p>
          <w:p>
            <w:pPr>
              <w:pStyle w:val="null3"/>
              <w:ind w:firstLine="480"/>
              <w:jc w:val="both"/>
            </w:pPr>
            <w:r>
              <w:rPr>
                <w:rFonts w:ascii="宋体" w:hAnsi="宋体" w:cs="宋体" w:eastAsia="宋体"/>
                <w:sz w:val="24"/>
              </w:rPr>
              <w:t>6.包装箱尺寸：95cm×40cm×30cm。</w:t>
            </w:r>
          </w:p>
          <w:p>
            <w:pPr>
              <w:pStyle w:val="null3"/>
              <w:ind w:firstLine="480"/>
              <w:jc w:val="both"/>
            </w:pPr>
            <w:r>
              <w:rPr>
                <w:rFonts w:ascii="宋体" w:hAnsi="宋体" w:cs="宋体" w:eastAsia="宋体"/>
                <w:sz w:val="24"/>
              </w:rPr>
              <w:t>7.供应商为采购方一次性购置和现有档案使用规格一致的档案袋3万个，RIFD电子标签5万个，用于档案搬迁、迁移中的损耗，损耗产生的档案袋更换及电子标签写入、打印、粘贴由供应商配合采购方完成。</w:t>
            </w:r>
          </w:p>
          <w:p>
            <w:pPr>
              <w:pStyle w:val="null3"/>
              <w:ind w:firstLine="480"/>
              <w:jc w:val="both"/>
            </w:pPr>
            <w:r>
              <w:rPr>
                <w:rFonts w:ascii="宋体" w:hAnsi="宋体" w:cs="宋体" w:eastAsia="宋体"/>
                <w:sz w:val="24"/>
              </w:rPr>
              <w:t>8</w:t>
            </w:r>
            <w:r>
              <w:rPr>
                <w:rFonts w:ascii="宋体" w:hAnsi="宋体" w:cs="宋体" w:eastAsia="宋体"/>
                <w:sz w:val="24"/>
              </w:rPr>
              <w:t>.档案搬家总体时间限定30天之内。</w:t>
            </w:r>
          </w:p>
          <w:p>
            <w:pPr>
              <w:pStyle w:val="null3"/>
              <w:ind w:firstLine="480"/>
              <w:jc w:val="both"/>
            </w:pPr>
            <w:r>
              <w:rPr>
                <w:rFonts w:ascii="宋体" w:hAnsi="宋体" w:cs="宋体" w:eastAsia="宋体"/>
                <w:sz w:val="24"/>
              </w:rPr>
              <w:t>9.搬迁之前需制定详细搬迁方案及工作流程由我单位审核。</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标的名称：信息化搬迁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2168"/>
              <w:jc w:val="both"/>
            </w:pPr>
            <w:r>
              <w:rPr>
                <w:rFonts w:ascii="宋体" w:hAnsi="宋体" w:cs="宋体" w:eastAsia="宋体"/>
                <w:b/>
                <w:sz w:val="24"/>
              </w:rPr>
              <w:t>第一部分：旧场地现有信息化设备搬迁</w:t>
            </w:r>
          </w:p>
          <w:p>
            <w:pPr>
              <w:pStyle w:val="null3"/>
              <w:ind w:firstLine="480"/>
              <w:jc w:val="both"/>
            </w:pPr>
            <w:r>
              <w:rPr>
                <w:rFonts w:ascii="宋体" w:hAnsi="宋体" w:cs="宋体" w:eastAsia="宋体"/>
                <w:sz w:val="24"/>
              </w:rPr>
              <w:t>机房及网络设备、台式计算机、会议室设备、电子大屏等搬至习武园新建场地。包括：设备的拆卸，设备上架，运输包装，设备安装调试，保险等服务内容。</w:t>
            </w:r>
          </w:p>
          <w:tbl>
            <w:tblPr>
              <w:tblInd w:type="dxa" w:w="135"/>
              <w:tblBorders>
                <w:top w:val="none" w:color="000000" w:sz="4"/>
                <w:left w:val="none" w:color="000000" w:sz="4"/>
                <w:bottom w:val="none" w:color="000000" w:sz="4"/>
                <w:right w:val="none" w:color="000000" w:sz="4"/>
                <w:insideH w:val="none"/>
                <w:insideV w:val="none"/>
              </w:tblBorders>
            </w:tblPr>
            <w:tblGrid>
              <w:gridCol w:w="571"/>
              <w:gridCol w:w="1107"/>
              <w:gridCol w:w="342"/>
              <w:gridCol w:w="531"/>
            </w:tblGrid>
            <w:tr>
              <w:tc>
                <w:tcPr>
                  <w:tcW w:type="dxa" w:w="2551"/>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宋体" w:hAnsi="宋体" w:cs="宋体" w:eastAsia="宋体"/>
                      <w:b/>
                      <w:sz w:val="24"/>
                    </w:rPr>
                    <w:t>旧场地信息化设备搬迁内容</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设备类别</w:t>
                  </w:r>
                </w:p>
              </w:tc>
              <w:tc>
                <w:tcPr>
                  <w:tcW w:type="dxa" w:w="11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详细说明</w:t>
                  </w:r>
                </w:p>
              </w:tc>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个数</w:t>
                  </w:r>
                </w:p>
              </w:tc>
              <w:tc>
                <w:tcPr>
                  <w:tcW w:type="dxa" w:w="5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宋体" w:hAnsi="宋体" w:cs="宋体" w:eastAsia="宋体"/>
                      <w:sz w:val="24"/>
                    </w:rPr>
                    <w:t>其他说明</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基础网络设备</w:t>
                  </w:r>
                </w:p>
              </w:tc>
              <w:tc>
                <w:tcPr>
                  <w:tcW w:type="dxa" w:w="1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交换机机柜（分布在</w:t>
                  </w:r>
                  <w:r>
                    <w:rPr>
                      <w:rFonts w:ascii="宋体" w:hAnsi="宋体" w:cs="宋体" w:eastAsia="宋体"/>
                      <w:sz w:val="24"/>
                    </w:rPr>
                    <w:t>1、</w:t>
                  </w:r>
                  <w:r>
                    <w:rPr>
                      <w:rFonts w:ascii="宋体" w:hAnsi="宋体" w:cs="宋体" w:eastAsia="宋体"/>
                      <w:sz w:val="24"/>
                    </w:rPr>
                    <w:t>2、3、4</w:t>
                  </w:r>
                  <w:r>
                    <w:rPr>
                      <w:rFonts w:ascii="宋体" w:hAnsi="宋体" w:cs="宋体" w:eastAsia="宋体"/>
                      <w:sz w:val="24"/>
                    </w:rPr>
                    <w:t>、</w:t>
                  </w:r>
                  <w:r>
                    <w:rPr>
                      <w:rFonts w:ascii="宋体" w:hAnsi="宋体" w:cs="宋体" w:eastAsia="宋体"/>
                      <w:sz w:val="24"/>
                    </w:rPr>
                    <w:t>5、16、17、18</w:t>
                  </w:r>
                  <w:r>
                    <w:rPr>
                      <w:rFonts w:ascii="宋体" w:hAnsi="宋体" w:cs="宋体" w:eastAsia="宋体"/>
                      <w:sz w:val="24"/>
                    </w:rPr>
                    <w:t>楼）</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w:t>
                  </w:r>
                  <w:r>
                    <w:rPr>
                      <w:rFonts w:ascii="宋体" w:hAnsi="宋体" w:cs="宋体" w:eastAsia="宋体"/>
                      <w:sz w:val="24"/>
                    </w:rPr>
                    <w:t>台</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机房外围设备</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电子大屏幕及广告机</w:t>
                  </w:r>
                </w:p>
              </w:tc>
              <w:tc>
                <w:tcPr>
                  <w:tcW w:type="dxa" w:w="1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1、</w:t>
                  </w:r>
                  <w:r>
                    <w:rPr>
                      <w:rFonts w:ascii="宋体" w:hAnsi="宋体" w:cs="宋体" w:eastAsia="宋体"/>
                      <w:sz w:val="24"/>
                    </w:rPr>
                    <w:t>一二楼</w:t>
                  </w:r>
                  <w:r>
                    <w:rPr>
                      <w:rFonts w:ascii="宋体" w:hAnsi="宋体" w:cs="宋体" w:eastAsia="宋体"/>
                      <w:sz w:val="24"/>
                    </w:rPr>
                    <w:t>广告机</w:t>
                  </w:r>
                  <w:r>
                    <w:rPr>
                      <w:rFonts w:ascii="宋体" w:hAnsi="宋体" w:cs="宋体" w:eastAsia="宋体"/>
                      <w:sz w:val="24"/>
                    </w:rPr>
                    <w:t>4</w:t>
                  </w:r>
                  <w:r>
                    <w:rPr>
                      <w:rFonts w:ascii="宋体" w:hAnsi="宋体" w:cs="宋体" w:eastAsia="宋体"/>
                      <w:sz w:val="24"/>
                    </w:rPr>
                    <w:t>台</w:t>
                  </w:r>
                  <w:r>
                    <w:rPr>
                      <w:rFonts w:ascii="宋体" w:hAnsi="宋体" w:cs="宋体" w:eastAsia="宋体"/>
                      <w:sz w:val="24"/>
                    </w:rPr>
                    <w:t>、</w:t>
                  </w:r>
                  <w:r>
                    <w:rPr>
                      <w:rFonts w:ascii="宋体" w:hAnsi="宋体" w:cs="宋体" w:eastAsia="宋体"/>
                      <w:sz w:val="24"/>
                    </w:rPr>
                    <w:t xml:space="preserve"> </w:t>
                  </w:r>
                  <w:r>
                    <w:rPr>
                      <w:rFonts w:ascii="宋体" w:hAnsi="宋体" w:cs="宋体" w:eastAsia="宋体"/>
                      <w:sz w:val="24"/>
                    </w:rPr>
                    <w:t>led大屏</w:t>
                  </w:r>
                  <w:r>
                    <w:rPr>
                      <w:rFonts w:ascii="宋体" w:hAnsi="宋体" w:cs="宋体" w:eastAsia="宋体"/>
                      <w:sz w:val="24"/>
                    </w:rPr>
                    <w:t>2部</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r>
                    <w:rPr>
                      <w:rFonts w:ascii="宋体" w:hAnsi="宋体" w:cs="宋体" w:eastAsia="宋体"/>
                      <w:sz w:val="24"/>
                    </w:rPr>
                    <w:t>台</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无</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网络数据机房</w:t>
                  </w:r>
                </w:p>
              </w:tc>
              <w:tc>
                <w:tcPr>
                  <w:tcW w:type="dxa" w:w="1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空调，配电柜，交换机，服务器等各类设备</w:t>
                  </w:r>
                  <w:r>
                    <w:rPr>
                      <w:rFonts w:ascii="宋体" w:hAnsi="宋体" w:cs="宋体" w:eastAsia="宋体"/>
                      <w:sz w:val="24"/>
                    </w:rPr>
                    <w:t>61台</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61台</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无</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电视</w:t>
                  </w:r>
                </w:p>
              </w:tc>
              <w:tc>
                <w:tcPr>
                  <w:tcW w:type="dxa" w:w="1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413办公室1台，餐厅2台，党办1台，17楼会议室1台，行财部1台，保安室1台，2楼业务大厅2台</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9台</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无</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电话咨询呼叫中心系统</w:t>
                  </w:r>
                </w:p>
              </w:tc>
              <w:tc>
                <w:tcPr>
                  <w:tcW w:type="dxa" w:w="1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17楼呼叫中心设备、机房设备</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电话交换机</w:t>
                  </w:r>
                  <w:r>
                    <w:rPr>
                      <w:rFonts w:ascii="宋体" w:hAnsi="宋体" w:cs="宋体" w:eastAsia="宋体"/>
                      <w:sz w:val="24"/>
                    </w:rPr>
                    <w:t>1台</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无</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业务大厅排队叫号系统</w:t>
                  </w:r>
                </w:p>
              </w:tc>
              <w:tc>
                <w:tcPr>
                  <w:tcW w:type="dxa" w:w="1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排队叫号系统</w:t>
                  </w:r>
                  <w:r>
                    <w:rPr>
                      <w:rFonts w:ascii="宋体" w:hAnsi="宋体" w:cs="宋体" w:eastAsia="宋体"/>
                      <w:sz w:val="24"/>
                    </w:rPr>
                    <w:t>（</w:t>
                  </w:r>
                  <w:r>
                    <w:rPr>
                      <w:rFonts w:ascii="宋体" w:hAnsi="宋体" w:cs="宋体" w:eastAsia="宋体"/>
                      <w:sz w:val="24"/>
                    </w:rPr>
                    <w:t>呼叫器、落地叫号机、显示通屏等</w:t>
                  </w:r>
                  <w:r>
                    <w:rPr>
                      <w:rFonts w:ascii="宋体" w:hAnsi="宋体" w:cs="宋体" w:eastAsia="宋体"/>
                      <w:sz w:val="24"/>
                    </w:rPr>
                    <w:t>）</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套</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无</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查询机</w:t>
                  </w:r>
                  <w:r>
                    <w:rPr>
                      <w:rFonts w:ascii="宋体" w:hAnsi="宋体" w:cs="宋体" w:eastAsia="宋体"/>
                      <w:sz w:val="24"/>
                    </w:rPr>
                    <w:t>等</w:t>
                  </w:r>
                </w:p>
              </w:tc>
              <w:tc>
                <w:tcPr>
                  <w:tcW w:type="dxa" w:w="1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落地查询机</w:t>
                  </w:r>
                  <w:r>
                    <w:rPr>
                      <w:rFonts w:ascii="宋体" w:hAnsi="宋体" w:cs="宋体" w:eastAsia="宋体"/>
                      <w:sz w:val="24"/>
                    </w:rPr>
                    <w:t>16</w:t>
                  </w:r>
                  <w:r>
                    <w:rPr>
                      <w:rFonts w:ascii="宋体" w:hAnsi="宋体" w:cs="宋体" w:eastAsia="宋体"/>
                      <w:sz w:val="24"/>
                    </w:rPr>
                    <w:t>台，</w:t>
                  </w:r>
                  <w:r>
                    <w:rPr>
                      <w:rFonts w:ascii="宋体" w:hAnsi="宋体" w:cs="宋体" w:eastAsia="宋体"/>
                      <w:sz w:val="24"/>
                    </w:rPr>
                    <w:t>叫号机</w:t>
                  </w:r>
                  <w:r>
                    <w:rPr>
                      <w:rFonts w:ascii="宋体" w:hAnsi="宋体" w:cs="宋体" w:eastAsia="宋体"/>
                      <w:sz w:val="24"/>
                    </w:rPr>
                    <w:t>9台，导航仪2台，打卡器？</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27</w:t>
                  </w:r>
                  <w:r>
                    <w:rPr>
                      <w:rFonts w:ascii="宋体" w:hAnsi="宋体" w:cs="宋体" w:eastAsia="宋体"/>
                      <w:sz w:val="24"/>
                    </w:rPr>
                    <w:t>台</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无</w:t>
                  </w:r>
                </w:p>
              </w:tc>
            </w:tr>
            <w:tr>
              <w:tc>
                <w:tcPr>
                  <w:tcW w:type="dxa" w:w="5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会议室、报告厅、多功能室</w:t>
                  </w:r>
                </w:p>
              </w:tc>
              <w:tc>
                <w:tcPr>
                  <w:tcW w:type="dxa" w:w="1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17楼</w:t>
                  </w:r>
                  <w:r>
                    <w:rPr>
                      <w:rFonts w:ascii="宋体" w:hAnsi="宋体" w:cs="宋体" w:eastAsia="宋体"/>
                      <w:sz w:val="24"/>
                    </w:rPr>
                    <w:t>会议室</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1套</w:t>
                  </w:r>
                </w:p>
              </w:tc>
              <w:tc>
                <w:tcPr>
                  <w:tcW w:type="dxa" w:w="5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无</w:t>
                  </w:r>
                </w:p>
              </w:tc>
            </w:tr>
            <w:tr>
              <w:tc>
                <w:tcPr>
                  <w:tcW w:type="dxa" w:w="571"/>
                  <w:vMerge/>
                  <w:tcBorders>
                    <w:top w:val="none" w:color="000000" w:sz="4"/>
                    <w:left w:val="single" w:color="000000" w:sz="4"/>
                    <w:bottom w:val="single" w:color="000000" w:sz="4"/>
                    <w:right w:val="single" w:color="000000" w:sz="4"/>
                  </w:tcBorders>
                </w:tcPr>
                <w:p/>
              </w:tc>
              <w:tc>
                <w:tcPr>
                  <w:tcW w:type="dxa" w:w="1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16楼会议室投影仪</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1套</w:t>
                  </w:r>
                </w:p>
              </w:tc>
              <w:tc>
                <w:tcPr>
                  <w:tcW w:type="dxa" w:w="531"/>
                  <w:vMerge/>
                  <w:tcBorders>
                    <w:top w:val="none" w:color="000000" w:sz="4"/>
                    <w:left w:val="single" w:color="000000" w:sz="4"/>
                    <w:bottom w:val="single" w:color="000000" w:sz="4"/>
                    <w:right w:val="single" w:color="000000" w:sz="4"/>
                  </w:tcBorders>
                </w:tcPr>
                <w:p/>
              </w:tc>
            </w:tr>
            <w:tr>
              <w:tc>
                <w:tcPr>
                  <w:tcW w:type="dxa" w:w="571"/>
                  <w:vMerge/>
                  <w:tcBorders>
                    <w:top w:val="none" w:color="000000" w:sz="4"/>
                    <w:left w:val="single" w:color="000000" w:sz="4"/>
                    <w:bottom w:val="single" w:color="000000" w:sz="4"/>
                    <w:right w:val="single" w:color="000000" w:sz="4"/>
                  </w:tcBorders>
                </w:tcPr>
                <w:p/>
              </w:tc>
              <w:tc>
                <w:tcPr>
                  <w:tcW w:type="dxa" w:w="1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5楼第一第二</w:t>
                  </w:r>
                  <w:r>
                    <w:rPr>
                      <w:rFonts w:ascii="宋体" w:hAnsi="宋体" w:cs="宋体" w:eastAsia="宋体"/>
                      <w:sz w:val="24"/>
                    </w:rPr>
                    <w:t>报告厅和多功能室</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2套</w:t>
                  </w:r>
                </w:p>
              </w:tc>
              <w:tc>
                <w:tcPr>
                  <w:tcW w:type="dxa" w:w="531"/>
                  <w:vMerge/>
                  <w:tcBorders>
                    <w:top w:val="none" w:color="000000" w:sz="4"/>
                    <w:left w:val="single" w:color="000000" w:sz="4"/>
                    <w:bottom w:val="single" w:color="000000" w:sz="4"/>
                    <w:right w:val="single" w:color="000000" w:sz="4"/>
                  </w:tcBorders>
                </w:tcPr>
                <w:p/>
              </w:tc>
            </w:tr>
            <w:tr>
              <w:tc>
                <w:tcPr>
                  <w:tcW w:type="dxa" w:w="571"/>
                  <w:vMerge/>
                  <w:tcBorders>
                    <w:top w:val="none" w:color="000000" w:sz="4"/>
                    <w:left w:val="single" w:color="000000" w:sz="4"/>
                    <w:bottom w:val="single" w:color="000000" w:sz="4"/>
                    <w:right w:val="single" w:color="000000" w:sz="4"/>
                  </w:tcBorders>
                </w:tcPr>
                <w:p/>
              </w:tc>
              <w:tc>
                <w:tcPr>
                  <w:tcW w:type="dxa" w:w="1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18楼会议室</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1套</w:t>
                  </w:r>
                </w:p>
              </w:tc>
              <w:tc>
                <w:tcPr>
                  <w:tcW w:type="dxa" w:w="531"/>
                  <w:vMerge/>
                  <w:tcBorders>
                    <w:top w:val="none" w:color="000000" w:sz="4"/>
                    <w:left w:val="single" w:color="000000" w:sz="4"/>
                    <w:bottom w:val="single" w:color="000000" w:sz="4"/>
                    <w:right w:val="single" w:color="000000" w:sz="4"/>
                  </w:tcBorders>
                </w:tcP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台式计算机</w:t>
                  </w:r>
                  <w:r>
                    <w:rPr>
                      <w:rFonts w:ascii="宋体" w:hAnsi="宋体" w:cs="宋体" w:eastAsia="宋体"/>
                      <w:sz w:val="24"/>
                    </w:rPr>
                    <w:t>，</w:t>
                  </w:r>
                  <w:r>
                    <w:rPr>
                      <w:rFonts w:ascii="宋体" w:hAnsi="宋体" w:cs="宋体" w:eastAsia="宋体"/>
                      <w:sz w:val="24"/>
                    </w:rPr>
                    <w:t>打印机</w:t>
                  </w:r>
                </w:p>
              </w:tc>
              <w:tc>
                <w:tcPr>
                  <w:tcW w:type="dxa" w:w="1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所有在用台式计算机</w:t>
                  </w:r>
                  <w:r>
                    <w:rPr>
                      <w:rFonts w:ascii="宋体" w:hAnsi="宋体" w:cs="宋体" w:eastAsia="宋体"/>
                      <w:sz w:val="24"/>
                    </w:rPr>
                    <w:t>151台</w:t>
                  </w:r>
                  <w:r>
                    <w:rPr>
                      <w:rFonts w:ascii="宋体" w:hAnsi="宋体" w:cs="宋体" w:eastAsia="宋体"/>
                      <w:sz w:val="24"/>
                    </w:rPr>
                    <w:t>，</w:t>
                  </w:r>
                  <w:r>
                    <w:rPr>
                      <w:rFonts w:ascii="宋体" w:hAnsi="宋体" w:cs="宋体" w:eastAsia="宋体"/>
                      <w:sz w:val="24"/>
                    </w:rPr>
                    <w:t>打印机</w:t>
                  </w:r>
                  <w:r>
                    <w:rPr>
                      <w:rFonts w:ascii="宋体" w:hAnsi="宋体" w:cs="宋体" w:eastAsia="宋体"/>
                      <w:sz w:val="24"/>
                    </w:rPr>
                    <w:t>99台</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250</w:t>
                  </w:r>
                  <w:r>
                    <w:rPr>
                      <w:rFonts w:ascii="宋体" w:hAnsi="宋体" w:cs="宋体" w:eastAsia="宋体"/>
                      <w:sz w:val="24"/>
                    </w:rPr>
                    <w:t>台</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无</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旧场地监控系统</w:t>
                  </w:r>
                </w:p>
              </w:tc>
              <w:tc>
                <w:tcPr>
                  <w:tcW w:type="dxa" w:w="1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公共区域、窗口办事区、档案部库房、培训部</w:t>
                  </w:r>
                </w:p>
                <w:p>
                  <w:pPr>
                    <w:pStyle w:val="null3"/>
                    <w:ind w:firstLine="480"/>
                    <w:jc w:val="center"/>
                  </w:pPr>
                  <w:r>
                    <w:rPr>
                      <w:rFonts w:ascii="宋体" w:hAnsi="宋体" w:cs="宋体" w:eastAsia="宋体"/>
                      <w:sz w:val="24"/>
                    </w:rPr>
                    <w:t>摄像头</w:t>
                  </w:r>
                  <w:r>
                    <w:rPr>
                      <w:rFonts w:ascii="宋体" w:hAnsi="宋体" w:cs="宋体" w:eastAsia="宋体"/>
                      <w:sz w:val="24"/>
                    </w:rPr>
                    <w:t>84个，监控硬盘录像机7个，显示屏6个</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97</w:t>
                  </w:r>
                  <w:r>
                    <w:rPr>
                      <w:rFonts w:ascii="宋体" w:hAnsi="宋体" w:cs="宋体" w:eastAsia="宋体"/>
                      <w:sz w:val="24"/>
                    </w:rPr>
                    <w:t>个</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无</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旧场地</w:t>
                  </w:r>
                  <w:r>
                    <w:rPr>
                      <w:rFonts w:ascii="宋体" w:hAnsi="宋体" w:cs="宋体" w:eastAsia="宋体"/>
                      <w:sz w:val="24"/>
                    </w:rPr>
                    <w:t>AP</w:t>
                  </w:r>
                </w:p>
              </w:tc>
              <w:tc>
                <w:tcPr>
                  <w:tcW w:type="dxa" w:w="1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2楼业务大厅9个无线AP；</w:t>
                  </w:r>
                </w:p>
                <w:p>
                  <w:pPr>
                    <w:pStyle w:val="null3"/>
                    <w:ind w:firstLine="480"/>
                    <w:jc w:val="center"/>
                  </w:pPr>
                  <w:r>
                    <w:rPr>
                      <w:rFonts w:ascii="宋体" w:hAnsi="宋体" w:cs="宋体" w:eastAsia="宋体"/>
                      <w:sz w:val="24"/>
                    </w:rPr>
                    <w:t>1楼2个无线AP；</w:t>
                  </w:r>
                </w:p>
                <w:p>
                  <w:pPr>
                    <w:pStyle w:val="null3"/>
                    <w:ind w:firstLine="480"/>
                    <w:jc w:val="center"/>
                  </w:pPr>
                  <w:r>
                    <w:rPr>
                      <w:rFonts w:ascii="宋体" w:hAnsi="宋体" w:cs="宋体" w:eastAsia="宋体"/>
                      <w:sz w:val="24"/>
                    </w:rPr>
                    <w:t>4楼7个无线AP；</w:t>
                  </w:r>
                </w:p>
                <w:p>
                  <w:pPr>
                    <w:pStyle w:val="null3"/>
                    <w:ind w:firstLine="480"/>
                    <w:jc w:val="center"/>
                  </w:pPr>
                  <w:r>
                    <w:rPr>
                      <w:rFonts w:ascii="宋体" w:hAnsi="宋体" w:cs="宋体" w:eastAsia="宋体"/>
                      <w:sz w:val="24"/>
                    </w:rPr>
                    <w:t>3楼5个无线AP；</w:t>
                  </w:r>
                </w:p>
                <w:p>
                  <w:pPr>
                    <w:pStyle w:val="null3"/>
                    <w:ind w:firstLine="480"/>
                    <w:jc w:val="center"/>
                  </w:pPr>
                  <w:r>
                    <w:rPr>
                      <w:rFonts w:ascii="宋体" w:hAnsi="宋体" w:cs="宋体" w:eastAsia="宋体"/>
                      <w:sz w:val="24"/>
                    </w:rPr>
                    <w:t>负</w:t>
                  </w:r>
                  <w:r>
                    <w:rPr>
                      <w:rFonts w:ascii="宋体" w:hAnsi="宋体" w:cs="宋体" w:eastAsia="宋体"/>
                      <w:sz w:val="24"/>
                    </w:rPr>
                    <w:t>1楼1个无线AP；</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24个</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无</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机房设备</w:t>
                  </w:r>
                </w:p>
              </w:tc>
              <w:tc>
                <w:tcPr>
                  <w:tcW w:type="dxa" w:w="1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空调，配电柜，交换机，服务器等各类设备</w:t>
                  </w:r>
                  <w:r>
                    <w:rPr>
                      <w:rFonts w:ascii="宋体" w:hAnsi="宋体" w:cs="宋体" w:eastAsia="宋体"/>
                      <w:sz w:val="24"/>
                    </w:rPr>
                    <w:t>61台</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61个</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无</w:t>
                  </w:r>
                </w:p>
              </w:tc>
            </w:tr>
            <w:tr>
              <w:tc>
                <w:tcPr>
                  <w:tcW w:type="dxa" w:w="255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备注：以上各类设备数量如有个别变化，以实际搬迁数量为主</w:t>
                  </w:r>
                </w:p>
              </w:tc>
            </w:tr>
          </w:tbl>
          <w:p>
            <w:pPr>
              <w:pStyle w:val="null3"/>
              <w:jc w:val="center"/>
            </w:pPr>
            <w:r>
              <w:rPr>
                <w:rFonts w:ascii="宋体" w:hAnsi="宋体" w:cs="宋体" w:eastAsia="宋体"/>
                <w:b/>
                <w:sz w:val="24"/>
              </w:rPr>
              <w:t>第二部分：现有机房设备搬迁及其应用系统迁移</w:t>
            </w:r>
          </w:p>
          <w:p>
            <w:pPr>
              <w:pStyle w:val="null3"/>
              <w:ind w:firstLine="480"/>
              <w:jc w:val="both"/>
            </w:pPr>
            <w:r>
              <w:rPr>
                <w:rFonts w:ascii="宋体" w:hAnsi="宋体" w:cs="宋体" w:eastAsia="宋体"/>
                <w:sz w:val="24"/>
              </w:rPr>
              <w:t>旧场地机房设备搬迁及其应用系统迁移，新址机房设备升级与环境对接改造等服务内容。</w:t>
            </w:r>
          </w:p>
          <w:p>
            <w:pPr>
              <w:pStyle w:val="null3"/>
              <w:ind w:firstLine="480"/>
              <w:jc w:val="both"/>
            </w:pPr>
            <w:r>
              <w:rPr>
                <w:rFonts w:ascii="宋体" w:hAnsi="宋体" w:cs="宋体" w:eastAsia="宋体"/>
                <w:sz w:val="24"/>
              </w:rPr>
              <w:t>我单位现有机房位于翠华路</w:t>
            </w:r>
            <w:r>
              <w:rPr>
                <w:rFonts w:ascii="宋体" w:hAnsi="宋体" w:cs="宋体" w:eastAsia="宋体"/>
                <w:sz w:val="24"/>
              </w:rPr>
              <w:t>1819号4楼，本次机房搬迁将所有上线的业务服务器搬迁至位于习武园新场地的数据机房，并对新址机房做设备升级与环境对接改造。信息化设备的搬迁项目主要分为：设备的搬迁，设备上架，运输费用包装，设备安装调试，保险等服务。</w:t>
            </w:r>
          </w:p>
          <w:p>
            <w:pPr>
              <w:pStyle w:val="null3"/>
              <w:ind w:firstLine="480"/>
              <w:jc w:val="both"/>
            </w:pPr>
            <w:r>
              <w:rPr>
                <w:rFonts w:ascii="宋体" w:hAnsi="宋体" w:cs="宋体" w:eastAsia="宋体"/>
                <w:sz w:val="24"/>
              </w:rPr>
              <w:t>一、机房搬迁要求</w:t>
            </w:r>
          </w:p>
          <w:p>
            <w:pPr>
              <w:pStyle w:val="null3"/>
              <w:ind w:firstLine="480"/>
              <w:jc w:val="both"/>
            </w:pPr>
            <w:r>
              <w:rPr>
                <w:rFonts w:ascii="宋体" w:hAnsi="宋体" w:cs="宋体" w:eastAsia="宋体"/>
                <w:sz w:val="24"/>
              </w:rPr>
              <w:t>信息化搬迁项目，</w:t>
            </w:r>
            <w:r>
              <w:rPr>
                <w:rFonts w:ascii="宋体" w:hAnsi="宋体" w:cs="宋体" w:eastAsia="宋体"/>
                <w:sz w:val="24"/>
              </w:rPr>
              <w:t>搬迁服务商</w:t>
            </w:r>
            <w:r>
              <w:rPr>
                <w:rFonts w:ascii="宋体" w:hAnsi="宋体" w:cs="宋体" w:eastAsia="宋体"/>
                <w:sz w:val="24"/>
              </w:rPr>
              <w:t>需保障原有设备在拆除、搬迁及安装过程中安全无损，保障其在新环境下的使用，涉及系统有计算机及网络设备、安防设备、服务器及应用系统、环境监测设备、空调设备等。主要实现以下目标：</w:t>
            </w:r>
          </w:p>
          <w:p>
            <w:pPr>
              <w:pStyle w:val="null3"/>
              <w:ind w:firstLine="480"/>
              <w:jc w:val="both"/>
            </w:pPr>
            <w:r>
              <w:rPr>
                <w:rFonts w:ascii="宋体" w:hAnsi="宋体" w:cs="宋体" w:eastAsia="宋体"/>
                <w:sz w:val="24"/>
              </w:rPr>
              <w:t>1.现状详细梳理。对现有信息系统的现状进行详细整理，梳理清楚现有机房内设备状况、设备和应用之间的对应关系、设备连接关系、信息点状况、信息系统架构、应用关联关系、应用服务要求等基础信息，形成当前IT系统的详细勘察报告，为本次搬迁策略的制定以及后期系统的维护提供重要的基础信息。</w:t>
            </w:r>
          </w:p>
          <w:p>
            <w:pPr>
              <w:pStyle w:val="null3"/>
              <w:ind w:firstLine="480"/>
              <w:jc w:val="both"/>
            </w:pPr>
            <w:r>
              <w:rPr>
                <w:rFonts w:ascii="宋体" w:hAnsi="宋体" w:cs="宋体" w:eastAsia="宋体"/>
                <w:sz w:val="24"/>
              </w:rPr>
              <w:t>2.新机房合理规划。满足现有设备搬迁运行需求并考虑较长时期内业务发展需求，结合搬迁设备类型、热量排放、网络分区、应用分类等规划设备部署。</w:t>
            </w:r>
          </w:p>
          <w:p>
            <w:pPr>
              <w:pStyle w:val="null3"/>
              <w:ind w:firstLine="480"/>
              <w:jc w:val="both"/>
            </w:pPr>
            <w:r>
              <w:rPr>
                <w:rFonts w:ascii="宋体" w:hAnsi="宋体" w:cs="宋体" w:eastAsia="宋体"/>
                <w:sz w:val="24"/>
              </w:rPr>
              <w:t>3.业务平稳迁移。通过风险分析、应用系统关联分析、业务系统影响分析，制定安全有效的业务系统整体搬迁策略，减少业务影响，减少业务系统中断次数与时间，规避搬迁风险，保障业务系统连续性；制定充分、细致的搬迁实施方案，提供与搭建应急环境，进行充分详细的准备工作，根据搬迁方案需求，将业务系统顺利迁移至新场地。需要特别指出：服务器等机房配套设备安装时必须符合省信息化中心机房的清洁度等上架要求。设备的清洁环节所带来的风险由</w:t>
            </w:r>
            <w:r>
              <w:rPr>
                <w:rFonts w:ascii="宋体" w:hAnsi="宋体" w:cs="宋体" w:eastAsia="宋体"/>
                <w:sz w:val="24"/>
              </w:rPr>
              <w:t>搬迁服务商</w:t>
            </w:r>
            <w:r>
              <w:rPr>
                <w:rFonts w:ascii="宋体" w:hAnsi="宋体" w:cs="宋体" w:eastAsia="宋体"/>
                <w:sz w:val="24"/>
              </w:rPr>
              <w:t>承担。</w:t>
            </w:r>
          </w:p>
          <w:p>
            <w:pPr>
              <w:pStyle w:val="null3"/>
              <w:ind w:firstLine="480"/>
              <w:jc w:val="both"/>
            </w:pPr>
            <w:r>
              <w:rPr>
                <w:rFonts w:ascii="宋体" w:hAnsi="宋体" w:cs="宋体" w:eastAsia="宋体"/>
                <w:sz w:val="24"/>
              </w:rPr>
              <w:t>4.资源有效利用。充分利用现有设备，控制新投入设备费用，分析需求，在关键点投入过渡及更新设备，降低搬迁风险、提高整体运维水平。</w:t>
            </w:r>
          </w:p>
          <w:p>
            <w:pPr>
              <w:pStyle w:val="null3"/>
              <w:ind w:firstLine="480"/>
              <w:jc w:val="both"/>
            </w:pPr>
            <w:r>
              <w:rPr>
                <w:rFonts w:ascii="宋体" w:hAnsi="宋体" w:cs="宋体" w:eastAsia="宋体"/>
                <w:sz w:val="24"/>
              </w:rPr>
              <w:t>5.搬迁周期可控。在可控的范围内尽量缩短新老机房并行周期，充分分析业务系统、存储设备、网络应用等各种关联分批有计划搬迁。</w:t>
            </w:r>
          </w:p>
          <w:p>
            <w:pPr>
              <w:pStyle w:val="null3"/>
              <w:ind w:firstLine="480"/>
              <w:jc w:val="both"/>
            </w:pPr>
            <w:r>
              <w:rPr>
                <w:rFonts w:ascii="宋体" w:hAnsi="宋体" w:cs="宋体" w:eastAsia="宋体"/>
                <w:sz w:val="24"/>
              </w:rPr>
              <w:t>二、现有机房搬迁工作</w:t>
            </w:r>
          </w:p>
          <w:p>
            <w:pPr>
              <w:pStyle w:val="null3"/>
              <w:ind w:firstLine="480"/>
              <w:jc w:val="both"/>
            </w:pPr>
            <w:r>
              <w:rPr>
                <w:rFonts w:ascii="宋体" w:hAnsi="宋体" w:cs="宋体" w:eastAsia="宋体"/>
                <w:sz w:val="24"/>
              </w:rPr>
              <w:t>具体涉及现有机房</w:t>
            </w:r>
            <w:r>
              <w:rPr>
                <w:rFonts w:ascii="宋体" w:hAnsi="宋体" w:cs="宋体" w:eastAsia="宋体"/>
                <w:sz w:val="24"/>
              </w:rPr>
              <w:t>61台设备拆卸、搬迁、安装调试和正常运行工作。</w:t>
            </w:r>
          </w:p>
          <w:p>
            <w:pPr>
              <w:pStyle w:val="null3"/>
              <w:jc w:val="center"/>
            </w:pPr>
            <w:r>
              <w:rPr>
                <w:rFonts w:ascii="宋体" w:hAnsi="宋体" w:cs="宋体" w:eastAsia="宋体"/>
                <w:color w:val="000000"/>
                <w:sz w:val="24"/>
              </w:rPr>
              <w:t>机房设备清单</w:t>
            </w:r>
          </w:p>
          <w:tbl>
            <w:tblPr>
              <w:tblInd w:type="dxa" w:w="90"/>
              <w:tblBorders>
                <w:top w:val="none" w:color="000000" w:sz="4"/>
                <w:left w:val="none" w:color="000000" w:sz="4"/>
                <w:bottom w:val="none" w:color="000000" w:sz="4"/>
                <w:right w:val="none" w:color="000000" w:sz="4"/>
                <w:insideH w:val="none"/>
                <w:insideV w:val="none"/>
              </w:tblBorders>
            </w:tblPr>
            <w:tblGrid>
              <w:gridCol w:w="337"/>
              <w:gridCol w:w="1021"/>
              <w:gridCol w:w="506"/>
              <w:gridCol w:w="679"/>
            </w:tblGrid>
            <w:tr>
              <w:tc>
                <w:tcPr>
                  <w:tcW w:type="dxa" w:w="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10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设备名称</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数量</w:t>
                  </w:r>
                </w:p>
              </w:tc>
              <w:tc>
                <w:tcPr>
                  <w:tcW w:type="dxa" w:w="6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720"/>
                    <w:jc w:val="both"/>
                  </w:pPr>
                  <w:r>
                    <w:rPr>
                      <w:rFonts w:ascii="宋体" w:hAnsi="宋体" w:cs="宋体" w:eastAsia="宋体"/>
                      <w:sz w:val="24"/>
                    </w:rPr>
                    <w:t>单位</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1</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UPS主机头+电池组</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720"/>
                    <w:jc w:val="both"/>
                  </w:pPr>
                  <w:r>
                    <w:rPr>
                      <w:rFonts w:ascii="宋体" w:hAnsi="宋体" w:cs="宋体" w:eastAsia="宋体"/>
                      <w:sz w:val="24"/>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720"/>
                    <w:jc w:val="both"/>
                  </w:pPr>
                  <w:r>
                    <w:rPr>
                      <w:rFonts w:ascii="宋体" w:hAnsi="宋体" w:cs="宋体" w:eastAsia="宋体"/>
                      <w:sz w:val="24"/>
                    </w:rPr>
                    <w:t>套</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2</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配电柜</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720"/>
                    <w:jc w:val="both"/>
                  </w:pPr>
                  <w:r>
                    <w:rPr>
                      <w:rFonts w:ascii="宋体" w:hAnsi="宋体" w:cs="宋体" w:eastAsia="宋体"/>
                      <w:sz w:val="24"/>
                    </w:rPr>
                    <w:t>台</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3</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空调</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720"/>
                    <w:jc w:val="both"/>
                  </w:pPr>
                  <w:r>
                    <w:rPr>
                      <w:rFonts w:ascii="宋体" w:hAnsi="宋体" w:cs="宋体" w:eastAsia="宋体"/>
                      <w:sz w:val="24"/>
                    </w:rPr>
                    <w:t>台</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4</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七氟丙烷灭火装置</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720"/>
                    <w:jc w:val="both"/>
                  </w:pPr>
                  <w:r>
                    <w:rPr>
                      <w:rFonts w:ascii="宋体" w:hAnsi="宋体" w:cs="宋体" w:eastAsia="宋体"/>
                      <w:sz w:val="24"/>
                    </w:rPr>
                    <w:t>台</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5</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网络设备</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42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720"/>
                    <w:jc w:val="both"/>
                  </w:pPr>
                  <w:r>
                    <w:rPr>
                      <w:rFonts w:ascii="宋体" w:hAnsi="宋体" w:cs="宋体" w:eastAsia="宋体"/>
                      <w:sz w:val="24"/>
                    </w:rPr>
                    <w:t>台</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6</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视频监控</w:t>
                  </w:r>
                  <w:r>
                    <w:rPr>
                      <w:rFonts w:ascii="宋体" w:hAnsi="宋体" w:cs="宋体" w:eastAsia="宋体"/>
                      <w:sz w:val="24"/>
                    </w:rPr>
                    <w:t>+磁盘录像机</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720"/>
                    <w:jc w:val="both"/>
                  </w:pPr>
                  <w:r>
                    <w:rPr>
                      <w:rFonts w:ascii="宋体" w:hAnsi="宋体" w:cs="宋体" w:eastAsia="宋体"/>
                      <w:sz w:val="24"/>
                    </w:rPr>
                    <w:t>套</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7</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工控机</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720"/>
                    <w:jc w:val="both"/>
                  </w:pPr>
                  <w:r>
                    <w:rPr>
                      <w:rFonts w:ascii="宋体" w:hAnsi="宋体" w:cs="宋体" w:eastAsia="宋体"/>
                      <w:sz w:val="24"/>
                    </w:rPr>
                    <w:t>台</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8</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显示器</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720"/>
                    <w:jc w:val="both"/>
                  </w:pPr>
                  <w:r>
                    <w:rPr>
                      <w:rFonts w:ascii="宋体" w:hAnsi="宋体" w:cs="宋体" w:eastAsia="宋体"/>
                      <w:sz w:val="24"/>
                    </w:rPr>
                    <w:t>台</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9</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未知设备</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720"/>
                    <w:jc w:val="both"/>
                  </w:pPr>
                  <w:r>
                    <w:rPr>
                      <w:rFonts w:ascii="宋体" w:hAnsi="宋体" w:cs="宋体" w:eastAsia="宋体"/>
                      <w:sz w:val="24"/>
                    </w:rPr>
                    <w:t>台</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10</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通讯设备</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套（</w:t>
                  </w:r>
                  <w:r>
                    <w:rPr>
                      <w:rFonts w:ascii="宋体" w:hAnsi="宋体" w:cs="宋体" w:eastAsia="宋体"/>
                      <w:sz w:val="24"/>
                    </w:rPr>
                    <w:t>10）</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11</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存储系统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720"/>
                    <w:jc w:val="both"/>
                  </w:pPr>
                  <w:r>
                    <w:rPr>
                      <w:rFonts w:ascii="宋体" w:hAnsi="宋体" w:cs="宋体" w:eastAsia="宋体"/>
                      <w:sz w:val="24"/>
                    </w:rPr>
                    <w:t>台</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12</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服务器</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5</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720"/>
                    <w:jc w:val="both"/>
                  </w:pPr>
                  <w:r>
                    <w:rPr>
                      <w:rFonts w:ascii="宋体" w:hAnsi="宋体" w:cs="宋体" w:eastAsia="宋体"/>
                      <w:sz w:val="24"/>
                    </w:rPr>
                    <w:t>台</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13</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小型机</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720"/>
                    <w:jc w:val="both"/>
                  </w:pPr>
                  <w:r>
                    <w:rPr>
                      <w:rFonts w:ascii="宋体" w:hAnsi="宋体" w:cs="宋体" w:eastAsia="宋体"/>
                      <w:sz w:val="24"/>
                    </w:rPr>
                    <w:t>台</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14</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显示设备</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720"/>
                    <w:jc w:val="both"/>
                  </w:pPr>
                  <w:r>
                    <w:rPr>
                      <w:rFonts w:ascii="宋体" w:hAnsi="宋体" w:cs="宋体" w:eastAsia="宋体"/>
                      <w:sz w:val="24"/>
                    </w:rPr>
                    <w:t>套</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15</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桌面存储</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720"/>
                    <w:jc w:val="both"/>
                  </w:pPr>
                  <w:r>
                    <w:rPr>
                      <w:rFonts w:ascii="宋体" w:hAnsi="宋体" w:cs="宋体" w:eastAsia="宋体"/>
                      <w:sz w:val="24"/>
                    </w:rPr>
                    <w:t>台</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16</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离线光盘存储系统</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720"/>
                    <w:jc w:val="both"/>
                  </w:pPr>
                  <w:r>
                    <w:rPr>
                      <w:rFonts w:ascii="宋体" w:hAnsi="宋体" w:cs="宋体" w:eastAsia="宋体"/>
                      <w:sz w:val="24"/>
                    </w:rPr>
                    <w:t>套</w:t>
                  </w:r>
                </w:p>
              </w:tc>
            </w:tr>
            <w:tr>
              <w:tc>
                <w:tcPr>
                  <w:tcW w:type="dxa" w:w="254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720"/>
                    <w:jc w:val="both"/>
                  </w:pPr>
                  <w:r>
                    <w:rPr>
                      <w:rFonts w:ascii="宋体" w:hAnsi="宋体" w:cs="宋体" w:eastAsia="宋体"/>
                      <w:sz w:val="24"/>
                    </w:rPr>
                    <w:t>备注：以上各类设备数量如有个别变化，以实际搬迁数量为</w:t>
                  </w:r>
                  <w:r>
                    <w:rPr>
                      <w:rFonts w:ascii="宋体" w:hAnsi="宋体" w:cs="宋体" w:eastAsia="宋体"/>
                      <w:sz w:val="24"/>
                    </w:rPr>
                    <w:t>准</w:t>
                  </w:r>
                  <w:r>
                    <w:rPr>
                      <w:rFonts w:ascii="宋体" w:hAnsi="宋体" w:cs="宋体" w:eastAsia="宋体"/>
                      <w:sz w:val="24"/>
                    </w:rPr>
                    <w:t>。</w:t>
                  </w:r>
                </w:p>
              </w:tc>
            </w:tr>
          </w:tbl>
          <w:p>
            <w:pPr>
              <w:pStyle w:val="null3"/>
              <w:ind w:firstLine="480"/>
              <w:jc w:val="both"/>
            </w:pPr>
            <w:r>
              <w:rPr>
                <w:rFonts w:ascii="宋体" w:hAnsi="宋体" w:cs="宋体" w:eastAsia="宋体"/>
                <w:b/>
                <w:sz w:val="24"/>
              </w:rPr>
              <w:t>第三部分：新场地部分设备采购与临时性替代</w:t>
            </w:r>
          </w:p>
          <w:p>
            <w:pPr>
              <w:pStyle w:val="null3"/>
              <w:jc w:val="both"/>
            </w:pPr>
            <w:r>
              <w:rPr>
                <w:rFonts w:ascii="宋体" w:hAnsi="宋体" w:cs="宋体" w:eastAsia="宋体"/>
                <w:sz w:val="24"/>
              </w:rPr>
              <w:t>一、需采购机房机柜</w:t>
            </w:r>
            <w:r>
              <w:rPr>
                <w:rFonts w:ascii="宋体" w:hAnsi="宋体" w:cs="宋体" w:eastAsia="宋体"/>
                <w:sz w:val="24"/>
              </w:rPr>
              <w:t>8个、弱电井小机柜20个</w:t>
            </w:r>
          </w:p>
          <w:p>
            <w:pPr>
              <w:pStyle w:val="null3"/>
              <w:ind w:firstLine="480"/>
              <w:jc w:val="both"/>
            </w:pPr>
            <w:r>
              <w:rPr>
                <w:rFonts w:ascii="宋体" w:hAnsi="宋体" w:cs="宋体" w:eastAsia="宋体"/>
                <w:sz w:val="24"/>
              </w:rPr>
              <w:t>1.机房机柜</w:t>
            </w:r>
            <w:r>
              <w:rPr>
                <w:rFonts w:ascii="宋体" w:hAnsi="宋体" w:cs="宋体" w:eastAsia="宋体"/>
                <w:sz w:val="24"/>
              </w:rPr>
              <w:t>要求：</w:t>
            </w:r>
            <w:r>
              <w:rPr>
                <w:rFonts w:ascii="宋体" w:hAnsi="宋体" w:cs="宋体" w:eastAsia="宋体"/>
                <w:color w:val="000000"/>
                <w:sz w:val="24"/>
              </w:rPr>
              <w:t>42U服务器机柜（黑）、支持组合连体（含侧板）。</w:t>
            </w:r>
          </w:p>
          <w:p>
            <w:pPr>
              <w:pStyle w:val="null3"/>
              <w:ind w:firstLine="480"/>
              <w:jc w:val="both"/>
            </w:pPr>
            <w:r>
              <w:rPr>
                <w:rFonts w:ascii="宋体" w:hAnsi="宋体" w:cs="宋体" w:eastAsia="宋体"/>
                <w:sz w:val="24"/>
              </w:rPr>
              <w:t>2.弱电井小机柜</w:t>
            </w:r>
            <w:r>
              <w:rPr>
                <w:rFonts w:ascii="宋体" w:hAnsi="宋体" w:cs="宋体" w:eastAsia="宋体"/>
                <w:sz w:val="24"/>
              </w:rPr>
              <w:t>要求：</w:t>
            </w:r>
            <w:r>
              <w:rPr>
                <w:rFonts w:ascii="宋体" w:hAnsi="宋体" w:cs="宋体" w:eastAsia="宋体"/>
                <w:sz w:val="24"/>
              </w:rPr>
              <w:t>4U壁挂标准机柜。</w:t>
            </w:r>
          </w:p>
          <w:p>
            <w:pPr>
              <w:pStyle w:val="null3"/>
              <w:ind w:firstLine="480"/>
              <w:jc w:val="both"/>
            </w:pPr>
            <w:r>
              <w:rPr>
                <w:rFonts w:ascii="宋体" w:hAnsi="宋体" w:cs="宋体" w:eastAsia="宋体"/>
                <w:sz w:val="24"/>
              </w:rPr>
              <w:t>二、新场地需提供临时性替代交换机</w:t>
            </w:r>
            <w:r>
              <w:rPr>
                <w:rFonts w:ascii="宋体" w:hAnsi="宋体" w:cs="宋体" w:eastAsia="宋体"/>
                <w:sz w:val="24"/>
              </w:rPr>
              <w:t>20台</w:t>
            </w:r>
          </w:p>
          <w:p>
            <w:pPr>
              <w:pStyle w:val="null3"/>
              <w:ind w:firstLine="480"/>
              <w:jc w:val="left"/>
            </w:pPr>
            <w:r>
              <w:rPr>
                <w:rFonts w:ascii="宋体" w:hAnsi="宋体" w:cs="宋体" w:eastAsia="宋体"/>
                <w:color w:val="000000"/>
                <w:sz w:val="24"/>
              </w:rPr>
              <w:t>1.设备配备说明：新场地需要信息化网络（不含新场地安保和电话装置交换机）交换机设备20台。</w:t>
            </w:r>
          </w:p>
          <w:p>
            <w:pPr>
              <w:pStyle w:val="null3"/>
              <w:ind w:firstLine="480"/>
              <w:jc w:val="left"/>
            </w:pPr>
            <w:r>
              <w:rPr>
                <w:rFonts w:ascii="宋体" w:hAnsi="宋体" w:cs="宋体" w:eastAsia="宋体"/>
                <w:color w:val="000000"/>
                <w:sz w:val="24"/>
              </w:rPr>
              <w:t>2.设备配置参数：1.交换容量≥420Gbps，包转发率≥166Mpps;2.配置≥4个万兆光口，≥48个千兆电口，配置≥4个万兆多模光模块；3.高度1U，固定接口交换机；4.支持IPv4静态路由、RIP、OSPF，支持IPv6静态路由、RIPng、OSPFv3；5.支持CPU保护功能；6.支持通过标准以太端口进行堆叠；7.支持基于端口的VLAN，支持基于协议的VLAN；支持基于MAC的VLAN；8.支持SNMP V1/V2/V3、RMON、SSHV2。</w:t>
            </w:r>
          </w:p>
          <w:p>
            <w:pPr>
              <w:pStyle w:val="null3"/>
              <w:ind w:firstLine="480"/>
              <w:jc w:val="both"/>
            </w:pPr>
            <w:r>
              <w:rPr>
                <w:rFonts w:ascii="宋体" w:hAnsi="宋体" w:cs="宋体" w:eastAsia="宋体"/>
                <w:sz w:val="24"/>
              </w:rPr>
              <w:t>三、通信管网铺设</w:t>
            </w:r>
          </w:p>
          <w:p>
            <w:pPr>
              <w:pStyle w:val="null3"/>
              <w:ind w:firstLine="480"/>
              <w:jc w:val="both"/>
            </w:pPr>
            <w:r>
              <w:rPr>
                <w:rFonts w:ascii="宋体" w:hAnsi="宋体" w:cs="宋体" w:eastAsia="宋体"/>
                <w:sz w:val="24"/>
              </w:rPr>
              <w:t>负责完成习武园场地通信管道与市政管网的连通对接，包含但不限于规划审批、施工审批以及工程实施。与市政管网对接的通信管道</w:t>
            </w:r>
            <w:r>
              <w:rPr>
                <w:rFonts w:ascii="宋体" w:hAnsi="宋体" w:cs="宋体" w:eastAsia="宋体"/>
                <w:sz w:val="24"/>
              </w:rPr>
              <w:t>≥2根，规格D110mm。</w:t>
            </w:r>
          </w:p>
          <w:p>
            <w:pPr>
              <w:pStyle w:val="null3"/>
              <w:jc w:val="both"/>
            </w:pPr>
            <w:r>
              <w:rPr>
                <w:rFonts w:ascii="宋体" w:hAnsi="宋体" w:cs="宋体" w:eastAsia="宋体"/>
                <w:b/>
                <w:sz w:val="24"/>
              </w:rPr>
              <w:t>第四部分：信息化设备搬迁要求</w:t>
            </w:r>
          </w:p>
          <w:p>
            <w:pPr>
              <w:pStyle w:val="null3"/>
              <w:ind w:firstLine="480"/>
              <w:jc w:val="both"/>
            </w:pPr>
            <w:r>
              <w:rPr>
                <w:rFonts w:ascii="宋体" w:hAnsi="宋体" w:cs="宋体" w:eastAsia="宋体"/>
                <w:sz w:val="24"/>
              </w:rPr>
              <w:t>一、工作原则</w:t>
            </w:r>
          </w:p>
          <w:p>
            <w:pPr>
              <w:pStyle w:val="null3"/>
              <w:ind w:firstLine="480"/>
              <w:jc w:val="both"/>
            </w:pPr>
            <w:r>
              <w:rPr>
                <w:rFonts w:ascii="宋体" w:hAnsi="宋体" w:cs="宋体" w:eastAsia="宋体"/>
                <w:sz w:val="24"/>
              </w:rPr>
              <w:t>本次搬迁包括我单位所有的信息化系统及设备，含服务器、呼叫中心设备、交换机、网络设备、台式计算机、会议室、叫号大厅等。</w:t>
            </w:r>
          </w:p>
          <w:p>
            <w:pPr>
              <w:pStyle w:val="null3"/>
              <w:ind w:firstLine="480"/>
              <w:jc w:val="both"/>
            </w:pPr>
            <w:r>
              <w:rPr>
                <w:rFonts w:ascii="宋体" w:hAnsi="宋体" w:cs="宋体" w:eastAsia="宋体"/>
                <w:sz w:val="24"/>
              </w:rPr>
              <w:t>系统搬迁过程中必须遵从安全性原则、先进性原则、开放性原则、高可靠性原则、可管理性原则。</w:t>
            </w:r>
          </w:p>
          <w:p>
            <w:pPr>
              <w:pStyle w:val="null3"/>
              <w:ind w:firstLine="480"/>
              <w:jc w:val="both"/>
            </w:pPr>
            <w:r>
              <w:rPr>
                <w:rFonts w:ascii="宋体" w:hAnsi="宋体" w:cs="宋体" w:eastAsia="宋体"/>
                <w:sz w:val="24"/>
              </w:rPr>
              <w:t>1.安全性原则：在工程实施过程中，应通过安全技术和措施保证网络和系统的安全性、数据的安全性、用户访问的安全性，在技术保障的同时，从管理层面加强安全性管理。</w:t>
            </w:r>
          </w:p>
          <w:p>
            <w:pPr>
              <w:pStyle w:val="null3"/>
              <w:ind w:firstLine="480"/>
              <w:jc w:val="both"/>
            </w:pPr>
            <w:r>
              <w:rPr>
                <w:rFonts w:ascii="宋体" w:hAnsi="宋体" w:cs="宋体" w:eastAsia="宋体"/>
                <w:sz w:val="24"/>
              </w:rPr>
              <w:t>2.先进性原则：系统搬迁过程中的新购及过渡软硬件产品应采用先进的、开放的系统结构；应可通过智能化的网络设备及网管软件实现对系统的有效管理与控制；工程应采用先进的现代管理方法，以保证项目实施与管理的科学性。</w:t>
            </w:r>
          </w:p>
          <w:p>
            <w:pPr>
              <w:pStyle w:val="null3"/>
              <w:ind w:firstLine="480"/>
              <w:jc w:val="both"/>
            </w:pPr>
            <w:r>
              <w:rPr>
                <w:rFonts w:ascii="宋体" w:hAnsi="宋体" w:cs="宋体" w:eastAsia="宋体"/>
                <w:sz w:val="24"/>
              </w:rPr>
              <w:t>3.开放性原则：系统搬迁过程中的新购及过渡软硬件产品应遵循开放性和标准化基本原则，所选用的硬件设备、软件等必须遵循相应的国际标准，保证系统具有互操作性和开放性。各系统之间采用优化的原则，使各系统之间更好地配合，达到最佳的应用效果。</w:t>
            </w:r>
          </w:p>
          <w:p>
            <w:pPr>
              <w:pStyle w:val="null3"/>
              <w:ind w:firstLine="480"/>
              <w:jc w:val="both"/>
            </w:pPr>
            <w:r>
              <w:rPr>
                <w:rFonts w:ascii="宋体" w:hAnsi="宋体" w:cs="宋体" w:eastAsia="宋体"/>
                <w:sz w:val="24"/>
              </w:rPr>
              <w:t>4.高可靠性原则：搬迁过程应满足各系统维护及业务部门高可靠性及高稳定性的要求。</w:t>
            </w:r>
          </w:p>
          <w:p>
            <w:pPr>
              <w:pStyle w:val="null3"/>
              <w:ind w:firstLine="480"/>
              <w:jc w:val="both"/>
            </w:pPr>
            <w:r>
              <w:rPr>
                <w:rFonts w:ascii="宋体" w:hAnsi="宋体" w:cs="宋体" w:eastAsia="宋体"/>
                <w:sz w:val="24"/>
              </w:rPr>
              <w:t>5.可管理性原则：搬迁过程应保证系统的可管理、实施过程的可管理、实施风险的可控制。</w:t>
            </w:r>
          </w:p>
          <w:p>
            <w:pPr>
              <w:pStyle w:val="null3"/>
              <w:ind w:firstLine="480"/>
              <w:jc w:val="both"/>
            </w:pPr>
            <w:r>
              <w:rPr>
                <w:rFonts w:ascii="宋体" w:hAnsi="宋体" w:cs="宋体" w:eastAsia="宋体"/>
                <w:sz w:val="24"/>
              </w:rPr>
              <w:t>二、搬迁要求</w:t>
            </w:r>
          </w:p>
          <w:p>
            <w:pPr>
              <w:pStyle w:val="null3"/>
              <w:ind w:firstLine="480"/>
              <w:jc w:val="both"/>
            </w:pPr>
            <w:r>
              <w:rPr>
                <w:rFonts w:ascii="宋体" w:hAnsi="宋体" w:cs="宋体" w:eastAsia="宋体"/>
                <w:sz w:val="24"/>
              </w:rPr>
              <w:t>在搬迁之前，需要搬迁服务商实地勘测新机房的建设（装修、强电、弱电、空调、消防、安防等）、新机房网络系统建设（局域网、互联网、专网等）、新机房主机系统建设、现机房运行系统健康检查、物流准备（搬迁环境、路线考察，物流方案制定等）等前期准备工作。描绘出机房设备摆放详细图纸；可能的话将所有设备进机柜，根据各机器功能和连接关系确定各设备机柜位置；根据机柜位置，铺设强电、弱电线槽；对机房内进行综合布线（主要为局域网线或光缆、尾纤）；对机房内进行强电铺设，要求直接到电源插座。新机房条件准备成熟的标志为：装修结束、空调可用、动力和照明电源安装结束、设备机柜、</w:t>
            </w:r>
            <w:r>
              <w:rPr>
                <w:rFonts w:ascii="宋体" w:hAnsi="宋体" w:cs="宋体" w:eastAsia="宋体"/>
                <w:sz w:val="24"/>
              </w:rPr>
              <w:t>UPS电源确定相应位置，网络布线结束。</w:t>
            </w:r>
          </w:p>
          <w:p>
            <w:pPr>
              <w:pStyle w:val="null3"/>
              <w:ind w:firstLine="480"/>
              <w:jc w:val="both"/>
            </w:pPr>
            <w:r>
              <w:rPr>
                <w:rFonts w:ascii="宋体" w:hAnsi="宋体" w:cs="宋体" w:eastAsia="宋体"/>
                <w:sz w:val="24"/>
              </w:rPr>
              <w:t>系统正式搬迁之前，需对机房设备做一次主机日常维护工作，主机的日常维护是指对主机系统作一次正常的保养，此项工作包括主机系统的日常检测、相关日志检查、双机切换确认和切断电源、系统除尘等，为主机的正式搬迁打下良好的基础。同时，需要事先做一次预演。对搬迁涉及的设备进行统计，确认设备型号、实际安装位置、电源、数据线缆、</w:t>
            </w:r>
            <w:r>
              <w:rPr>
                <w:rFonts w:ascii="宋体" w:hAnsi="宋体" w:cs="宋体" w:eastAsia="宋体"/>
                <w:sz w:val="24"/>
              </w:rPr>
              <w:t>IP地址、系统安装、应用安装、保修等信息，形成统计表和设备机柜安装图。</w:t>
            </w:r>
          </w:p>
          <w:p>
            <w:pPr>
              <w:pStyle w:val="null3"/>
              <w:ind w:firstLine="480"/>
              <w:jc w:val="both"/>
            </w:pPr>
            <w:r>
              <w:rPr>
                <w:rFonts w:ascii="宋体" w:hAnsi="宋体" w:cs="宋体" w:eastAsia="宋体"/>
                <w:sz w:val="24"/>
              </w:rPr>
              <w:t>在搬迁开始后，首先停止业务系统的对外服务，之后进行系统数据的备份，然后进行系统停机。在完成搬迁后系统网络部分的恢复上线，使系统能够正常提供服务。最后在完成所有业务系统的恢复上线，使系统能够正常提供服务。</w:t>
            </w:r>
          </w:p>
          <w:p>
            <w:pPr>
              <w:pStyle w:val="null3"/>
              <w:ind w:firstLine="480"/>
              <w:jc w:val="both"/>
            </w:pPr>
            <w:r>
              <w:rPr>
                <w:rFonts w:ascii="宋体" w:hAnsi="宋体" w:cs="宋体" w:eastAsia="宋体"/>
                <w:sz w:val="24"/>
              </w:rPr>
              <w:t>在搬迁完成后，进行系统功能测试，并安排技术人员进行现场值守，保障系统正常运行。</w:t>
            </w:r>
          </w:p>
          <w:p>
            <w:pPr>
              <w:pStyle w:val="null3"/>
              <w:ind w:firstLine="480"/>
              <w:jc w:val="both"/>
            </w:pPr>
            <w:r>
              <w:rPr>
                <w:rFonts w:ascii="宋体" w:hAnsi="宋体" w:cs="宋体" w:eastAsia="宋体"/>
                <w:sz w:val="24"/>
              </w:rPr>
              <w:t>三、搬迁过程中应注意的若干问题</w:t>
            </w:r>
          </w:p>
          <w:p>
            <w:pPr>
              <w:pStyle w:val="null3"/>
              <w:ind w:firstLine="480"/>
              <w:jc w:val="both"/>
            </w:pPr>
            <w:r>
              <w:rPr>
                <w:rFonts w:ascii="宋体" w:hAnsi="宋体" w:cs="宋体" w:eastAsia="宋体"/>
                <w:sz w:val="24"/>
              </w:rPr>
              <w:t>1.搬迁前新机房要进行光纤、双绞线的测试工作。旧机房的服务器导轨是否都与新机房机柜间距相符合，需提前确认。</w:t>
            </w:r>
          </w:p>
          <w:p>
            <w:pPr>
              <w:pStyle w:val="null3"/>
              <w:ind w:firstLine="480"/>
              <w:jc w:val="both"/>
            </w:pPr>
            <w:r>
              <w:rPr>
                <w:rFonts w:ascii="宋体" w:hAnsi="宋体" w:cs="宋体" w:eastAsia="宋体"/>
                <w:sz w:val="24"/>
              </w:rPr>
              <w:t>2.应用及设备的停运、启动等操作必须严格按照现场操作规程执行；各类设备都有明确的测试方法；准备好应用软件，包括中间件、数据库、应用软件等安装程序需在搬迁前进行集中准备、归档。</w:t>
            </w:r>
          </w:p>
          <w:p>
            <w:pPr>
              <w:pStyle w:val="null3"/>
              <w:ind w:firstLine="480"/>
              <w:jc w:val="both"/>
            </w:pPr>
            <w:r>
              <w:rPr>
                <w:rFonts w:ascii="宋体" w:hAnsi="宋体" w:cs="宋体" w:eastAsia="宋体"/>
                <w:sz w:val="24"/>
              </w:rPr>
              <w:t>3.数据的备份在系统迁移前，如有条件一定要做好重要系统的操作系统备份，确保数据的完整性和正确性。</w:t>
            </w:r>
          </w:p>
          <w:p>
            <w:pPr>
              <w:pStyle w:val="null3"/>
              <w:ind w:firstLine="480"/>
              <w:jc w:val="both"/>
            </w:pPr>
            <w:r>
              <w:rPr>
                <w:rFonts w:ascii="宋体" w:hAnsi="宋体" w:cs="宋体" w:eastAsia="宋体"/>
                <w:sz w:val="24"/>
              </w:rPr>
              <w:t>4.设备标签在搬迁过程中，注意对标签的保护，防止标签的脱落，尤其是服务器的小配件及螺丝，拆卸时作好标签，以免对后面的重组造成影响。</w:t>
            </w:r>
          </w:p>
          <w:p>
            <w:pPr>
              <w:pStyle w:val="null3"/>
              <w:ind w:firstLine="480"/>
              <w:jc w:val="both"/>
            </w:pPr>
            <w:r>
              <w:rPr>
                <w:rFonts w:ascii="宋体" w:hAnsi="宋体" w:cs="宋体" w:eastAsia="宋体"/>
                <w:sz w:val="24"/>
              </w:rPr>
              <w:t>5.设备关机并切断电源后，需等到设备内部原件充分放电后才可拆迁，以尽量减少系统搬迁过程中原件损坏的可能情况发生。</w:t>
            </w:r>
          </w:p>
          <w:p>
            <w:pPr>
              <w:pStyle w:val="null3"/>
              <w:ind w:firstLine="480"/>
              <w:jc w:val="both"/>
            </w:pPr>
            <w:r>
              <w:rPr>
                <w:rFonts w:ascii="宋体" w:hAnsi="宋体" w:cs="宋体" w:eastAsia="宋体"/>
                <w:sz w:val="24"/>
              </w:rPr>
              <w:t>6.搬迁工作责任到人，设备的运输时要提前做好登记、运输都要有专人负责。搬迁人员应佩戴上放静电手套，设备搬迁过程中尽量做到轻放，避免碰撞；在新旧机房外进行打包和搬迁。</w:t>
            </w:r>
          </w:p>
          <w:p>
            <w:pPr>
              <w:pStyle w:val="null3"/>
              <w:ind w:firstLine="480"/>
              <w:jc w:val="both"/>
            </w:pPr>
            <w:r>
              <w:rPr>
                <w:rFonts w:ascii="宋体" w:hAnsi="宋体" w:cs="宋体" w:eastAsia="宋体"/>
                <w:sz w:val="24"/>
              </w:rPr>
              <w:t>7.搬迁使用车辆应通过年检和具备相关安全合格证，驾驶员应拥有驾驶证，并有搬迁车辆驾驶经验，搬迁车辆运行前驾驶员精神状态良好。</w:t>
            </w:r>
          </w:p>
          <w:p>
            <w:pPr>
              <w:pStyle w:val="null3"/>
              <w:ind w:firstLine="480"/>
              <w:jc w:val="both"/>
            </w:pPr>
            <w:r>
              <w:rPr>
                <w:rFonts w:ascii="宋体" w:hAnsi="宋体" w:cs="宋体" w:eastAsia="宋体"/>
                <w:sz w:val="24"/>
              </w:rPr>
              <w:t>8.设备搬迁后必须按原接入情况进行网络及存储的接入，保证各系统设备的连接方式及运行环境保持不变。</w:t>
            </w:r>
          </w:p>
          <w:p>
            <w:pPr>
              <w:pStyle w:val="null3"/>
              <w:ind w:firstLine="480"/>
              <w:jc w:val="both"/>
            </w:pPr>
            <w:r>
              <w:rPr>
                <w:rFonts w:ascii="宋体" w:hAnsi="宋体" w:cs="宋体" w:eastAsia="宋体"/>
                <w:sz w:val="24"/>
              </w:rPr>
              <w:t>9.搬迁相关人员要有一个集中办公的地方，供搬迁期间办公使用。搬迁过程中出现问题时间长的情况下，需轮班作业，以保证充裕的精力和体力。</w:t>
            </w:r>
          </w:p>
          <w:p>
            <w:pPr>
              <w:pStyle w:val="null3"/>
              <w:ind w:firstLine="480"/>
              <w:jc w:val="both"/>
            </w:pPr>
            <w:r>
              <w:rPr>
                <w:rFonts w:ascii="宋体" w:hAnsi="宋体" w:cs="宋体" w:eastAsia="宋体"/>
                <w:sz w:val="24"/>
              </w:rPr>
              <w:t>四、搬迁过程中设备硬件损坏</w:t>
            </w:r>
          </w:p>
          <w:p>
            <w:pPr>
              <w:pStyle w:val="null3"/>
              <w:ind w:firstLine="480"/>
              <w:jc w:val="both"/>
            </w:pPr>
            <w:r>
              <w:rPr>
                <w:rFonts w:ascii="宋体" w:hAnsi="宋体" w:cs="宋体" w:eastAsia="宋体"/>
                <w:sz w:val="24"/>
              </w:rPr>
              <w:t>针对系统运输过程中硬件损坏，应准备相应备机、备件，紧急时进行硬件或系统替换，并及时联系技术部门进行设备维修，应备有相应的紧急预案。</w:t>
            </w:r>
            <w:r>
              <w:rPr>
                <w:rFonts w:ascii="宋体" w:hAnsi="宋体" w:cs="宋体" w:eastAsia="宋体"/>
                <w:sz w:val="24"/>
              </w:rPr>
              <w:t xml:space="preserve">                   </w:t>
            </w:r>
          </w:p>
          <w:p>
            <w:pPr>
              <w:pStyle w:val="null3"/>
              <w:ind w:firstLine="480"/>
              <w:jc w:val="both"/>
            </w:pPr>
            <w:r>
              <w:rPr>
                <w:rFonts w:ascii="宋体" w:hAnsi="宋体" w:cs="宋体" w:eastAsia="宋体"/>
                <w:sz w:val="24"/>
              </w:rPr>
              <w:t>五、数据备份</w:t>
            </w:r>
          </w:p>
          <w:p>
            <w:pPr>
              <w:pStyle w:val="null3"/>
              <w:ind w:firstLine="480"/>
              <w:jc w:val="both"/>
            </w:pPr>
            <w:r>
              <w:rPr>
                <w:rFonts w:ascii="宋体" w:hAnsi="宋体" w:cs="宋体" w:eastAsia="宋体"/>
                <w:sz w:val="24"/>
              </w:rPr>
              <w:t>设备调试：主要工作是使所有设备正常运行及工作。其中包括主机</w:t>
            </w:r>
            <w:r>
              <w:rPr>
                <w:rFonts w:ascii="宋体" w:hAnsi="宋体" w:cs="宋体" w:eastAsia="宋体"/>
                <w:sz w:val="24"/>
              </w:rPr>
              <w:t>ip设置、网关设置、vlan分配、防火墙配置、服务器应用调试、数据系统备份恢复等，必须由搬迁服务商负责新场地三座楼层和所有信息化设备检测、调试和办公系统、应用系统及所有设备间的正常运行工作，在搬迁服务商完成所有工作后，由我单位对系统运行情况和信息技术服务保障工作进行验收。</w:t>
            </w:r>
          </w:p>
        </w:tc>
      </w:tr>
    </w:tbl>
    <w:p>
      <w:pPr>
        <w:pStyle w:val="null3"/>
        <w:outlineLvl w:val="2"/>
      </w:pPr>
      <w:r>
        <w:rPr>
          <w:b/>
          <w:sz w:val="28"/>
        </w:rPr>
        <w:t>3.2.3人员配置要求</w:t>
      </w:r>
    </w:p>
    <w:p>
      <w:pPr>
        <w:pStyle w:val="null3"/>
      </w:pPr>
      <w:r>
        <w:rPr/>
        <w:t>采购包1：</w:t>
      </w:r>
    </w:p>
    <w:p>
      <w:pPr>
        <w:pStyle w:val="null3"/>
      </w:pPr>
      <w:r>
        <w:rPr/>
        <w:t>根据本包服务内容自行配置</w:t>
      </w:r>
    </w:p>
    <w:p>
      <w:pPr>
        <w:pStyle w:val="null3"/>
      </w:pPr>
      <w:r>
        <w:rPr/>
        <w:t>采购包2：</w:t>
      </w:r>
    </w:p>
    <w:p>
      <w:pPr>
        <w:pStyle w:val="null3"/>
      </w:pPr>
      <w:r>
        <w:rPr/>
        <w:t>根据本包服务内容自行配置</w:t>
      </w:r>
    </w:p>
    <w:p>
      <w:pPr>
        <w:pStyle w:val="null3"/>
      </w:pPr>
      <w:r>
        <w:rPr/>
        <w:t>采购包3：</w:t>
      </w:r>
    </w:p>
    <w:p>
      <w:pPr>
        <w:pStyle w:val="null3"/>
      </w:pPr>
      <w:r>
        <w:rPr/>
        <w:t>根据本包服务内容自行配置</w:t>
      </w:r>
    </w:p>
    <w:p>
      <w:pPr>
        <w:pStyle w:val="null3"/>
        <w:outlineLvl w:val="2"/>
      </w:pPr>
      <w:r>
        <w:rPr>
          <w:b/>
          <w:sz w:val="28"/>
        </w:rPr>
        <w:t>3.2.4设施设备要求</w:t>
      </w:r>
    </w:p>
    <w:p>
      <w:pPr>
        <w:pStyle w:val="null3"/>
      </w:pPr>
      <w:r>
        <w:rPr/>
        <w:t>采购包1：</w:t>
      </w:r>
    </w:p>
    <w:p>
      <w:pPr>
        <w:pStyle w:val="null3"/>
      </w:pPr>
      <w:r>
        <w:rPr/>
        <w:t>根据本包服务内容自行配置</w:t>
      </w:r>
    </w:p>
    <w:p>
      <w:pPr>
        <w:pStyle w:val="null3"/>
      </w:pPr>
      <w:r>
        <w:rPr/>
        <w:t>采购包2：</w:t>
      </w:r>
    </w:p>
    <w:p>
      <w:pPr>
        <w:pStyle w:val="null3"/>
      </w:pPr>
      <w:r>
        <w:rPr/>
        <w:t>根据本包服务内容自行配置</w:t>
      </w:r>
    </w:p>
    <w:p>
      <w:pPr>
        <w:pStyle w:val="null3"/>
      </w:pPr>
      <w:r>
        <w:rPr/>
        <w:t>采购包3：</w:t>
      </w:r>
    </w:p>
    <w:p>
      <w:pPr>
        <w:pStyle w:val="null3"/>
      </w:pPr>
      <w:r>
        <w:rPr/>
        <w:t>根据本包服务内容自行配置</w:t>
      </w:r>
    </w:p>
    <w:p>
      <w:pPr>
        <w:pStyle w:val="null3"/>
        <w:outlineLvl w:val="2"/>
      </w:pPr>
      <w:r>
        <w:rPr>
          <w:b/>
          <w:sz w:val="28"/>
        </w:rPr>
        <w:t>3.2.5其他要求</w:t>
      </w:r>
    </w:p>
    <w:p>
      <w:pPr>
        <w:pStyle w:val="null3"/>
      </w:pPr>
      <w:r>
        <w:rPr/>
        <w:t>采购包1：</w:t>
      </w:r>
    </w:p>
    <w:p>
      <w:pPr>
        <w:pStyle w:val="null3"/>
      </w:pPr>
      <w:r>
        <w:rPr/>
        <w:t>/</w:t>
      </w:r>
    </w:p>
    <w:p>
      <w:pPr>
        <w:pStyle w:val="null3"/>
      </w:pPr>
      <w:r>
        <w:rPr/>
        <w:t>采购包2：</w:t>
      </w:r>
    </w:p>
    <w:p>
      <w:pPr>
        <w:pStyle w:val="null3"/>
      </w:pPr>
      <w:r>
        <w:rPr/>
        <w:t>/</w:t>
      </w:r>
    </w:p>
    <w:p>
      <w:pPr>
        <w:pStyle w:val="null3"/>
      </w:pPr>
      <w:r>
        <w:rPr/>
        <w:t>采购包3：</w:t>
      </w:r>
    </w:p>
    <w:p>
      <w:pPr>
        <w:pStyle w:val="null3"/>
      </w:pPr>
      <w:r>
        <w:rPr/>
        <w:t>/</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合同签订后，根据采购人安排分别于30天内、8天内完成不同搬迁服务工作</w:t>
      </w:r>
    </w:p>
    <w:p>
      <w:pPr>
        <w:pStyle w:val="null3"/>
      </w:pPr>
      <w:r>
        <w:rPr/>
        <w:t>采购包2：</w:t>
      </w:r>
    </w:p>
    <w:p>
      <w:pPr>
        <w:pStyle w:val="null3"/>
      </w:pPr>
      <w:r>
        <w:rPr/>
        <w:t xml:space="preserve"> 合同签订后，根据采购人安排30天内完成服务工作</w:t>
      </w:r>
    </w:p>
    <w:p>
      <w:pPr>
        <w:pStyle w:val="null3"/>
      </w:pPr>
      <w:r>
        <w:rPr/>
        <w:t>采购包3：</w:t>
      </w:r>
    </w:p>
    <w:p>
      <w:pPr>
        <w:pStyle w:val="null3"/>
      </w:pPr>
      <w:r>
        <w:rPr/>
        <w:t xml:space="preserve"> 合同签订后，根据采购人安排7天内完成服务工作</w:t>
      </w:r>
    </w:p>
    <w:p>
      <w:pPr>
        <w:pStyle w:val="null3"/>
        <w:outlineLvl w:val="3"/>
      </w:pPr>
      <w:r>
        <w:rPr>
          <w:b/>
          <w:sz w:val="24"/>
        </w:rPr>
        <w:t>3.3.2服务地点</w:t>
      </w:r>
    </w:p>
    <w:p>
      <w:pPr>
        <w:pStyle w:val="null3"/>
      </w:pPr>
      <w:r>
        <w:rPr/>
        <w:t>采购包1：</w:t>
      </w:r>
    </w:p>
    <w:p>
      <w:pPr>
        <w:pStyle w:val="null3"/>
      </w:pPr>
      <w:r>
        <w:rPr/>
        <w:t>从旧办公场地（雁塔区翠华路1819号）搬入新办公场地（莲湖区习武园39号）指定位置</w:t>
      </w:r>
    </w:p>
    <w:p>
      <w:pPr>
        <w:pStyle w:val="null3"/>
      </w:pPr>
      <w:r>
        <w:rPr/>
        <w:t>采购包2：</w:t>
      </w:r>
    </w:p>
    <w:p>
      <w:pPr>
        <w:pStyle w:val="null3"/>
      </w:pPr>
      <w:r>
        <w:rPr/>
        <w:t>从旧办公场地（雁塔区翠华路1819号）搬入新办公场地（莲湖区习武园39号）指定位置</w:t>
      </w:r>
    </w:p>
    <w:p>
      <w:pPr>
        <w:pStyle w:val="null3"/>
      </w:pPr>
      <w:r>
        <w:rPr/>
        <w:t>采购包3：</w:t>
      </w:r>
    </w:p>
    <w:p>
      <w:pPr>
        <w:pStyle w:val="null3"/>
      </w:pPr>
      <w:r>
        <w:rPr/>
        <w:t>从旧办公场地（雁塔区翠华路1819号）搬入新办公场地（莲湖区习武园39号）指定位置</w:t>
      </w:r>
    </w:p>
    <w:p>
      <w:pPr>
        <w:pStyle w:val="null3"/>
        <w:outlineLvl w:val="3"/>
      </w:pPr>
      <w:r>
        <w:rPr>
          <w:b/>
          <w:sz w:val="24"/>
        </w:rPr>
        <w:t>3.3.3考核（验收）标准和方法</w:t>
      </w:r>
    </w:p>
    <w:p>
      <w:pPr>
        <w:pStyle w:val="null3"/>
      </w:pPr>
      <w:r>
        <w:rPr/>
        <w:t>采购包1：</w:t>
      </w:r>
    </w:p>
    <w:p>
      <w:pPr>
        <w:pStyle w:val="null3"/>
      </w:pPr>
      <w:r>
        <w:rPr/>
        <w:t>采购人应按照政府采购合同约定的技术、服务、安全标准组织对供应商每一项技术、服务、安全标准的履约情况进行验收，并出具验收书</w:t>
      </w:r>
    </w:p>
    <w:p>
      <w:pPr>
        <w:pStyle w:val="null3"/>
      </w:pPr>
      <w:r>
        <w:rPr/>
        <w:t>采购包2：</w:t>
      </w:r>
    </w:p>
    <w:p>
      <w:pPr>
        <w:pStyle w:val="null3"/>
      </w:pPr>
      <w:r>
        <w:rPr/>
        <w:t>采购人应按照政府采购合同约定的技术、服务、安全标准组织对供应商每一项技术、服务、安全标准的履约情况进行验收，并出具验收书</w:t>
      </w:r>
    </w:p>
    <w:p>
      <w:pPr>
        <w:pStyle w:val="null3"/>
      </w:pPr>
      <w:r>
        <w:rPr/>
        <w:t>采购包3：</w:t>
      </w:r>
    </w:p>
    <w:p>
      <w:pPr>
        <w:pStyle w:val="null3"/>
      </w:pPr>
      <w:r>
        <w:rPr/>
        <w:t>采购人应按照政府采购合同约定的技术、服务、安全标准组织对供应商每一项技术、服务、安全标准的履约情况进行验收，并出具验收书</w:t>
      </w:r>
    </w:p>
    <w:p>
      <w:pPr>
        <w:pStyle w:val="null3"/>
        <w:outlineLvl w:val="3"/>
      </w:pPr>
      <w:r>
        <w:rPr>
          <w:b/>
          <w:sz w:val="24"/>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合同签订后，甲方支付合同总金额百分之四十（40%）的款项</w:t>
      </w:r>
      <w:r>
        <w:rPr/>
        <w:t xml:space="preserve"> ，达到付款条件起 </w:t>
      </w:r>
      <w:r>
        <w:rPr/>
        <w:t>15</w:t>
      </w:r>
      <w:r>
        <w:rPr/>
        <w:t xml:space="preserve"> 日内，支付合同总金额的 </w:t>
      </w:r>
      <w:r>
        <w:rPr/>
        <w:t>40.00</w:t>
      </w:r>
      <w:r>
        <w:rPr/>
        <w:t>%。</w:t>
      </w:r>
    </w:p>
    <w:p>
      <w:pPr>
        <w:pStyle w:val="null3"/>
      </w:pPr>
      <w:r>
        <w:rPr/>
        <w:t>采购包1：</w:t>
      </w:r>
      <w:r>
        <w:rPr/>
        <w:t xml:space="preserve"> 付款条件说明： </w:t>
      </w:r>
      <w:r>
        <w:rPr/>
        <w:t>剩余合同总金额的百分之六十（60%）经甲方验收合格后支付</w:t>
      </w:r>
      <w:r>
        <w:rPr/>
        <w:t xml:space="preserve"> ，达到付款条件起 </w:t>
      </w:r>
      <w:r>
        <w:rPr/>
        <w:t>15</w:t>
      </w:r>
      <w:r>
        <w:rPr/>
        <w:t xml:space="preserve"> 日内，支付合同总金额的 </w:t>
      </w:r>
      <w:r>
        <w:rPr/>
        <w:t>60.00</w:t>
      </w:r>
      <w:r>
        <w:rPr/>
        <w:t>%。</w:t>
      </w:r>
    </w:p>
    <w:p>
      <w:pPr>
        <w:pStyle w:val="null3"/>
      </w:pPr>
      <w:r>
        <w:rPr/>
        <w:t>采购包2：</w:t>
      </w:r>
      <w:r>
        <w:rPr/>
        <w:t xml:space="preserve"> 付款条件说明： </w:t>
      </w:r>
      <w:r>
        <w:rPr/>
        <w:t>合同签订后，甲方支付合同总金额百分之四十（40%）的款项</w:t>
      </w:r>
      <w:r>
        <w:rPr/>
        <w:t xml:space="preserve"> ，达到付款条件起 </w:t>
      </w:r>
      <w:r>
        <w:rPr/>
        <w:t>15</w:t>
      </w:r>
      <w:r>
        <w:rPr/>
        <w:t xml:space="preserve"> 日内，支付合同总金额的 </w:t>
      </w:r>
      <w:r>
        <w:rPr/>
        <w:t>40.00</w:t>
      </w:r>
      <w:r>
        <w:rPr/>
        <w:t>%。</w:t>
      </w:r>
    </w:p>
    <w:p>
      <w:pPr>
        <w:pStyle w:val="null3"/>
      </w:pPr>
      <w:r>
        <w:rPr/>
        <w:t>采购包2：</w:t>
      </w:r>
      <w:r>
        <w:rPr/>
        <w:t xml:space="preserve"> 付款条件说明： </w:t>
      </w:r>
      <w:r>
        <w:rPr/>
        <w:t xml:space="preserve"> 剩余合同总金额的百分之六十（60%）经甲方验收合格后支付</w:t>
      </w:r>
      <w:r>
        <w:rPr/>
        <w:t xml:space="preserve"> ，达到付款条件起 </w:t>
      </w:r>
      <w:r>
        <w:rPr/>
        <w:t>15</w:t>
      </w:r>
      <w:r>
        <w:rPr/>
        <w:t xml:space="preserve"> 日内，支付合同总金额的 </w:t>
      </w:r>
      <w:r>
        <w:rPr/>
        <w:t>60.00</w:t>
      </w:r>
      <w:r>
        <w:rPr/>
        <w:t>%。</w:t>
      </w:r>
    </w:p>
    <w:p>
      <w:pPr>
        <w:pStyle w:val="null3"/>
      </w:pPr>
      <w:r>
        <w:rPr/>
        <w:t>采购包3：</w:t>
      </w:r>
      <w:r>
        <w:rPr/>
        <w:t xml:space="preserve"> 付款条件说明： </w:t>
      </w:r>
      <w:r>
        <w:rPr/>
        <w:t>合同签订后，甲方支付合同总金额百分之四十（40%）的款项</w:t>
      </w:r>
      <w:r>
        <w:rPr/>
        <w:t xml:space="preserve"> ，达到付款条件起 </w:t>
      </w:r>
      <w:r>
        <w:rPr/>
        <w:t>15</w:t>
      </w:r>
      <w:r>
        <w:rPr/>
        <w:t xml:space="preserve"> 日内，支付合同总金额的 </w:t>
      </w:r>
      <w:r>
        <w:rPr/>
        <w:t>40.00</w:t>
      </w:r>
      <w:r>
        <w:rPr/>
        <w:t>%。</w:t>
      </w:r>
    </w:p>
    <w:p>
      <w:pPr>
        <w:pStyle w:val="null3"/>
      </w:pPr>
      <w:r>
        <w:rPr/>
        <w:t>采购包3：</w:t>
      </w:r>
      <w:r>
        <w:rPr/>
        <w:t xml:space="preserve"> 付款条件说明： </w:t>
      </w:r>
      <w:r>
        <w:rPr/>
        <w:t>剩余合同总金额的百分之六十（60%）经甲方验收合格后支付</w:t>
      </w:r>
      <w:r>
        <w:rPr/>
        <w:t xml:space="preserve"> ，达到付款条件起 </w:t>
      </w:r>
      <w:r>
        <w:rPr/>
        <w:t>15</w:t>
      </w:r>
      <w:r>
        <w:rPr/>
        <w:t xml:space="preserve"> 日内，支付合同总金额的 </w:t>
      </w:r>
      <w:r>
        <w:rPr/>
        <w:t>60.00</w:t>
      </w:r>
      <w:r>
        <w:rPr/>
        <w:t>%。</w:t>
      </w:r>
    </w:p>
    <w:p>
      <w:pPr>
        <w:pStyle w:val="null3"/>
        <w:outlineLvl w:val="3"/>
      </w:pPr>
      <w:r>
        <w:rPr>
          <w:b/>
          <w:sz w:val="24"/>
        </w:rPr>
        <w:t>3.3.6违约责任及解决争议的方法</w:t>
      </w:r>
    </w:p>
    <w:p>
      <w:pPr>
        <w:pStyle w:val="null3"/>
      </w:pPr>
      <w:r>
        <w:rPr/>
        <w:t>采购包1：</w:t>
      </w:r>
    </w:p>
    <w:p>
      <w:pPr>
        <w:pStyle w:val="null3"/>
      </w:pPr>
      <w:r>
        <w:rPr/>
        <w:t>1.按《中华人民共和国民法典》中的相关条款执行。 2.未按合同要求提供服务或服务质量不能满足服务要求和标准，采购人有权终止合同，并对供方违约行为进行追究，同时按《中华人民共和国政府采购法》的有关规定进行处罚。 3.合同一经签订，不得随意变更、中止或终止。对确需变更、调整或者中止、终止合同的，应按规定履行相应的手续。合同执行中发生争议的，甲、乙双方应协商解决，协商达不成一致时，可向甲方所在地人民法院提请诉讼</w:t>
      </w:r>
    </w:p>
    <w:p>
      <w:pPr>
        <w:pStyle w:val="null3"/>
      </w:pPr>
      <w:r>
        <w:rPr/>
        <w:t>采购包2：</w:t>
      </w:r>
    </w:p>
    <w:p>
      <w:pPr>
        <w:pStyle w:val="null3"/>
      </w:pPr>
      <w:r>
        <w:rPr/>
        <w:t>1.按《中华人民共和国民法典》中的相关条款执行。 2.未按合同要求提供服务或服务质量不能满足服务要求和标准，采购人有权终止合同，并对供方违约行为进行追究，同时按《中华人民共和国政府采购法》的有关规定进行处罚。 3.合同一经签订，不得随意变更、中止或终止。对确需变更、调整或者中止、终止合同的，应按规定履行相应的手续。合同执行中发生争议的，甲、乙双方应协商解决，协商达不成一致时，可向甲方所在地人民法院提请诉讼</w:t>
      </w:r>
    </w:p>
    <w:p>
      <w:pPr>
        <w:pStyle w:val="null3"/>
      </w:pPr>
      <w:r>
        <w:rPr/>
        <w:t>采购包3：</w:t>
      </w:r>
    </w:p>
    <w:p>
      <w:pPr>
        <w:pStyle w:val="null3"/>
      </w:pPr>
      <w:r>
        <w:rPr/>
        <w:t>1.按《中华人民共和国民法典》中的相关条款执行。 2.未按合同要求提供服务或服务质量不能满足服务要求和标准，采购人有权终止合同，并对供方违约行为进行追究，同时按《中华人民共和国政府采购法》的有关规定进行处罚。 3.合同一经签订，不得随意变更、中止或终止。对确需变更、调整或者中止、终止合同的，应按规定履行相应的手续。合同执行中发生争议的，甲、乙双方应协商解决，协商达不成一致时，可向甲方所在地人民法院提请诉讼</w:t>
      </w:r>
    </w:p>
    <w:p>
      <w:pPr>
        <w:pStyle w:val="null3"/>
        <w:outlineLvl w:val="2"/>
      </w:pPr>
      <w:r>
        <w:rPr>
          <w:b/>
          <w:sz w:val="28"/>
        </w:rPr>
        <w:t>3.4其他要求</w:t>
      </w:r>
    </w:p>
    <w:p>
      <w:pPr>
        <w:pStyle w:val="null3"/>
      </w:pPr>
      <w:r>
        <w:rPr/>
        <w:t>中标人在领取中标通知书时提供一正两副纸质投标文件 装订：纸质投标文件采用书籍（胶装）方式装订成册，与电子投 标文件一致的签字、盖章的完整版本。（可邮寄）</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资格要求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资格要求</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资格要求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资格要求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资格要求</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资格要求 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资格要求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资格要求</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资格要求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提供供应商合法注册的法人或者其他组织的营业执照等证明文件、自然人的身份证明</w:t>
            </w:r>
          </w:p>
        </w:tc>
        <w:tc>
          <w:tcPr>
            <w:tcW w:type="dxa" w:w="3322"/>
          </w:tcPr>
          <w:p>
            <w:pPr>
              <w:pStyle w:val="null3"/>
            </w:pPr>
            <w:r>
              <w:rPr/>
              <w:t>提供供应商合法注册的法人或者其他组织的营业执照等证明文件、自然人的身份证明；</w:t>
            </w:r>
          </w:p>
        </w:tc>
        <w:tc>
          <w:tcPr>
            <w:tcW w:type="dxa" w:w="1661"/>
          </w:tcPr>
          <w:p>
            <w:pPr>
              <w:pStyle w:val="null3"/>
            </w:pPr>
            <w:r>
              <w:rPr/>
              <w:t>资格要求</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税收缴纳证明：提供截止至开标时间前一年内任意一个月的缴纳凭据；（增值税、企业所得税至少提供一种，依法免税的供应商应提供相关文件证明）</w:t>
            </w:r>
          </w:p>
        </w:tc>
        <w:tc>
          <w:tcPr>
            <w:tcW w:type="dxa" w:w="1661"/>
          </w:tcPr>
          <w:p>
            <w:pPr>
              <w:pStyle w:val="null3"/>
            </w:pPr>
            <w:r>
              <w:rPr/>
              <w:t>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资格要求</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资格要求</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资格要求</w:t>
            </w:r>
          </w:p>
        </w:tc>
      </w:tr>
      <w:tr>
        <w:tc>
          <w:tcPr>
            <w:tcW w:type="dxa" w:w="831"/>
          </w:tcPr>
          <w:p>
            <w:pPr>
              <w:pStyle w:val="null3"/>
            </w:pPr>
            <w:r>
              <w:rPr/>
              <w:t>7</w:t>
            </w:r>
          </w:p>
        </w:tc>
        <w:tc>
          <w:tcPr>
            <w:tcW w:type="dxa" w:w="2492"/>
          </w:tcPr>
          <w:p>
            <w:pPr>
              <w:pStyle w:val="null3"/>
            </w:pPr>
            <w:r>
              <w:rPr/>
              <w:t>落实政府采购政策需满足的资格要求</w:t>
            </w:r>
          </w:p>
        </w:tc>
        <w:tc>
          <w:tcPr>
            <w:tcW w:type="dxa" w:w="3322"/>
          </w:tcPr>
          <w:p>
            <w:pPr>
              <w:pStyle w:val="null3"/>
            </w:pPr>
            <w:r>
              <w:rPr/>
              <w:t>落实政府采购政策需满足的资格要求：本项目专门面向中小企业采购；须符合《政府采购促进中小企业发展管理办法》（财库〔2020〕46号）规定的中小企业参加。（提供《中小企业声明函》，式样见竞争性磋商响应文件格式）</w:t>
            </w:r>
          </w:p>
        </w:tc>
        <w:tc>
          <w:tcPr>
            <w:tcW w:type="dxa" w:w="1661"/>
          </w:tcPr>
          <w:p>
            <w:pPr>
              <w:pStyle w:val="null3"/>
            </w:pPr>
            <w:r>
              <w:rPr/>
              <w:t>资格要求 中小企业声明函</w:t>
            </w:r>
          </w:p>
        </w:tc>
      </w:tr>
      <w:tr>
        <w:tc>
          <w:tcPr>
            <w:tcW w:type="dxa" w:w="831"/>
          </w:tcPr>
          <w:p>
            <w:pPr>
              <w:pStyle w:val="null3"/>
            </w:pPr>
            <w:r>
              <w:rPr/>
              <w:t>8</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t>资格要求</w:t>
            </w:r>
          </w:p>
        </w:tc>
      </w:tr>
      <w:tr>
        <w:tc>
          <w:tcPr>
            <w:tcW w:type="dxa" w:w="831"/>
          </w:tcPr>
          <w:p>
            <w:pPr>
              <w:pStyle w:val="null3"/>
            </w:pPr>
            <w:r>
              <w:rPr/>
              <w:t>9</w:t>
            </w:r>
          </w:p>
        </w:tc>
        <w:tc>
          <w:tcPr>
            <w:tcW w:type="dxa" w:w="2492"/>
          </w:tcPr>
          <w:p>
            <w:pPr>
              <w:pStyle w:val="null3"/>
            </w:pPr>
            <w:r>
              <w:rPr/>
              <w:t>磋商保证金交纳凭证或担保函</w:t>
            </w:r>
          </w:p>
        </w:tc>
        <w:tc>
          <w:tcPr>
            <w:tcW w:type="dxa" w:w="3322"/>
          </w:tcPr>
          <w:p>
            <w:pPr>
              <w:pStyle w:val="null3"/>
            </w:pPr>
            <w:r>
              <w:rPr/>
              <w:t>磋商保证金交纳凭证或担保函；（银行凭证加盖供应商公章或财政部门认可的政府采购信用担保机构出具的担保函）</w:t>
            </w:r>
          </w:p>
        </w:tc>
        <w:tc>
          <w:tcPr>
            <w:tcW w:type="dxa" w:w="1661"/>
          </w:tcPr>
          <w:p>
            <w:pPr>
              <w:pStyle w:val="null3"/>
            </w:pPr>
            <w:r>
              <w:rPr/>
              <w:t>资格要求</w:t>
            </w:r>
          </w:p>
        </w:tc>
      </w:tr>
      <w:tr>
        <w:tc>
          <w:tcPr>
            <w:tcW w:type="dxa" w:w="831"/>
          </w:tcPr>
          <w:p>
            <w:pPr>
              <w:pStyle w:val="null3"/>
            </w:pPr>
            <w:r>
              <w:rPr/>
              <w:t>10</w:t>
            </w:r>
          </w:p>
        </w:tc>
        <w:tc>
          <w:tcPr>
            <w:tcW w:type="dxa" w:w="2492"/>
          </w:tcPr>
          <w:p>
            <w:pPr>
              <w:pStyle w:val="null3"/>
            </w:pPr>
            <w:r>
              <w:rPr/>
              <w:t>信用查询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响应截止日当天在“信用中国”网站和中国政府采购网站进行查询，截图留档；如网站无供应商信息的，供应商须提供相关证明资料或书面声明）</w:t>
            </w:r>
          </w:p>
        </w:tc>
        <w:tc>
          <w:tcPr>
            <w:tcW w:type="dxa" w:w="1661"/>
          </w:tcPr>
          <w:p>
            <w:pPr>
              <w:pStyle w:val="null3"/>
            </w:pPr>
            <w:r>
              <w:rPr/>
              <w:t>资格要求</w:t>
            </w:r>
          </w:p>
        </w:tc>
      </w:tr>
      <w:tr>
        <w:tc>
          <w:tcPr>
            <w:tcW w:type="dxa" w:w="831"/>
          </w:tcPr>
          <w:p>
            <w:pPr>
              <w:pStyle w:val="null3"/>
            </w:pPr>
            <w:r>
              <w:rPr/>
              <w:t>11</w:t>
            </w:r>
          </w:p>
        </w:tc>
        <w:tc>
          <w:tcPr>
            <w:tcW w:type="dxa" w:w="2492"/>
          </w:tcPr>
          <w:p>
            <w:pPr>
              <w:pStyle w:val="null3"/>
            </w:pPr>
            <w:r>
              <w:rPr/>
              <w:t>控股关系查询或声明</w:t>
            </w:r>
          </w:p>
        </w:tc>
        <w:tc>
          <w:tcPr>
            <w:tcW w:type="dxa" w:w="3322"/>
          </w:tcPr>
          <w:p>
            <w:pPr>
              <w:pStyle w:val="null3"/>
            </w:pPr>
            <w:r>
              <w:rPr/>
              <w:t>单位负责人为同一人或者存在直接控股、管理关系的不同供应商，不得参加同一合同项下的政府采购活动。(根据财库【2019】38号文规定，此项在磋商响应截止日当天在“国家企业信用信息公示系统”网站进行查询，截图留档；如网站无供应商信息的，供应商须提供相关证明资料或书面声明）</w:t>
            </w:r>
          </w:p>
        </w:tc>
        <w:tc>
          <w:tcPr>
            <w:tcW w:type="dxa" w:w="1661"/>
          </w:tcPr>
          <w:p>
            <w:pPr>
              <w:pStyle w:val="null3"/>
            </w:pPr>
            <w:r>
              <w:rPr/>
              <w:t>资格要求</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提供供应商合法注册的法人或者其他组织的营业执照等证明文件、自然人的身份证明</w:t>
            </w:r>
          </w:p>
        </w:tc>
        <w:tc>
          <w:tcPr>
            <w:tcW w:type="dxa" w:w="3322"/>
          </w:tcPr>
          <w:p>
            <w:pPr>
              <w:pStyle w:val="null3"/>
            </w:pPr>
            <w:r>
              <w:rPr/>
              <w:t>提供供应商合法注册的法人或者其他组织的营业执照等证明文件、自然人的身份证明；</w:t>
            </w:r>
          </w:p>
        </w:tc>
        <w:tc>
          <w:tcPr>
            <w:tcW w:type="dxa" w:w="1661"/>
          </w:tcPr>
          <w:p>
            <w:pPr>
              <w:pStyle w:val="null3"/>
            </w:pPr>
            <w:r>
              <w:rPr/>
              <w:t>资格要求</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税收缴纳证明：提供截止至开标时间前一年内任意一个月的缴纳凭据；（增值税、企业所得税至少提供一种，依法免税的供应商应提供相关文件证明）</w:t>
            </w:r>
          </w:p>
        </w:tc>
        <w:tc>
          <w:tcPr>
            <w:tcW w:type="dxa" w:w="1661"/>
          </w:tcPr>
          <w:p>
            <w:pPr>
              <w:pStyle w:val="null3"/>
            </w:pPr>
            <w:r>
              <w:rPr/>
              <w:t>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资格要求</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资格要求</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资格要求</w:t>
            </w:r>
          </w:p>
        </w:tc>
      </w:tr>
      <w:tr>
        <w:tc>
          <w:tcPr>
            <w:tcW w:type="dxa" w:w="831"/>
          </w:tcPr>
          <w:p>
            <w:pPr>
              <w:pStyle w:val="null3"/>
            </w:pPr>
            <w:r>
              <w:rPr/>
              <w:t>7</w:t>
            </w:r>
          </w:p>
        </w:tc>
        <w:tc>
          <w:tcPr>
            <w:tcW w:type="dxa" w:w="2492"/>
          </w:tcPr>
          <w:p>
            <w:pPr>
              <w:pStyle w:val="null3"/>
            </w:pPr>
            <w:r>
              <w:rPr/>
              <w:t>落实政府采购政策需满足的资格要求</w:t>
            </w:r>
          </w:p>
        </w:tc>
        <w:tc>
          <w:tcPr>
            <w:tcW w:type="dxa" w:w="3322"/>
          </w:tcPr>
          <w:p>
            <w:pPr>
              <w:pStyle w:val="null3"/>
            </w:pPr>
            <w:r>
              <w:rPr/>
              <w:t>落实政府采购政策需满足的资格要求：本项目专门面向中小企业采购；须符合《政府采购促进中小企业发展管理办法》（财库〔2020〕46号）规定的中小企业参加。（提供《中小企业声明函》，式样见竞争性磋商响应文件格式）</w:t>
            </w:r>
          </w:p>
        </w:tc>
        <w:tc>
          <w:tcPr>
            <w:tcW w:type="dxa" w:w="1661"/>
          </w:tcPr>
          <w:p>
            <w:pPr>
              <w:pStyle w:val="null3"/>
            </w:pPr>
            <w:r>
              <w:rPr/>
              <w:t>中小企业声明函 资格要求</w:t>
            </w:r>
          </w:p>
        </w:tc>
      </w:tr>
      <w:tr>
        <w:tc>
          <w:tcPr>
            <w:tcW w:type="dxa" w:w="831"/>
          </w:tcPr>
          <w:p>
            <w:pPr>
              <w:pStyle w:val="null3"/>
            </w:pPr>
            <w:r>
              <w:rPr/>
              <w:t>8</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t>资格要求</w:t>
            </w:r>
          </w:p>
        </w:tc>
      </w:tr>
      <w:tr>
        <w:tc>
          <w:tcPr>
            <w:tcW w:type="dxa" w:w="831"/>
          </w:tcPr>
          <w:p>
            <w:pPr>
              <w:pStyle w:val="null3"/>
            </w:pPr>
            <w:r>
              <w:rPr/>
              <w:t>9</w:t>
            </w:r>
          </w:p>
        </w:tc>
        <w:tc>
          <w:tcPr>
            <w:tcW w:type="dxa" w:w="2492"/>
          </w:tcPr>
          <w:p>
            <w:pPr>
              <w:pStyle w:val="null3"/>
            </w:pPr>
            <w:r>
              <w:rPr/>
              <w:t>磋商保证金交纳凭证或担保函</w:t>
            </w:r>
          </w:p>
        </w:tc>
        <w:tc>
          <w:tcPr>
            <w:tcW w:type="dxa" w:w="3322"/>
          </w:tcPr>
          <w:p>
            <w:pPr>
              <w:pStyle w:val="null3"/>
            </w:pPr>
            <w:r>
              <w:rPr/>
              <w:t>磋商保证金交纳凭证或担保函；（银行凭证加盖供应商公章或财政部门认可的政府采购信用担保机构出具的担保函）</w:t>
            </w:r>
          </w:p>
        </w:tc>
        <w:tc>
          <w:tcPr>
            <w:tcW w:type="dxa" w:w="1661"/>
          </w:tcPr>
          <w:p>
            <w:pPr>
              <w:pStyle w:val="null3"/>
            </w:pPr>
            <w:r>
              <w:rPr/>
              <w:t>资格要求</w:t>
            </w:r>
          </w:p>
        </w:tc>
      </w:tr>
      <w:tr>
        <w:tc>
          <w:tcPr>
            <w:tcW w:type="dxa" w:w="831"/>
          </w:tcPr>
          <w:p>
            <w:pPr>
              <w:pStyle w:val="null3"/>
            </w:pPr>
            <w:r>
              <w:rPr/>
              <w:t>10</w:t>
            </w:r>
          </w:p>
        </w:tc>
        <w:tc>
          <w:tcPr>
            <w:tcW w:type="dxa" w:w="2492"/>
          </w:tcPr>
          <w:p>
            <w:pPr>
              <w:pStyle w:val="null3"/>
            </w:pPr>
            <w:r>
              <w:rPr/>
              <w:t>信用查询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响应截止日当天在“信用中国”网站和中国政府采购网站进行查询，截图留档；如网站无供应商信息的，供应商须提供相关证明资料或书面声明）</w:t>
            </w:r>
          </w:p>
        </w:tc>
        <w:tc>
          <w:tcPr>
            <w:tcW w:type="dxa" w:w="1661"/>
          </w:tcPr>
          <w:p>
            <w:pPr>
              <w:pStyle w:val="null3"/>
            </w:pPr>
            <w:r>
              <w:rPr/>
              <w:t>资格要求</w:t>
            </w:r>
          </w:p>
        </w:tc>
      </w:tr>
      <w:tr>
        <w:tc>
          <w:tcPr>
            <w:tcW w:type="dxa" w:w="831"/>
          </w:tcPr>
          <w:p>
            <w:pPr>
              <w:pStyle w:val="null3"/>
            </w:pPr>
            <w:r>
              <w:rPr/>
              <w:t>11</w:t>
            </w:r>
          </w:p>
        </w:tc>
        <w:tc>
          <w:tcPr>
            <w:tcW w:type="dxa" w:w="2492"/>
          </w:tcPr>
          <w:p>
            <w:pPr>
              <w:pStyle w:val="null3"/>
            </w:pPr>
            <w:r>
              <w:rPr/>
              <w:t>控股关系查询或声明</w:t>
            </w:r>
          </w:p>
        </w:tc>
        <w:tc>
          <w:tcPr>
            <w:tcW w:type="dxa" w:w="3322"/>
          </w:tcPr>
          <w:p>
            <w:pPr>
              <w:pStyle w:val="null3"/>
            </w:pPr>
            <w:r>
              <w:rPr/>
              <w:t>单位负责人为同一人或者存在直接控股、管理关系的不同供应商，不得参加同一合同项下的政府采购活动。(根据财库【2019】38号文规定，此项在磋商响应截止日当天在“国家企业信用信息公示系统”网站进行查询，截图留档；如网站无供应商信息的，供应商须提供相关证明资料或书面声明）</w:t>
            </w:r>
          </w:p>
        </w:tc>
        <w:tc>
          <w:tcPr>
            <w:tcW w:type="dxa" w:w="1661"/>
          </w:tcPr>
          <w:p>
            <w:pPr>
              <w:pStyle w:val="null3"/>
            </w:pPr>
            <w:r>
              <w:rPr/>
              <w:t>资格要求</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提供供应商合法注册的法人或者其他组织的营业执照等证明文件、自然人的身份证明</w:t>
            </w:r>
          </w:p>
        </w:tc>
        <w:tc>
          <w:tcPr>
            <w:tcW w:type="dxa" w:w="3322"/>
          </w:tcPr>
          <w:p>
            <w:pPr>
              <w:pStyle w:val="null3"/>
            </w:pPr>
            <w:r>
              <w:rPr/>
              <w:t>提供供应商合法注册的法人或者其他组织的营业执照等证明文件、自然人的身份证明；</w:t>
            </w:r>
          </w:p>
        </w:tc>
        <w:tc>
          <w:tcPr>
            <w:tcW w:type="dxa" w:w="1661"/>
          </w:tcPr>
          <w:p>
            <w:pPr>
              <w:pStyle w:val="null3"/>
            </w:pPr>
            <w:r>
              <w:rPr/>
              <w:t>资格要求</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税收缴纳证明：提供截止至开标时间前一年内任意一个月的缴纳凭据；（增值税、企业所得税至少提供一种，依法免税的供应商应提供相关文件证明）</w:t>
            </w:r>
          </w:p>
        </w:tc>
        <w:tc>
          <w:tcPr>
            <w:tcW w:type="dxa" w:w="1661"/>
          </w:tcPr>
          <w:p>
            <w:pPr>
              <w:pStyle w:val="null3"/>
            </w:pPr>
            <w:r>
              <w:rPr/>
              <w:t>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资格要求</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资格要求</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资格要求</w:t>
            </w:r>
          </w:p>
        </w:tc>
      </w:tr>
      <w:tr>
        <w:tc>
          <w:tcPr>
            <w:tcW w:type="dxa" w:w="831"/>
          </w:tcPr>
          <w:p>
            <w:pPr>
              <w:pStyle w:val="null3"/>
            </w:pPr>
            <w:r>
              <w:rPr/>
              <w:t>7</w:t>
            </w:r>
          </w:p>
        </w:tc>
        <w:tc>
          <w:tcPr>
            <w:tcW w:type="dxa" w:w="2492"/>
          </w:tcPr>
          <w:p>
            <w:pPr>
              <w:pStyle w:val="null3"/>
            </w:pPr>
            <w:r>
              <w:rPr/>
              <w:t>落实政府采购政策需满足的资格要求</w:t>
            </w:r>
          </w:p>
        </w:tc>
        <w:tc>
          <w:tcPr>
            <w:tcW w:type="dxa" w:w="3322"/>
          </w:tcPr>
          <w:p>
            <w:pPr>
              <w:pStyle w:val="null3"/>
            </w:pPr>
            <w:r>
              <w:rPr/>
              <w:t>落实政府采购政策需满足的资格要求：本项目专门面向中小企业采购；须符合《政府采购促进中小企业发展管理办法》（财库〔2020〕46号）规定的中小企业参加。（提供《中小企业声明函》，式样见竞争性磋商响应文件格式）</w:t>
            </w:r>
          </w:p>
        </w:tc>
        <w:tc>
          <w:tcPr>
            <w:tcW w:type="dxa" w:w="1661"/>
          </w:tcPr>
          <w:p>
            <w:pPr>
              <w:pStyle w:val="null3"/>
            </w:pPr>
            <w:r>
              <w:rPr/>
              <w:t>中小企业声明函 资格要求</w:t>
            </w:r>
          </w:p>
        </w:tc>
      </w:tr>
      <w:tr>
        <w:tc>
          <w:tcPr>
            <w:tcW w:type="dxa" w:w="831"/>
          </w:tcPr>
          <w:p>
            <w:pPr>
              <w:pStyle w:val="null3"/>
            </w:pPr>
            <w:r>
              <w:rPr/>
              <w:t>8</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t>资格要求</w:t>
            </w:r>
          </w:p>
        </w:tc>
      </w:tr>
      <w:tr>
        <w:tc>
          <w:tcPr>
            <w:tcW w:type="dxa" w:w="831"/>
          </w:tcPr>
          <w:p>
            <w:pPr>
              <w:pStyle w:val="null3"/>
            </w:pPr>
            <w:r>
              <w:rPr/>
              <w:t>9</w:t>
            </w:r>
          </w:p>
        </w:tc>
        <w:tc>
          <w:tcPr>
            <w:tcW w:type="dxa" w:w="2492"/>
          </w:tcPr>
          <w:p>
            <w:pPr>
              <w:pStyle w:val="null3"/>
            </w:pPr>
            <w:r>
              <w:rPr/>
              <w:t>磋商保证金交纳凭证或担保函</w:t>
            </w:r>
          </w:p>
        </w:tc>
        <w:tc>
          <w:tcPr>
            <w:tcW w:type="dxa" w:w="3322"/>
          </w:tcPr>
          <w:p>
            <w:pPr>
              <w:pStyle w:val="null3"/>
            </w:pPr>
            <w:r>
              <w:rPr/>
              <w:t>磋商保证金交纳凭证或担保函；（银行凭证加盖供应商公章或财政部门认可的政府采购信用担保机构出具的担保函）</w:t>
            </w:r>
          </w:p>
        </w:tc>
        <w:tc>
          <w:tcPr>
            <w:tcW w:type="dxa" w:w="1661"/>
          </w:tcPr>
          <w:p>
            <w:pPr>
              <w:pStyle w:val="null3"/>
            </w:pPr>
            <w:r>
              <w:rPr/>
              <w:t>资格要求</w:t>
            </w:r>
          </w:p>
        </w:tc>
      </w:tr>
      <w:tr>
        <w:tc>
          <w:tcPr>
            <w:tcW w:type="dxa" w:w="831"/>
          </w:tcPr>
          <w:p>
            <w:pPr>
              <w:pStyle w:val="null3"/>
            </w:pPr>
            <w:r>
              <w:rPr/>
              <w:t>10</w:t>
            </w:r>
          </w:p>
        </w:tc>
        <w:tc>
          <w:tcPr>
            <w:tcW w:type="dxa" w:w="2492"/>
          </w:tcPr>
          <w:p>
            <w:pPr>
              <w:pStyle w:val="null3"/>
            </w:pPr>
            <w:r>
              <w:rPr/>
              <w:t>信用查询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响应截止日当天在“信用中国”网站和中国政府采购网站进行查询，截图留档；如网站无供应商信息的，供应商须提供相关证明资料或书面声明）</w:t>
            </w:r>
          </w:p>
        </w:tc>
        <w:tc>
          <w:tcPr>
            <w:tcW w:type="dxa" w:w="1661"/>
          </w:tcPr>
          <w:p>
            <w:pPr>
              <w:pStyle w:val="null3"/>
            </w:pPr>
            <w:r>
              <w:rPr/>
              <w:t>资格要求</w:t>
            </w:r>
          </w:p>
        </w:tc>
      </w:tr>
      <w:tr>
        <w:tc>
          <w:tcPr>
            <w:tcW w:type="dxa" w:w="831"/>
          </w:tcPr>
          <w:p>
            <w:pPr>
              <w:pStyle w:val="null3"/>
            </w:pPr>
            <w:r>
              <w:rPr/>
              <w:t>11</w:t>
            </w:r>
          </w:p>
        </w:tc>
        <w:tc>
          <w:tcPr>
            <w:tcW w:type="dxa" w:w="2492"/>
          </w:tcPr>
          <w:p>
            <w:pPr>
              <w:pStyle w:val="null3"/>
            </w:pPr>
            <w:r>
              <w:rPr/>
              <w:t>控股关系查询或声明</w:t>
            </w:r>
          </w:p>
        </w:tc>
        <w:tc>
          <w:tcPr>
            <w:tcW w:type="dxa" w:w="3322"/>
          </w:tcPr>
          <w:p>
            <w:pPr>
              <w:pStyle w:val="null3"/>
            </w:pPr>
            <w:r>
              <w:rPr/>
              <w:t>单位负责人为同一人或者存在直接控股、管理关系的不同供应商，不得参加同一合同项下的政府采购活动。(根据财库【2019】38号文规定，此项在磋商响应截止日当天在“国家企业信用信息公示系统”网站进行查询，截图留档；如网站无供应商信息的，供应商须提供相关证明资料或书面声明）</w:t>
            </w:r>
          </w:p>
        </w:tc>
        <w:tc>
          <w:tcPr>
            <w:tcW w:type="dxa" w:w="1661"/>
          </w:tcPr>
          <w:p>
            <w:pPr>
              <w:pStyle w:val="null3"/>
            </w:pPr>
            <w:r>
              <w:rPr/>
              <w:t>资格要求</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供应商名称与登记领取磋商文件的单位名称不一致</w:t>
            </w:r>
          </w:p>
        </w:tc>
        <w:tc>
          <w:tcPr>
            <w:tcW w:type="dxa" w:w="3322"/>
          </w:tcPr>
          <w:p>
            <w:pPr>
              <w:pStyle w:val="null3"/>
            </w:pPr>
            <w:r>
              <w:rPr/>
              <w:t>供应商名称与登记领取磋商文件的单位名称不一致</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除明确允许供应商可以自行编写的外，磋商响应文件未按照磋商文件给定的格式编制</w:t>
            </w:r>
          </w:p>
        </w:tc>
        <w:tc>
          <w:tcPr>
            <w:tcW w:type="dxa" w:w="3322"/>
          </w:tcPr>
          <w:p>
            <w:pPr>
              <w:pStyle w:val="null3"/>
            </w:pPr>
            <w:r>
              <w:rPr/>
              <w:t>除明确允许供应商可以自行编写的外，磋商响应文件未按照磋商文件给定的格式编制</w:t>
            </w:r>
          </w:p>
        </w:tc>
        <w:tc>
          <w:tcPr>
            <w:tcW w:type="dxa" w:w="1661"/>
          </w:tcPr>
          <w:p>
            <w:pPr>
              <w:pStyle w:val="null3"/>
            </w:pPr>
            <w:r>
              <w:rPr/>
              <w:t>《拒绝政府采购领域商业贿赂承诺书》（格式） 商务条款响应偏离表（格式） 服务响应偏离表（格式） 法定代表人授权委托书（格式）</w:t>
            </w:r>
          </w:p>
        </w:tc>
      </w:tr>
      <w:tr>
        <w:tc>
          <w:tcPr>
            <w:tcW w:type="dxa" w:w="831"/>
          </w:tcPr>
          <w:p>
            <w:pPr>
              <w:pStyle w:val="null3"/>
            </w:pPr>
            <w:r>
              <w:rPr/>
              <w:t>4</w:t>
            </w:r>
          </w:p>
        </w:tc>
        <w:tc>
          <w:tcPr>
            <w:tcW w:type="dxa" w:w="2492"/>
          </w:tcPr>
          <w:p>
            <w:pPr>
              <w:pStyle w:val="null3"/>
            </w:pPr>
            <w:r>
              <w:rPr/>
              <w:t>磋商响应文件未按照磋商文件的要求盖章签字</w:t>
            </w:r>
          </w:p>
        </w:tc>
        <w:tc>
          <w:tcPr>
            <w:tcW w:type="dxa" w:w="3322"/>
          </w:tcPr>
          <w:p>
            <w:pPr>
              <w:pStyle w:val="null3"/>
            </w:pPr>
            <w:r>
              <w:rPr/>
              <w:t>磋商响应文件未按照磋商文件的要求盖章签字</w:t>
            </w:r>
          </w:p>
        </w:tc>
        <w:tc>
          <w:tcPr>
            <w:tcW w:type="dxa" w:w="1661"/>
          </w:tcPr>
          <w:p>
            <w:pPr>
              <w:pStyle w:val="null3"/>
            </w:pPr>
            <w:r>
              <w:rPr/>
              <w:t>《拒绝政府采购领域商业贿赂承诺书》（格式） 商务条款响应偏离表（格式） 服务响应偏离表（格式） 法定代表人授权委托书（格式）</w:t>
            </w:r>
          </w:p>
        </w:tc>
      </w:tr>
      <w:tr>
        <w:tc>
          <w:tcPr>
            <w:tcW w:type="dxa" w:w="831"/>
          </w:tcPr>
          <w:p>
            <w:pPr>
              <w:pStyle w:val="null3"/>
            </w:pPr>
            <w:r>
              <w:rPr/>
              <w:t>5</w:t>
            </w:r>
          </w:p>
        </w:tc>
        <w:tc>
          <w:tcPr>
            <w:tcW w:type="dxa" w:w="2492"/>
          </w:tcPr>
          <w:p>
            <w:pPr>
              <w:pStyle w:val="null3"/>
            </w:pPr>
            <w:r>
              <w:rPr/>
              <w:t>针对同一项目提交两份或多份内容不同的磋商响应文件，未书面声明哪一份是有效的或出现选择性报价的</w:t>
            </w:r>
          </w:p>
        </w:tc>
        <w:tc>
          <w:tcPr>
            <w:tcW w:type="dxa" w:w="3322"/>
          </w:tcPr>
          <w:p>
            <w:pPr>
              <w:pStyle w:val="null3"/>
            </w:pPr>
            <w:r>
              <w:rPr/>
              <w:t>针对同一项目提交两份或多份内容不同的磋商响应文件，未书面声明哪一份是有效的或出现选择性报价的</w:t>
            </w:r>
          </w:p>
        </w:tc>
        <w:tc>
          <w:tcPr>
            <w:tcW w:type="dxa" w:w="1661"/>
          </w:tcPr>
          <w:p>
            <w:pPr>
              <w:pStyle w:val="null3"/>
            </w:pPr>
            <w:r>
              <w:rPr/>
              <w:t>标的清单 报价表</w:t>
            </w:r>
          </w:p>
        </w:tc>
      </w:tr>
      <w:tr>
        <w:tc>
          <w:tcPr>
            <w:tcW w:type="dxa" w:w="831"/>
          </w:tcPr>
          <w:p>
            <w:pPr>
              <w:pStyle w:val="null3"/>
            </w:pPr>
            <w:r>
              <w:rPr/>
              <w:t>6</w:t>
            </w:r>
          </w:p>
        </w:tc>
        <w:tc>
          <w:tcPr>
            <w:tcW w:type="dxa" w:w="2492"/>
          </w:tcPr>
          <w:p>
            <w:pPr>
              <w:pStyle w:val="null3"/>
            </w:pPr>
            <w:r>
              <w:rPr/>
              <w:t>磋商报价超过采购预算</w:t>
            </w:r>
          </w:p>
        </w:tc>
        <w:tc>
          <w:tcPr>
            <w:tcW w:type="dxa" w:w="3322"/>
          </w:tcPr>
          <w:p>
            <w:pPr>
              <w:pStyle w:val="null3"/>
            </w:pPr>
            <w:r>
              <w:rPr/>
              <w:t>磋商报价超过采购预算</w:t>
            </w:r>
          </w:p>
        </w:tc>
        <w:tc>
          <w:tcPr>
            <w:tcW w:type="dxa" w:w="1661"/>
          </w:tcPr>
          <w:p>
            <w:pPr>
              <w:pStyle w:val="null3"/>
            </w:pPr>
            <w:r>
              <w:rPr/>
              <w:t>响应文件封面 标的清单 报价表</w:t>
            </w:r>
          </w:p>
        </w:tc>
      </w:tr>
      <w:tr>
        <w:tc>
          <w:tcPr>
            <w:tcW w:type="dxa" w:w="831"/>
          </w:tcPr>
          <w:p>
            <w:pPr>
              <w:pStyle w:val="null3"/>
            </w:pPr>
            <w:r>
              <w:rPr/>
              <w:t>7</w:t>
            </w:r>
          </w:p>
        </w:tc>
        <w:tc>
          <w:tcPr>
            <w:tcW w:type="dxa" w:w="2492"/>
          </w:tcPr>
          <w:p>
            <w:pPr>
              <w:pStyle w:val="null3"/>
            </w:pPr>
            <w:r>
              <w:rPr/>
              <w:t>磋商有效期不符合磋商文件的要求</w:t>
            </w:r>
          </w:p>
        </w:tc>
        <w:tc>
          <w:tcPr>
            <w:tcW w:type="dxa" w:w="3322"/>
          </w:tcPr>
          <w:p>
            <w:pPr>
              <w:pStyle w:val="null3"/>
            </w:pPr>
            <w:r>
              <w:rPr/>
              <w:t>磋商有效期不符合磋商文件的要求</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对磋商文件商务要求未作出明确且实质性响应</w:t>
            </w:r>
          </w:p>
        </w:tc>
        <w:tc>
          <w:tcPr>
            <w:tcW w:type="dxa" w:w="3322"/>
          </w:tcPr>
          <w:p>
            <w:pPr>
              <w:pStyle w:val="null3"/>
            </w:pPr>
            <w:r>
              <w:rPr/>
              <w:t>对磋商文件商务要求未作出明确且实质性响应</w:t>
            </w:r>
          </w:p>
        </w:tc>
        <w:tc>
          <w:tcPr>
            <w:tcW w:type="dxa" w:w="1661"/>
          </w:tcPr>
          <w:p>
            <w:pPr>
              <w:pStyle w:val="null3"/>
            </w:pPr>
            <w:r>
              <w:rPr/>
              <w:t>商务条款响应偏离表（格式）</w:t>
            </w:r>
          </w:p>
        </w:tc>
      </w:tr>
      <w:tr>
        <w:tc>
          <w:tcPr>
            <w:tcW w:type="dxa" w:w="831"/>
          </w:tcPr>
          <w:p>
            <w:pPr>
              <w:pStyle w:val="null3"/>
            </w:pPr>
            <w:r>
              <w:rPr/>
              <w:t>9</w:t>
            </w:r>
          </w:p>
        </w:tc>
        <w:tc>
          <w:tcPr>
            <w:tcW w:type="dxa" w:w="2492"/>
          </w:tcPr>
          <w:p>
            <w:pPr>
              <w:pStyle w:val="null3"/>
            </w:pPr>
            <w:r>
              <w:rPr/>
              <w:t>对磋商文件技术要求未作出明确响应，对不得偏离的要求是否作了实质性响应</w:t>
            </w:r>
          </w:p>
        </w:tc>
        <w:tc>
          <w:tcPr>
            <w:tcW w:type="dxa" w:w="3322"/>
          </w:tcPr>
          <w:p>
            <w:pPr>
              <w:pStyle w:val="null3"/>
            </w:pPr>
            <w:r>
              <w:rPr/>
              <w:t>对磋商文件技术要求未作出明确响应，对不得偏离的要求是否作了实质性响应</w:t>
            </w:r>
          </w:p>
        </w:tc>
        <w:tc>
          <w:tcPr>
            <w:tcW w:type="dxa" w:w="1661"/>
          </w:tcPr>
          <w:p>
            <w:pPr>
              <w:pStyle w:val="null3"/>
            </w:pPr>
            <w:r>
              <w:rPr/>
              <w:t>服务响应偏离表（格式）</w:t>
            </w:r>
          </w:p>
        </w:tc>
      </w:tr>
      <w:tr>
        <w:tc>
          <w:tcPr>
            <w:tcW w:type="dxa" w:w="831"/>
          </w:tcPr>
          <w:p>
            <w:pPr>
              <w:pStyle w:val="null3"/>
            </w:pPr>
            <w:r>
              <w:rPr/>
              <w:t>10</w:t>
            </w:r>
          </w:p>
        </w:tc>
        <w:tc>
          <w:tcPr>
            <w:tcW w:type="dxa" w:w="2492"/>
          </w:tcPr>
          <w:p>
            <w:pPr>
              <w:pStyle w:val="null3"/>
            </w:pPr>
            <w:r>
              <w:rPr/>
              <w:t>磋商响应文件含有采购人不能接受的附加条件</w:t>
            </w:r>
          </w:p>
        </w:tc>
        <w:tc>
          <w:tcPr>
            <w:tcW w:type="dxa" w:w="3322"/>
          </w:tcPr>
          <w:p>
            <w:pPr>
              <w:pStyle w:val="null3"/>
            </w:pPr>
            <w:r>
              <w:rPr/>
              <w:t>磋商响应文件含有采购人不能接受的附加条件</w:t>
            </w:r>
          </w:p>
        </w:tc>
        <w:tc>
          <w:tcPr>
            <w:tcW w:type="dxa" w:w="1661"/>
          </w:tcPr>
          <w:p>
            <w:pPr>
              <w:pStyle w:val="null3"/>
            </w:pPr>
            <w:r>
              <w:rPr/>
              <w:t>供应商认为有必要说明的事宜（若有）</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供应商名称与登记领取磋商文件的单位名称不一致</w:t>
            </w:r>
          </w:p>
        </w:tc>
        <w:tc>
          <w:tcPr>
            <w:tcW w:type="dxa" w:w="3322"/>
          </w:tcPr>
          <w:p>
            <w:pPr>
              <w:pStyle w:val="null3"/>
            </w:pPr>
            <w:r>
              <w:rPr/>
              <w:t>供应商名称与登记领取磋商文件的单位名称不一致</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除明确允许供应商可以自行编写的外，磋商响应文件未按照磋商文件给定的格式编制</w:t>
            </w:r>
          </w:p>
        </w:tc>
        <w:tc>
          <w:tcPr>
            <w:tcW w:type="dxa" w:w="3322"/>
          </w:tcPr>
          <w:p>
            <w:pPr>
              <w:pStyle w:val="null3"/>
            </w:pPr>
            <w:r>
              <w:rPr/>
              <w:t>除明确允许供应商可以自行编写的外，磋商响应文件未按照磋商文件给定的格式编制</w:t>
            </w:r>
          </w:p>
        </w:tc>
        <w:tc>
          <w:tcPr>
            <w:tcW w:type="dxa" w:w="1661"/>
          </w:tcPr>
          <w:p>
            <w:pPr>
              <w:pStyle w:val="null3"/>
            </w:pPr>
            <w:r>
              <w:rPr/>
              <w:t>《拒绝政府采购领域商业贿赂承诺书》（格式） 商务条款响应偏离表（格式） 服务响应偏离表（格式） 法定代表人授权委托书（格式）</w:t>
            </w:r>
          </w:p>
        </w:tc>
      </w:tr>
      <w:tr>
        <w:tc>
          <w:tcPr>
            <w:tcW w:type="dxa" w:w="831"/>
          </w:tcPr>
          <w:p>
            <w:pPr>
              <w:pStyle w:val="null3"/>
            </w:pPr>
            <w:r>
              <w:rPr/>
              <w:t>4</w:t>
            </w:r>
          </w:p>
        </w:tc>
        <w:tc>
          <w:tcPr>
            <w:tcW w:type="dxa" w:w="2492"/>
          </w:tcPr>
          <w:p>
            <w:pPr>
              <w:pStyle w:val="null3"/>
            </w:pPr>
            <w:r>
              <w:rPr/>
              <w:t>磋商响应文件未按照磋商文件的要求盖章签字</w:t>
            </w:r>
          </w:p>
        </w:tc>
        <w:tc>
          <w:tcPr>
            <w:tcW w:type="dxa" w:w="3322"/>
          </w:tcPr>
          <w:p>
            <w:pPr>
              <w:pStyle w:val="null3"/>
            </w:pPr>
            <w:r>
              <w:rPr/>
              <w:t>磋商响应文件未按照磋商文件的要求盖章签字</w:t>
            </w:r>
          </w:p>
        </w:tc>
        <w:tc>
          <w:tcPr>
            <w:tcW w:type="dxa" w:w="1661"/>
          </w:tcPr>
          <w:p>
            <w:pPr>
              <w:pStyle w:val="null3"/>
            </w:pPr>
            <w:r>
              <w:rPr/>
              <w:t>《拒绝政府采购领域商业贿赂承诺书》（格式） 商务条款响应偏离表（格式） 服务响应偏离表（格式） 法定代表人授权委托书（格式）</w:t>
            </w:r>
          </w:p>
        </w:tc>
      </w:tr>
      <w:tr>
        <w:tc>
          <w:tcPr>
            <w:tcW w:type="dxa" w:w="831"/>
          </w:tcPr>
          <w:p>
            <w:pPr>
              <w:pStyle w:val="null3"/>
            </w:pPr>
            <w:r>
              <w:rPr/>
              <w:t>5</w:t>
            </w:r>
          </w:p>
        </w:tc>
        <w:tc>
          <w:tcPr>
            <w:tcW w:type="dxa" w:w="2492"/>
          </w:tcPr>
          <w:p>
            <w:pPr>
              <w:pStyle w:val="null3"/>
            </w:pPr>
            <w:r>
              <w:rPr/>
              <w:t>针对同一项目提交两份或多份内容不同的磋商响应文件，未书面声明哪一份是有效的或出现选择性报价的</w:t>
            </w:r>
          </w:p>
        </w:tc>
        <w:tc>
          <w:tcPr>
            <w:tcW w:type="dxa" w:w="3322"/>
          </w:tcPr>
          <w:p>
            <w:pPr>
              <w:pStyle w:val="null3"/>
            </w:pPr>
            <w:r>
              <w:rPr/>
              <w:t>针对同一项目提交两份或多份内容不同的磋商响应文件，未书面声明哪一份是有效的或出现选择性报价的</w:t>
            </w:r>
          </w:p>
        </w:tc>
        <w:tc>
          <w:tcPr>
            <w:tcW w:type="dxa" w:w="1661"/>
          </w:tcPr>
          <w:p>
            <w:pPr>
              <w:pStyle w:val="null3"/>
            </w:pPr>
            <w:r>
              <w:rPr/>
              <w:t>标的清单 报价表</w:t>
            </w:r>
          </w:p>
        </w:tc>
      </w:tr>
      <w:tr>
        <w:tc>
          <w:tcPr>
            <w:tcW w:type="dxa" w:w="831"/>
          </w:tcPr>
          <w:p>
            <w:pPr>
              <w:pStyle w:val="null3"/>
            </w:pPr>
            <w:r>
              <w:rPr/>
              <w:t>6</w:t>
            </w:r>
          </w:p>
        </w:tc>
        <w:tc>
          <w:tcPr>
            <w:tcW w:type="dxa" w:w="2492"/>
          </w:tcPr>
          <w:p>
            <w:pPr>
              <w:pStyle w:val="null3"/>
            </w:pPr>
            <w:r>
              <w:rPr/>
              <w:t>磋商报价超过采购预算</w:t>
            </w:r>
          </w:p>
        </w:tc>
        <w:tc>
          <w:tcPr>
            <w:tcW w:type="dxa" w:w="3322"/>
          </w:tcPr>
          <w:p>
            <w:pPr>
              <w:pStyle w:val="null3"/>
            </w:pPr>
            <w:r>
              <w:rPr/>
              <w:t>磋商报价超过采购预算</w:t>
            </w:r>
          </w:p>
        </w:tc>
        <w:tc>
          <w:tcPr>
            <w:tcW w:type="dxa" w:w="1661"/>
          </w:tcPr>
          <w:p>
            <w:pPr>
              <w:pStyle w:val="null3"/>
            </w:pPr>
            <w:r>
              <w:rPr/>
              <w:t>标的清单 报价表</w:t>
            </w:r>
          </w:p>
        </w:tc>
      </w:tr>
      <w:tr>
        <w:tc>
          <w:tcPr>
            <w:tcW w:type="dxa" w:w="831"/>
          </w:tcPr>
          <w:p>
            <w:pPr>
              <w:pStyle w:val="null3"/>
            </w:pPr>
            <w:r>
              <w:rPr/>
              <w:t>7</w:t>
            </w:r>
          </w:p>
        </w:tc>
        <w:tc>
          <w:tcPr>
            <w:tcW w:type="dxa" w:w="2492"/>
          </w:tcPr>
          <w:p>
            <w:pPr>
              <w:pStyle w:val="null3"/>
            </w:pPr>
            <w:r>
              <w:rPr/>
              <w:t>磋商有效期不符合磋商文件的要求</w:t>
            </w:r>
          </w:p>
        </w:tc>
        <w:tc>
          <w:tcPr>
            <w:tcW w:type="dxa" w:w="3322"/>
          </w:tcPr>
          <w:p>
            <w:pPr>
              <w:pStyle w:val="null3"/>
            </w:pPr>
            <w:r>
              <w:rPr/>
              <w:t>磋商有效期不符合磋商文件的要求</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对磋商文件商务要求未作出明确且实质性响应</w:t>
            </w:r>
          </w:p>
        </w:tc>
        <w:tc>
          <w:tcPr>
            <w:tcW w:type="dxa" w:w="3322"/>
          </w:tcPr>
          <w:p>
            <w:pPr>
              <w:pStyle w:val="null3"/>
            </w:pPr>
            <w:r>
              <w:rPr/>
              <w:t>对磋商文件商务要求未作出明确且实质性响应</w:t>
            </w:r>
          </w:p>
        </w:tc>
        <w:tc>
          <w:tcPr>
            <w:tcW w:type="dxa" w:w="1661"/>
          </w:tcPr>
          <w:p>
            <w:pPr>
              <w:pStyle w:val="null3"/>
            </w:pPr>
            <w:r>
              <w:rPr/>
              <w:t>商务条款响应偏离表（格式）</w:t>
            </w:r>
          </w:p>
        </w:tc>
      </w:tr>
      <w:tr>
        <w:tc>
          <w:tcPr>
            <w:tcW w:type="dxa" w:w="831"/>
          </w:tcPr>
          <w:p>
            <w:pPr>
              <w:pStyle w:val="null3"/>
            </w:pPr>
            <w:r>
              <w:rPr/>
              <w:t>9</w:t>
            </w:r>
          </w:p>
        </w:tc>
        <w:tc>
          <w:tcPr>
            <w:tcW w:type="dxa" w:w="2492"/>
          </w:tcPr>
          <w:p>
            <w:pPr>
              <w:pStyle w:val="null3"/>
            </w:pPr>
            <w:r>
              <w:rPr/>
              <w:t>对磋商文件技术要求未作出明确响应，对不得偏离的要求是否作了实质性响应</w:t>
            </w:r>
          </w:p>
        </w:tc>
        <w:tc>
          <w:tcPr>
            <w:tcW w:type="dxa" w:w="3322"/>
          </w:tcPr>
          <w:p>
            <w:pPr>
              <w:pStyle w:val="null3"/>
            </w:pPr>
            <w:r>
              <w:rPr/>
              <w:t>对磋商文件技术要求未作出明确响应，对不得偏离的要求是否作了实质性响应</w:t>
            </w:r>
          </w:p>
        </w:tc>
        <w:tc>
          <w:tcPr>
            <w:tcW w:type="dxa" w:w="1661"/>
          </w:tcPr>
          <w:p>
            <w:pPr>
              <w:pStyle w:val="null3"/>
            </w:pPr>
            <w:r>
              <w:rPr/>
              <w:t>服务响应偏离表（格式）</w:t>
            </w:r>
          </w:p>
        </w:tc>
      </w:tr>
      <w:tr>
        <w:tc>
          <w:tcPr>
            <w:tcW w:type="dxa" w:w="831"/>
          </w:tcPr>
          <w:p>
            <w:pPr>
              <w:pStyle w:val="null3"/>
            </w:pPr>
            <w:r>
              <w:rPr/>
              <w:t>10</w:t>
            </w:r>
          </w:p>
        </w:tc>
        <w:tc>
          <w:tcPr>
            <w:tcW w:type="dxa" w:w="2492"/>
          </w:tcPr>
          <w:p>
            <w:pPr>
              <w:pStyle w:val="null3"/>
            </w:pPr>
            <w:r>
              <w:rPr/>
              <w:t>磋商响应文件含有采购人不能接受的附加条件</w:t>
            </w:r>
          </w:p>
        </w:tc>
        <w:tc>
          <w:tcPr>
            <w:tcW w:type="dxa" w:w="3322"/>
          </w:tcPr>
          <w:p>
            <w:pPr>
              <w:pStyle w:val="null3"/>
            </w:pPr>
            <w:r>
              <w:rPr/>
              <w:t>磋商响应文件含有采购人不能接受的附加条件</w:t>
            </w:r>
          </w:p>
        </w:tc>
        <w:tc>
          <w:tcPr>
            <w:tcW w:type="dxa" w:w="1661"/>
          </w:tcPr>
          <w:p>
            <w:pPr>
              <w:pStyle w:val="null3"/>
            </w:pPr>
            <w:r>
              <w:rPr/>
              <w:t>供应商认为有必要说明的事宜（若有）</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供应商名称与登记领取磋商文件的单位名称不一致</w:t>
            </w:r>
          </w:p>
        </w:tc>
        <w:tc>
          <w:tcPr>
            <w:tcW w:type="dxa" w:w="3322"/>
          </w:tcPr>
          <w:p>
            <w:pPr>
              <w:pStyle w:val="null3"/>
            </w:pPr>
            <w:r>
              <w:rPr/>
              <w:t>供应商名称与登记领取磋商文件的单位名称不一致</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除明确允许供应商可以自行编写的外，磋商响应文件未按照磋商文件给定的格式编制</w:t>
            </w:r>
          </w:p>
        </w:tc>
        <w:tc>
          <w:tcPr>
            <w:tcW w:type="dxa" w:w="3322"/>
          </w:tcPr>
          <w:p>
            <w:pPr>
              <w:pStyle w:val="null3"/>
            </w:pPr>
            <w:r>
              <w:rPr/>
              <w:t>除明确允许供应商可以自行编写的外，磋商响应文件未按照磋商文件给定的格式编制</w:t>
            </w:r>
          </w:p>
        </w:tc>
        <w:tc>
          <w:tcPr>
            <w:tcW w:type="dxa" w:w="1661"/>
          </w:tcPr>
          <w:p>
            <w:pPr>
              <w:pStyle w:val="null3"/>
            </w:pPr>
            <w:r>
              <w:rPr/>
              <w:t>《拒绝政府采购领域商业贿赂承诺书》（格式） 商务条款响应偏离表（格式） 服务响应偏离表（格式） 法定代表人授权委托书（格式）</w:t>
            </w:r>
          </w:p>
        </w:tc>
      </w:tr>
      <w:tr>
        <w:tc>
          <w:tcPr>
            <w:tcW w:type="dxa" w:w="831"/>
          </w:tcPr>
          <w:p>
            <w:pPr>
              <w:pStyle w:val="null3"/>
            </w:pPr>
            <w:r>
              <w:rPr/>
              <w:t>4</w:t>
            </w:r>
          </w:p>
        </w:tc>
        <w:tc>
          <w:tcPr>
            <w:tcW w:type="dxa" w:w="2492"/>
          </w:tcPr>
          <w:p>
            <w:pPr>
              <w:pStyle w:val="null3"/>
            </w:pPr>
            <w:r>
              <w:rPr/>
              <w:t>磋商响应文件未按照磋商文件的要求盖章签字</w:t>
            </w:r>
          </w:p>
        </w:tc>
        <w:tc>
          <w:tcPr>
            <w:tcW w:type="dxa" w:w="3322"/>
          </w:tcPr>
          <w:p>
            <w:pPr>
              <w:pStyle w:val="null3"/>
            </w:pPr>
            <w:r>
              <w:rPr/>
              <w:t>磋商响应文件未按照磋商文件的要求盖章签字</w:t>
            </w:r>
          </w:p>
        </w:tc>
        <w:tc>
          <w:tcPr>
            <w:tcW w:type="dxa" w:w="1661"/>
          </w:tcPr>
          <w:p>
            <w:pPr>
              <w:pStyle w:val="null3"/>
            </w:pPr>
            <w:r>
              <w:rPr/>
              <w:t>《拒绝政府采购领域商业贿赂承诺书》（格式） 商务条款响应偏离表（格式） 服务响应偏离表（格式） 法定代表人授权委托书（格式）</w:t>
            </w:r>
          </w:p>
        </w:tc>
      </w:tr>
      <w:tr>
        <w:tc>
          <w:tcPr>
            <w:tcW w:type="dxa" w:w="831"/>
          </w:tcPr>
          <w:p>
            <w:pPr>
              <w:pStyle w:val="null3"/>
            </w:pPr>
            <w:r>
              <w:rPr/>
              <w:t>5</w:t>
            </w:r>
          </w:p>
        </w:tc>
        <w:tc>
          <w:tcPr>
            <w:tcW w:type="dxa" w:w="2492"/>
          </w:tcPr>
          <w:p>
            <w:pPr>
              <w:pStyle w:val="null3"/>
            </w:pPr>
            <w:r>
              <w:rPr/>
              <w:t>针对同一项目提交两份或多份内容不同的磋商响应文件，未书面声明哪一份是有效的或出现选择性报价的</w:t>
            </w:r>
          </w:p>
        </w:tc>
        <w:tc>
          <w:tcPr>
            <w:tcW w:type="dxa" w:w="3322"/>
          </w:tcPr>
          <w:p>
            <w:pPr>
              <w:pStyle w:val="null3"/>
            </w:pPr>
            <w:r>
              <w:rPr/>
              <w:t>针对同一项目提交两份或多份内容不同的磋商响应文件，未书面声明哪一份是有效的或出现选择性报价的</w:t>
            </w:r>
          </w:p>
        </w:tc>
        <w:tc>
          <w:tcPr>
            <w:tcW w:type="dxa" w:w="1661"/>
          </w:tcPr>
          <w:p>
            <w:pPr>
              <w:pStyle w:val="null3"/>
            </w:pPr>
            <w:r>
              <w:rPr/>
              <w:t>标的清单 报价表</w:t>
            </w:r>
          </w:p>
        </w:tc>
      </w:tr>
      <w:tr>
        <w:tc>
          <w:tcPr>
            <w:tcW w:type="dxa" w:w="831"/>
          </w:tcPr>
          <w:p>
            <w:pPr>
              <w:pStyle w:val="null3"/>
            </w:pPr>
            <w:r>
              <w:rPr/>
              <w:t>6</w:t>
            </w:r>
          </w:p>
        </w:tc>
        <w:tc>
          <w:tcPr>
            <w:tcW w:type="dxa" w:w="2492"/>
          </w:tcPr>
          <w:p>
            <w:pPr>
              <w:pStyle w:val="null3"/>
            </w:pPr>
            <w:r>
              <w:rPr/>
              <w:t>磋商报价超过采购预算</w:t>
            </w:r>
          </w:p>
        </w:tc>
        <w:tc>
          <w:tcPr>
            <w:tcW w:type="dxa" w:w="3322"/>
          </w:tcPr>
          <w:p>
            <w:pPr>
              <w:pStyle w:val="null3"/>
            </w:pPr>
            <w:r>
              <w:rPr/>
              <w:t>磋商报价超过采购预算</w:t>
            </w:r>
          </w:p>
        </w:tc>
        <w:tc>
          <w:tcPr>
            <w:tcW w:type="dxa" w:w="1661"/>
          </w:tcPr>
          <w:p>
            <w:pPr>
              <w:pStyle w:val="null3"/>
            </w:pPr>
            <w:r>
              <w:rPr/>
              <w:t>标的清单 报价表</w:t>
            </w:r>
          </w:p>
        </w:tc>
      </w:tr>
      <w:tr>
        <w:tc>
          <w:tcPr>
            <w:tcW w:type="dxa" w:w="831"/>
          </w:tcPr>
          <w:p>
            <w:pPr>
              <w:pStyle w:val="null3"/>
            </w:pPr>
            <w:r>
              <w:rPr/>
              <w:t>7</w:t>
            </w:r>
          </w:p>
        </w:tc>
        <w:tc>
          <w:tcPr>
            <w:tcW w:type="dxa" w:w="2492"/>
          </w:tcPr>
          <w:p>
            <w:pPr>
              <w:pStyle w:val="null3"/>
            </w:pPr>
            <w:r>
              <w:rPr/>
              <w:t>磋商有效期不符合磋商文件的要求</w:t>
            </w:r>
          </w:p>
        </w:tc>
        <w:tc>
          <w:tcPr>
            <w:tcW w:type="dxa" w:w="3322"/>
          </w:tcPr>
          <w:p>
            <w:pPr>
              <w:pStyle w:val="null3"/>
            </w:pPr>
            <w:r>
              <w:rPr/>
              <w:t>磋商有效期不符合磋商文件的要求</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对磋商文件商务要求未作出明确且实质性响应</w:t>
            </w:r>
          </w:p>
        </w:tc>
        <w:tc>
          <w:tcPr>
            <w:tcW w:type="dxa" w:w="3322"/>
          </w:tcPr>
          <w:p>
            <w:pPr>
              <w:pStyle w:val="null3"/>
            </w:pPr>
            <w:r>
              <w:rPr/>
              <w:t>对磋商文件商务要求未作出明确且实质性响应</w:t>
            </w:r>
          </w:p>
        </w:tc>
        <w:tc>
          <w:tcPr>
            <w:tcW w:type="dxa" w:w="1661"/>
          </w:tcPr>
          <w:p>
            <w:pPr>
              <w:pStyle w:val="null3"/>
            </w:pPr>
            <w:r>
              <w:rPr/>
              <w:t>商务条款响应偏离表（格式）</w:t>
            </w:r>
          </w:p>
        </w:tc>
      </w:tr>
      <w:tr>
        <w:tc>
          <w:tcPr>
            <w:tcW w:type="dxa" w:w="831"/>
          </w:tcPr>
          <w:p>
            <w:pPr>
              <w:pStyle w:val="null3"/>
            </w:pPr>
            <w:r>
              <w:rPr/>
              <w:t>9</w:t>
            </w:r>
          </w:p>
        </w:tc>
        <w:tc>
          <w:tcPr>
            <w:tcW w:type="dxa" w:w="2492"/>
          </w:tcPr>
          <w:p>
            <w:pPr>
              <w:pStyle w:val="null3"/>
            </w:pPr>
            <w:r>
              <w:rPr/>
              <w:t>对磋商文件技术要求未作出明确响应，对不得偏离的要求是否作了实质性响应</w:t>
            </w:r>
          </w:p>
        </w:tc>
        <w:tc>
          <w:tcPr>
            <w:tcW w:type="dxa" w:w="3322"/>
          </w:tcPr>
          <w:p>
            <w:pPr>
              <w:pStyle w:val="null3"/>
            </w:pPr>
            <w:r>
              <w:rPr/>
              <w:t>对磋商文件技术要求未作出明确响应，对不得偏离的要求是否作了实质性响应</w:t>
            </w:r>
          </w:p>
        </w:tc>
        <w:tc>
          <w:tcPr>
            <w:tcW w:type="dxa" w:w="1661"/>
          </w:tcPr>
          <w:p>
            <w:pPr>
              <w:pStyle w:val="null3"/>
            </w:pPr>
            <w:r>
              <w:rPr/>
              <w:t>服务响应偏离表（格式）</w:t>
            </w:r>
          </w:p>
        </w:tc>
      </w:tr>
      <w:tr>
        <w:tc>
          <w:tcPr>
            <w:tcW w:type="dxa" w:w="831"/>
          </w:tcPr>
          <w:p>
            <w:pPr>
              <w:pStyle w:val="null3"/>
            </w:pPr>
            <w:r>
              <w:rPr/>
              <w:t>10</w:t>
            </w:r>
          </w:p>
        </w:tc>
        <w:tc>
          <w:tcPr>
            <w:tcW w:type="dxa" w:w="2492"/>
          </w:tcPr>
          <w:p>
            <w:pPr>
              <w:pStyle w:val="null3"/>
            </w:pPr>
            <w:r>
              <w:rPr/>
              <w:t>磋商响应文件含有采购人不能接受的附加条件</w:t>
            </w:r>
          </w:p>
        </w:tc>
        <w:tc>
          <w:tcPr>
            <w:tcW w:type="dxa" w:w="3322"/>
          </w:tcPr>
          <w:p>
            <w:pPr>
              <w:pStyle w:val="null3"/>
            </w:pPr>
            <w:r>
              <w:rPr/>
              <w:t>磋商响应文件含有采购人不能接受的附加条件</w:t>
            </w:r>
          </w:p>
        </w:tc>
        <w:tc>
          <w:tcPr>
            <w:tcW w:type="dxa" w:w="1661"/>
          </w:tcPr>
          <w:p>
            <w:pPr>
              <w:pStyle w:val="null3"/>
            </w:pPr>
            <w:r>
              <w:rPr/>
              <w:t>供应商认为有必要说明的事宜（若有）</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采购包3：</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商务响应</w:t>
            </w:r>
          </w:p>
        </w:tc>
        <w:tc>
          <w:tcPr>
            <w:tcW w:type="dxa" w:w="2492"/>
          </w:tcPr>
          <w:p>
            <w:pPr>
              <w:pStyle w:val="null3"/>
            </w:pPr>
            <w:r>
              <w:rPr/>
              <w:t>磋商响应文件对交货期、质保期、付款方式、验收等商务要求进行详细说明，完全响应磋商文件的计2分。服务期优于磋商文件要求的最多加1分。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商务条款响应偏离表（格式）</w:t>
            </w:r>
          </w:p>
        </w:tc>
      </w:tr>
      <w:tr>
        <w:tc>
          <w:tcPr>
            <w:tcW w:type="dxa" w:w="831"/>
            <w:vMerge/>
          </w:tcPr>
          <w:p/>
        </w:tc>
        <w:tc>
          <w:tcPr>
            <w:tcW w:type="dxa" w:w="1661"/>
          </w:tcPr>
          <w:p>
            <w:pPr>
              <w:pStyle w:val="null3"/>
            </w:pPr>
            <w:r>
              <w:rPr/>
              <w:t>服务方案1</w:t>
            </w:r>
          </w:p>
        </w:tc>
        <w:tc>
          <w:tcPr>
            <w:tcW w:type="dxa" w:w="2492"/>
          </w:tcPr>
          <w:p>
            <w:pPr>
              <w:pStyle w:val="null3"/>
            </w:pPr>
            <w:r>
              <w:rPr/>
              <w:t>前期准备方案： 方案科学合理，操作规范，贴合搬迁实际情况，统计梳理清晰全面，对不同类型文件资料、家具及档案密集柜提供针对性统计方法、搬迁方法（包括但不限于拆卸、装箱等），提供档案密集柜新址的安装设计图计7-3.1分，方案内容描述简单或只有概述，没有具体实施办法的计3-0.1分，未提供不计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服务方案2</w:t>
            </w:r>
          </w:p>
        </w:tc>
        <w:tc>
          <w:tcPr>
            <w:tcW w:type="dxa" w:w="2492"/>
          </w:tcPr>
          <w:p>
            <w:pPr>
              <w:pStyle w:val="null3"/>
            </w:pPr>
            <w:r>
              <w:rPr/>
              <w:t>打包方案： 方案科学合理，操作规范，贴合搬迁实际情况，充分考虑不同品类搬迁物品的差异性，并提供针对性打包材料及方案，包含文件资料的下架、编号、装箱，家具的防护包裹，旧址密集柜的拆卸、新址规划安装等，提供有效防护计10-5.1分，方案内容描述简单或只有概述，没有具体实施办法的计 5-0.1分，未提供不计分。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服务方案3</w:t>
            </w:r>
          </w:p>
        </w:tc>
        <w:tc>
          <w:tcPr>
            <w:tcW w:type="dxa" w:w="2492"/>
          </w:tcPr>
          <w:p>
            <w:pPr>
              <w:pStyle w:val="null3"/>
            </w:pPr>
            <w:r>
              <w:rPr/>
              <w:t>运输方案： 方案科学合理，操作规范，贴合搬迁实际情况，实现闭环运输，方案可行性强、内容全面计6-3.1分，方案内容描述简单或只有概述，没有具体实施办法的计3-0.1分，未提供不计分。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服务方案4</w:t>
            </w:r>
          </w:p>
        </w:tc>
        <w:tc>
          <w:tcPr>
            <w:tcW w:type="dxa" w:w="2492"/>
          </w:tcPr>
          <w:p>
            <w:pPr>
              <w:pStyle w:val="null3"/>
            </w:pPr>
            <w:r>
              <w:rPr/>
              <w:t>盘点方案： 方案科学合理，盘点工作操作规范，贴合搬迁实际情况，统计梳理各类文件资料、家具及密集柜，确定打包方式，拆装及相关搬迁方法，清晰全面计10-5.1分，方案内容描述简单或只有概述，没有具体实施办法的计5-0.1分，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服务方案5</w:t>
            </w:r>
          </w:p>
        </w:tc>
        <w:tc>
          <w:tcPr>
            <w:tcW w:type="dxa" w:w="2492"/>
          </w:tcPr>
          <w:p>
            <w:pPr>
              <w:pStyle w:val="null3"/>
            </w:pPr>
            <w:r>
              <w:rPr/>
              <w:t>打扫方案： 方案科学合理，操作规范，贴合实际情况，对搬迁过程中服务商产生的各种废弃物进行清理，提供有针对性方案，确保清理打扫彻底计5-3.1分，清理方案未充分考虑实际情况，内容描述简单或只有概述，没有具体实施办法的计3-0.1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履约能力1</w:t>
            </w:r>
          </w:p>
        </w:tc>
        <w:tc>
          <w:tcPr>
            <w:tcW w:type="dxa" w:w="2492"/>
          </w:tcPr>
          <w:p>
            <w:pPr>
              <w:pStyle w:val="null3"/>
            </w:pPr>
            <w:r>
              <w:rPr/>
              <w:t>供应商针对本项目有专职管理人员，负责与采购人对接，按照要求进行相关搬运服务，对搬运工作进行指挥、监督并协调车辆安排，发现问题要及时采取措施进行处理，并告知采购人。专职管理人员针对上述情况提供管理方案并提供相关案例，实施方案合理可行、全面得3-2.1分；方案欠缺1项以上且不完善得2-0.1分，未提供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履约能力</w:t>
            </w:r>
          </w:p>
        </w:tc>
      </w:tr>
      <w:tr>
        <w:tc>
          <w:tcPr>
            <w:tcW w:type="dxa" w:w="831"/>
            <w:vMerge/>
          </w:tcPr>
          <w:p/>
        </w:tc>
        <w:tc>
          <w:tcPr>
            <w:tcW w:type="dxa" w:w="1661"/>
          </w:tcPr>
          <w:p>
            <w:pPr>
              <w:pStyle w:val="null3"/>
            </w:pPr>
            <w:r>
              <w:rPr/>
              <w:t>履约能力2</w:t>
            </w:r>
          </w:p>
        </w:tc>
        <w:tc>
          <w:tcPr>
            <w:tcW w:type="dxa" w:w="2492"/>
          </w:tcPr>
          <w:p>
            <w:pPr>
              <w:pStyle w:val="null3"/>
            </w:pPr>
            <w:r>
              <w:rPr/>
              <w:t>供应商针对本项目有整体团队人员，包括但不限于搬运、拆装及司机等人员。对人员信息、履历、相关资质及经验能提供相关证明材料。人员安排合理，岗位责任划分明确，证明材料完整计6-3.1分，人员计划安排欠缺1项以上且不完善的计3-0.1，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履约能力</w:t>
            </w:r>
          </w:p>
        </w:tc>
      </w:tr>
      <w:tr>
        <w:tc>
          <w:tcPr>
            <w:tcW w:type="dxa" w:w="831"/>
            <w:vMerge/>
          </w:tcPr>
          <w:p/>
        </w:tc>
        <w:tc>
          <w:tcPr>
            <w:tcW w:type="dxa" w:w="1661"/>
          </w:tcPr>
          <w:p>
            <w:pPr>
              <w:pStyle w:val="null3"/>
            </w:pPr>
            <w:r>
              <w:rPr/>
              <w:t>履约能力3</w:t>
            </w:r>
          </w:p>
        </w:tc>
        <w:tc>
          <w:tcPr>
            <w:tcW w:type="dxa" w:w="2492"/>
          </w:tcPr>
          <w:p>
            <w:pPr>
              <w:pStyle w:val="null3"/>
            </w:pPr>
            <w:r>
              <w:rPr/>
              <w:t>供应商针对本项目提供运输工具、打包搬运设备、相应的劳保用品，制定搬运人员的安全防护措施。工具设备齐全，能够完全满足项目需求，证明材料完整计6-3.1分，工具设备不齐全计3-0.1分，未提供不计分。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履约能力</w:t>
            </w:r>
          </w:p>
        </w:tc>
      </w:tr>
      <w:tr>
        <w:tc>
          <w:tcPr>
            <w:tcW w:type="dxa" w:w="831"/>
            <w:vMerge/>
          </w:tcPr>
          <w:p/>
        </w:tc>
        <w:tc>
          <w:tcPr>
            <w:tcW w:type="dxa" w:w="1661"/>
          </w:tcPr>
          <w:p>
            <w:pPr>
              <w:pStyle w:val="null3"/>
            </w:pPr>
            <w:r>
              <w:rPr/>
              <w:t>质量保证方案</w:t>
            </w:r>
          </w:p>
        </w:tc>
        <w:tc>
          <w:tcPr>
            <w:tcW w:type="dxa" w:w="2492"/>
          </w:tcPr>
          <w:p>
            <w:pPr>
              <w:pStyle w:val="null3"/>
            </w:pPr>
            <w:r>
              <w:rPr/>
              <w:t>有确保本项目服务质量的技术组织措施及质量保障体系、完善的内部管理架构、工作流程、考核制度等。 ①内容详细全面、合理可行，计12-6.1分； ②内容有1-3项缺漏，描述简单或只有概述，没有具体措施及制度的计6-0.1分； ③未提供不计分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质量保证方案</w:t>
            </w:r>
          </w:p>
        </w:tc>
      </w:tr>
      <w:tr>
        <w:tc>
          <w:tcPr>
            <w:tcW w:type="dxa" w:w="831"/>
            <w:vMerge/>
          </w:tcPr>
          <w:p/>
        </w:tc>
        <w:tc>
          <w:tcPr>
            <w:tcW w:type="dxa" w:w="1661"/>
          </w:tcPr>
          <w:p>
            <w:pPr>
              <w:pStyle w:val="null3"/>
            </w:pPr>
            <w:r>
              <w:rPr/>
              <w:t>业绩</w:t>
            </w:r>
          </w:p>
        </w:tc>
        <w:tc>
          <w:tcPr>
            <w:tcW w:type="dxa" w:w="2492"/>
          </w:tcPr>
          <w:p>
            <w:pPr>
              <w:pStyle w:val="null3"/>
            </w:pPr>
            <w:r>
              <w:rPr/>
              <w:t>以合同形式提供供应商2021年01月至今（以合同落款时间为准）同类项目业绩，每份计2分，计满10分为止。</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服务承诺1</w:t>
            </w:r>
          </w:p>
        </w:tc>
        <w:tc>
          <w:tcPr>
            <w:tcW w:type="dxa" w:w="2492"/>
          </w:tcPr>
          <w:p>
            <w:pPr>
              <w:pStyle w:val="null3"/>
            </w:pPr>
            <w:r>
              <w:rPr/>
              <w:t>供应商针对搬迁过程中，出现损坏、遗失等无法正常使用的情况提供解决方案及承诺。方案及承诺合理、可行计6-3.1分；方案内容描述简单或只有概述，没有具体实施办法的计3-0.1分，未提供不计分。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服务承诺</w:t>
            </w:r>
          </w:p>
        </w:tc>
      </w:tr>
      <w:tr>
        <w:tc>
          <w:tcPr>
            <w:tcW w:type="dxa" w:w="831"/>
            <w:vMerge/>
          </w:tcPr>
          <w:p/>
        </w:tc>
        <w:tc>
          <w:tcPr>
            <w:tcW w:type="dxa" w:w="1661"/>
          </w:tcPr>
          <w:p>
            <w:pPr>
              <w:pStyle w:val="null3"/>
            </w:pPr>
            <w:r>
              <w:rPr/>
              <w:t>服务承诺2</w:t>
            </w:r>
          </w:p>
        </w:tc>
        <w:tc>
          <w:tcPr>
            <w:tcW w:type="dxa" w:w="2492"/>
          </w:tcPr>
          <w:p>
            <w:pPr>
              <w:pStyle w:val="null3"/>
            </w:pPr>
            <w:r>
              <w:rPr/>
              <w:t>针对本项目提供合理化建议，保密承诺及保密措施、根据是否贴合项目实际、有利于项目实施计3-0.1分，未提供不计分。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服务承诺</w:t>
            </w:r>
          </w:p>
        </w:tc>
      </w:tr>
      <w:tr>
        <w:tc>
          <w:tcPr>
            <w:tcW w:type="dxa" w:w="831"/>
            <w:vMerge/>
          </w:tcPr>
          <w:p/>
        </w:tc>
        <w:tc>
          <w:tcPr>
            <w:tcW w:type="dxa" w:w="1661"/>
          </w:tcPr>
          <w:p>
            <w:pPr>
              <w:pStyle w:val="null3"/>
            </w:pPr>
            <w:r>
              <w:rPr/>
              <w:t>服务承诺3</w:t>
            </w:r>
          </w:p>
        </w:tc>
        <w:tc>
          <w:tcPr>
            <w:tcW w:type="dxa" w:w="2492"/>
          </w:tcPr>
          <w:p>
            <w:pPr>
              <w:pStyle w:val="null3"/>
            </w:pPr>
            <w:r>
              <w:rPr/>
              <w:t>由搬运、运输引起的工伤、意外伤害及相关的安全事故；造成遗失、损坏现象，由供应商负责并进行赔偿，采购人不承担任何责任。根据承诺的响应程度计3-0.1分，未提供不计分。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服务承诺</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磋商报价得分=（磋商基准价/最终磋商报价）×价格权值（即10%）×100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商务响应</w:t>
            </w:r>
          </w:p>
        </w:tc>
        <w:tc>
          <w:tcPr>
            <w:tcW w:type="dxa" w:w="2492"/>
          </w:tcPr>
          <w:p>
            <w:pPr>
              <w:pStyle w:val="null3"/>
            </w:pPr>
            <w:r>
              <w:rPr/>
              <w:t>磋商响应文件对交货期、质保期、付款方式、验收等商务要求进行详细说明，完全响应磋商文件的计2分。服务期优于磋商文件要求的最多加1分。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商务条款响应偏离表（格式）</w:t>
            </w:r>
          </w:p>
        </w:tc>
      </w:tr>
      <w:tr>
        <w:tc>
          <w:tcPr>
            <w:tcW w:type="dxa" w:w="831"/>
            <w:vMerge/>
          </w:tcPr>
          <w:p/>
        </w:tc>
        <w:tc>
          <w:tcPr>
            <w:tcW w:type="dxa" w:w="1661"/>
          </w:tcPr>
          <w:p>
            <w:pPr>
              <w:pStyle w:val="null3"/>
            </w:pPr>
            <w:r>
              <w:rPr/>
              <w:t>服务方案1</w:t>
            </w:r>
          </w:p>
        </w:tc>
        <w:tc>
          <w:tcPr>
            <w:tcW w:type="dxa" w:w="2492"/>
          </w:tcPr>
          <w:p>
            <w:pPr>
              <w:pStyle w:val="null3"/>
            </w:pPr>
            <w:r>
              <w:rPr/>
              <w:t>前期准备方案： 方案科学合理，操作规范，贴合搬迁实际情况，统计梳理档案提供针对性统计方法计7-3.1分，方案内容描述简单或只有概述，没有具体实施办法的计3-0.1分，未提供不计分。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服务方案2</w:t>
            </w:r>
          </w:p>
        </w:tc>
        <w:tc>
          <w:tcPr>
            <w:tcW w:type="dxa" w:w="2492"/>
          </w:tcPr>
          <w:p>
            <w:pPr>
              <w:pStyle w:val="null3"/>
            </w:pPr>
            <w:r>
              <w:rPr/>
              <w:t>打包方案： 方案科学合理，操作规范，贴合搬迁实际情况，充分考虑档案搬迁同其他物品的差异性，并提供针对性打包材料及方案，包含档案的下架、编号、装箱，提供有效防护计10-5.1分，方案内容描述简单或只有概述，没有具体实施办法的计 5-0.1分，未提供不计分。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服务方案3</w:t>
            </w:r>
          </w:p>
        </w:tc>
        <w:tc>
          <w:tcPr>
            <w:tcW w:type="dxa" w:w="2492"/>
          </w:tcPr>
          <w:p>
            <w:pPr>
              <w:pStyle w:val="null3"/>
            </w:pPr>
            <w:r>
              <w:rPr/>
              <w:t>运输方案： 方案科学合理，操作规范，贴合搬迁实际情况，实现闭环运输，方案可行性强、内容全面计6-3.1分，方案内容描述简单或只有概述，没有具体实施办法的计3-0.1分，未提供不计分。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服务方案4</w:t>
            </w:r>
          </w:p>
        </w:tc>
        <w:tc>
          <w:tcPr>
            <w:tcW w:type="dxa" w:w="2492"/>
          </w:tcPr>
          <w:p>
            <w:pPr>
              <w:pStyle w:val="null3"/>
            </w:pPr>
            <w:r>
              <w:rPr/>
              <w:t>盘点方案： 方案科学合理，盘点工作操作规范，贴合搬迁实际情况，统计梳理档案，清晰全面计10-5.1分，方案内容描述简单或只有概述，没有具体实施办法的计5-0.1分，未提供不计分。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服务方案5</w:t>
            </w:r>
          </w:p>
        </w:tc>
        <w:tc>
          <w:tcPr>
            <w:tcW w:type="dxa" w:w="2492"/>
          </w:tcPr>
          <w:p>
            <w:pPr>
              <w:pStyle w:val="null3"/>
            </w:pPr>
            <w:r>
              <w:rPr/>
              <w:t>打扫方案： 方案科学合理，操作规范，贴合实际情况，对搬迁过程中服务商产生的各种废弃物进行清理，提供有针对性方案，确保清理打扫彻底计5-3.1分，清理方案未充分考虑实际情况，内容描述简单或只有概述，没有具体实施办法的计3-0.1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履约能力1</w:t>
            </w:r>
          </w:p>
        </w:tc>
        <w:tc>
          <w:tcPr>
            <w:tcW w:type="dxa" w:w="2492"/>
          </w:tcPr>
          <w:p>
            <w:pPr>
              <w:pStyle w:val="null3"/>
            </w:pPr>
            <w:r>
              <w:rPr/>
              <w:t>供应商针对本项目有专职管理人员，负责与采购人对接，按照要求进行相关搬运服务，对搬运工作进行指挥、监督并协调车辆安排，发现问题要及时采取措施进行处理，并告知采购人。专职管理人员针对上述情况提供管理方案并提供相关案例，实施方案合理可行、全面得3-2.1分；方案欠缺1项以上且不完善得2-0.1分，未提供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履约能力</w:t>
            </w:r>
          </w:p>
        </w:tc>
      </w:tr>
      <w:tr>
        <w:tc>
          <w:tcPr>
            <w:tcW w:type="dxa" w:w="831"/>
            <w:vMerge/>
          </w:tcPr>
          <w:p/>
        </w:tc>
        <w:tc>
          <w:tcPr>
            <w:tcW w:type="dxa" w:w="1661"/>
          </w:tcPr>
          <w:p>
            <w:pPr>
              <w:pStyle w:val="null3"/>
            </w:pPr>
            <w:r>
              <w:rPr/>
              <w:t>履约能力2</w:t>
            </w:r>
          </w:p>
        </w:tc>
        <w:tc>
          <w:tcPr>
            <w:tcW w:type="dxa" w:w="2492"/>
          </w:tcPr>
          <w:p>
            <w:pPr>
              <w:pStyle w:val="null3"/>
            </w:pPr>
            <w:r>
              <w:rPr/>
              <w:t>供应商针对本项目有整体团队人员，包括但不限于搬运、拆装及司机等人员。对人员信息、履历、相关资质及经验能提供相关证明材料。人员安排合理，岗位责任划分明确，证明材料完整计6-3.1分，人员计划安排欠缺1项以上且不完善的计3-0.1，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履约能力</w:t>
            </w:r>
          </w:p>
        </w:tc>
      </w:tr>
      <w:tr>
        <w:tc>
          <w:tcPr>
            <w:tcW w:type="dxa" w:w="831"/>
            <w:vMerge/>
          </w:tcPr>
          <w:p/>
        </w:tc>
        <w:tc>
          <w:tcPr>
            <w:tcW w:type="dxa" w:w="1661"/>
          </w:tcPr>
          <w:p>
            <w:pPr>
              <w:pStyle w:val="null3"/>
            </w:pPr>
            <w:r>
              <w:rPr/>
              <w:t>履约能力3</w:t>
            </w:r>
          </w:p>
        </w:tc>
        <w:tc>
          <w:tcPr>
            <w:tcW w:type="dxa" w:w="2492"/>
          </w:tcPr>
          <w:p>
            <w:pPr>
              <w:pStyle w:val="null3"/>
            </w:pPr>
            <w:r>
              <w:rPr/>
              <w:t>供应商针对本项目提供运输工具、打包搬运设备、相应的劳保用品，制定搬运人员的安全防护措施。工具设备齐全，能够完全满足项目需求，证明材料完整计6-3.1分，工具设备不齐全计3-0.1分，未提供不计分。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履约能力</w:t>
            </w:r>
          </w:p>
        </w:tc>
      </w:tr>
      <w:tr>
        <w:tc>
          <w:tcPr>
            <w:tcW w:type="dxa" w:w="831"/>
            <w:vMerge/>
          </w:tcPr>
          <w:p/>
        </w:tc>
        <w:tc>
          <w:tcPr>
            <w:tcW w:type="dxa" w:w="1661"/>
          </w:tcPr>
          <w:p>
            <w:pPr>
              <w:pStyle w:val="null3"/>
            </w:pPr>
            <w:r>
              <w:rPr/>
              <w:t>质量保证方案</w:t>
            </w:r>
          </w:p>
        </w:tc>
        <w:tc>
          <w:tcPr>
            <w:tcW w:type="dxa" w:w="2492"/>
          </w:tcPr>
          <w:p>
            <w:pPr>
              <w:pStyle w:val="null3"/>
            </w:pPr>
            <w:r>
              <w:rPr/>
              <w:t>有确保本项目服务质量的技术组织措施及质量保障体系、完善的内部管理架构、工作流程、考核制度等。 ①内容详细全面、合理可行，计12-6.1分； ②内容有1-3项缺漏，描述简单或只有概述，没有具体措施及制度的计6-0.1分； ③未提供不计分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质量保证方案</w:t>
            </w:r>
          </w:p>
        </w:tc>
      </w:tr>
      <w:tr>
        <w:tc>
          <w:tcPr>
            <w:tcW w:type="dxa" w:w="831"/>
            <w:vMerge/>
          </w:tcPr>
          <w:p/>
        </w:tc>
        <w:tc>
          <w:tcPr>
            <w:tcW w:type="dxa" w:w="1661"/>
          </w:tcPr>
          <w:p>
            <w:pPr>
              <w:pStyle w:val="null3"/>
            </w:pPr>
            <w:r>
              <w:rPr/>
              <w:t>业绩</w:t>
            </w:r>
          </w:p>
        </w:tc>
        <w:tc>
          <w:tcPr>
            <w:tcW w:type="dxa" w:w="2492"/>
          </w:tcPr>
          <w:p>
            <w:pPr>
              <w:pStyle w:val="null3"/>
            </w:pPr>
            <w:r>
              <w:rPr/>
              <w:t>以合同形式提供供应商2021年01月至今（以合同落款时间为准）同类项目业绩，每份计2分，计满10分为止。</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服务承诺1</w:t>
            </w:r>
          </w:p>
        </w:tc>
        <w:tc>
          <w:tcPr>
            <w:tcW w:type="dxa" w:w="2492"/>
          </w:tcPr>
          <w:p>
            <w:pPr>
              <w:pStyle w:val="null3"/>
            </w:pPr>
            <w:r>
              <w:rPr/>
              <w:t>供应商针对搬迁过程中，出现损坏、遗失等无法正常使用的情况提供解决方案及承诺。方案及承诺合理、可行计6-3.1分；方案内容描述简单或只有概述，没有具体实施办法的计3-0.1分，未提供不计分。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服务承诺</w:t>
            </w:r>
          </w:p>
        </w:tc>
      </w:tr>
      <w:tr>
        <w:tc>
          <w:tcPr>
            <w:tcW w:type="dxa" w:w="831"/>
            <w:vMerge/>
          </w:tcPr>
          <w:p/>
        </w:tc>
        <w:tc>
          <w:tcPr>
            <w:tcW w:type="dxa" w:w="1661"/>
          </w:tcPr>
          <w:p>
            <w:pPr>
              <w:pStyle w:val="null3"/>
            </w:pPr>
            <w:r>
              <w:rPr/>
              <w:t>服务承诺2</w:t>
            </w:r>
          </w:p>
        </w:tc>
        <w:tc>
          <w:tcPr>
            <w:tcW w:type="dxa" w:w="2492"/>
          </w:tcPr>
          <w:p>
            <w:pPr>
              <w:pStyle w:val="null3"/>
            </w:pPr>
            <w:r>
              <w:rPr/>
              <w:t>针对本项目提供合理化建议，保密承诺及保密措施、根据是否贴合项目实际、有利于项目实施计3-0.1分，未提供不计分。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服务承诺</w:t>
            </w:r>
          </w:p>
        </w:tc>
      </w:tr>
      <w:tr>
        <w:tc>
          <w:tcPr>
            <w:tcW w:type="dxa" w:w="831"/>
            <w:vMerge/>
          </w:tcPr>
          <w:p/>
        </w:tc>
        <w:tc>
          <w:tcPr>
            <w:tcW w:type="dxa" w:w="1661"/>
          </w:tcPr>
          <w:p>
            <w:pPr>
              <w:pStyle w:val="null3"/>
            </w:pPr>
            <w:r>
              <w:rPr/>
              <w:t>服务承诺3</w:t>
            </w:r>
          </w:p>
        </w:tc>
        <w:tc>
          <w:tcPr>
            <w:tcW w:type="dxa" w:w="2492"/>
          </w:tcPr>
          <w:p>
            <w:pPr>
              <w:pStyle w:val="null3"/>
            </w:pPr>
            <w:r>
              <w:rPr/>
              <w:t>由搬运、运输引起的工伤、意外伤害及相关的安全事故；造成遗失、损坏现象，由供应商负责并进行赔偿，采购人不承担任何责任。根据承诺的响应程度计3-0.1分，未提供不计分。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服务承诺</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磋商报价得分=（磋商基准价/最终磋商报价）×价格权值（即10%）×100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商务响应</w:t>
            </w:r>
          </w:p>
        </w:tc>
        <w:tc>
          <w:tcPr>
            <w:tcW w:type="dxa" w:w="2492"/>
          </w:tcPr>
          <w:p>
            <w:pPr>
              <w:pStyle w:val="null3"/>
            </w:pPr>
            <w:r>
              <w:rPr/>
              <w:t>磋商响应文件对交货期、质保期、付款方式、验收等商务要求进行详细说明，完全响应磋商文件的计2分。服务期优于磋商文件要求的最多加1分。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商务条款响应偏离表（格式）</w:t>
            </w:r>
          </w:p>
        </w:tc>
      </w:tr>
      <w:tr>
        <w:tc>
          <w:tcPr>
            <w:tcW w:type="dxa" w:w="831"/>
            <w:vMerge/>
          </w:tcPr>
          <w:p/>
        </w:tc>
        <w:tc>
          <w:tcPr>
            <w:tcW w:type="dxa" w:w="1661"/>
          </w:tcPr>
          <w:p>
            <w:pPr>
              <w:pStyle w:val="null3"/>
            </w:pPr>
            <w:r>
              <w:rPr/>
              <w:t>服务方案1</w:t>
            </w:r>
          </w:p>
        </w:tc>
        <w:tc>
          <w:tcPr>
            <w:tcW w:type="dxa" w:w="2492"/>
          </w:tcPr>
          <w:p>
            <w:pPr>
              <w:pStyle w:val="null3"/>
            </w:pPr>
            <w:r>
              <w:rPr/>
              <w:t>前期准备方案： 方案科学合理，操作规范，对项目建设背景、系统建设目标理解充分，满足采购人对设备搬迁及集成整合的要求，网络拓扑清晰贴合搬迁实际情况，方案全面详细且完整计7-3.1分，方案内容描述简单或只有概述，没有具体实施办法的计3-0.1分，未提供不计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服务方案2</w:t>
            </w:r>
          </w:p>
        </w:tc>
        <w:tc>
          <w:tcPr>
            <w:tcW w:type="dxa" w:w="2492"/>
          </w:tcPr>
          <w:p>
            <w:pPr>
              <w:pStyle w:val="null3"/>
            </w:pPr>
            <w:r>
              <w:rPr/>
              <w:t>拆卸打包方案： 机房及网络设备、台式计算机、会议室设备、电子大屏等设备的拆卸打包科学合理，操作规范，贴合搬迁实际情况，充分考虑不同品类搬迁物品的差异性，并提供针对性打包材料及方案，提供有效防护计10-5.1分，方案内容描述简单或只有概述，没有具体实施办法的计 5-0.1分，未提供不计分。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服务方案3</w:t>
            </w:r>
          </w:p>
        </w:tc>
        <w:tc>
          <w:tcPr>
            <w:tcW w:type="dxa" w:w="2492"/>
          </w:tcPr>
          <w:p>
            <w:pPr>
              <w:pStyle w:val="null3"/>
            </w:pPr>
            <w:r>
              <w:rPr/>
              <w:t>运输方案： 方案科学合理，操作规范，贴合搬迁实际情况，实现闭环运输，方案可行性强、内容全面计6-3.1分，方案内容描述简单或只有概述，没有具体实施办法的计3-0.1分，未提供不计分。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服务方案4</w:t>
            </w:r>
          </w:p>
        </w:tc>
        <w:tc>
          <w:tcPr>
            <w:tcW w:type="dxa" w:w="2492"/>
          </w:tcPr>
          <w:p>
            <w:pPr>
              <w:pStyle w:val="null3"/>
            </w:pPr>
            <w:r>
              <w:rPr/>
              <w:t>盘点方案： 方案科学合理，操作规范，贴合搬迁实际情况，统计梳理各类设备清晰全面计10-5.1分，方案内容描述简单或只有概述，没有具体实施办法的计5-0.1分，未提供不计分。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服务方案5</w:t>
            </w:r>
          </w:p>
        </w:tc>
        <w:tc>
          <w:tcPr>
            <w:tcW w:type="dxa" w:w="2492"/>
          </w:tcPr>
          <w:p>
            <w:pPr>
              <w:pStyle w:val="null3"/>
            </w:pPr>
            <w:r>
              <w:rPr/>
              <w:t>打扫方案： 方案科学合理，操作规范，贴合实际情况，对搬迁过程中服务商产生的各种废弃物进行清理，提供有针对性方案，确保清理打扫彻底计5-3.1分，清理方案未充分考虑实际情况，内容描述简单，没有具体实施办法的计3-0.1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服务方案6</w:t>
            </w:r>
          </w:p>
        </w:tc>
        <w:tc>
          <w:tcPr>
            <w:tcW w:type="dxa" w:w="2492"/>
          </w:tcPr>
          <w:p>
            <w:pPr>
              <w:pStyle w:val="null3"/>
            </w:pPr>
            <w:r>
              <w:rPr/>
              <w:t>软硬件安装调试方案： 信息化搬迁所涉及的所有软件及硬件设备安装调试方案科学合理，操作规范，贴合搬迁实际情况，能够满足采购人新场地的需求，清晰全面计6-3.1分，方案内容描述简单或只有概述，没有具体实施办法的计3-0.1分，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履约能力1</w:t>
            </w:r>
          </w:p>
        </w:tc>
        <w:tc>
          <w:tcPr>
            <w:tcW w:type="dxa" w:w="2492"/>
          </w:tcPr>
          <w:p>
            <w:pPr>
              <w:pStyle w:val="null3"/>
            </w:pPr>
            <w:r>
              <w:rPr/>
              <w:t>供应商针对本项目有专职管理人员，负责与采购人对接，按照要求进行相关搬运服务，对搬运工作进行指挥、监督并协调车辆安排，发现问题要及时采取措施进行处理，并告知采购人。专职管理人员针对上述情况提供管理方案并提供相关案例，实施方案合理可行、全面得3-2.1分；方案欠缺1项以上且不完善得2-0.1分，未提供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履约能力</w:t>
            </w:r>
          </w:p>
        </w:tc>
      </w:tr>
      <w:tr>
        <w:tc>
          <w:tcPr>
            <w:tcW w:type="dxa" w:w="831"/>
            <w:vMerge/>
          </w:tcPr>
          <w:p/>
        </w:tc>
        <w:tc>
          <w:tcPr>
            <w:tcW w:type="dxa" w:w="1661"/>
          </w:tcPr>
          <w:p>
            <w:pPr>
              <w:pStyle w:val="null3"/>
            </w:pPr>
            <w:r>
              <w:rPr/>
              <w:t>履约能力2</w:t>
            </w:r>
          </w:p>
        </w:tc>
        <w:tc>
          <w:tcPr>
            <w:tcW w:type="dxa" w:w="2492"/>
          </w:tcPr>
          <w:p>
            <w:pPr>
              <w:pStyle w:val="null3"/>
            </w:pPr>
            <w:r>
              <w:rPr/>
              <w:t>供应商针对本项目有整体团队人员，包括但不限于搬运、拆装及司机等人员。对人员信息、履历、相关资质及经验能提供相关证明材料。人员安排合理，岗位责任划分明确，证明材料完整计4-2.1分，人员计划安排欠缺1项以上且不完善的计2-0.1，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履约能力3</w:t>
            </w:r>
          </w:p>
        </w:tc>
        <w:tc>
          <w:tcPr>
            <w:tcW w:type="dxa" w:w="2492"/>
          </w:tcPr>
          <w:p>
            <w:pPr>
              <w:pStyle w:val="null3"/>
            </w:pPr>
            <w:r>
              <w:rPr/>
              <w:t>供应商针对本项目提供运输工具、打包搬运设备、相应的劳保用品，制定搬运人员的安全防护措施。工具设备齐全，能够完全满足项目需求，证明材料完整计4-2.1分，工具设备不齐全计2-0.1分，未提供不计分。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履约能力</w:t>
            </w:r>
          </w:p>
        </w:tc>
      </w:tr>
      <w:tr>
        <w:tc>
          <w:tcPr>
            <w:tcW w:type="dxa" w:w="831"/>
            <w:vMerge/>
          </w:tcPr>
          <w:p/>
        </w:tc>
        <w:tc>
          <w:tcPr>
            <w:tcW w:type="dxa" w:w="1661"/>
          </w:tcPr>
          <w:p>
            <w:pPr>
              <w:pStyle w:val="null3"/>
            </w:pPr>
            <w:r>
              <w:rPr/>
              <w:t>质量保证方案</w:t>
            </w:r>
          </w:p>
        </w:tc>
        <w:tc>
          <w:tcPr>
            <w:tcW w:type="dxa" w:w="2492"/>
          </w:tcPr>
          <w:p>
            <w:pPr>
              <w:pStyle w:val="null3"/>
            </w:pPr>
            <w:r>
              <w:rPr/>
              <w:t>有确保本项目服务质量的技术组织措施及质量保障体系、完善的内部管理架构、工作流程、考核制度等。 ①内容详细全面、合理可行，计10-5.1分； ②内容有1-3项缺漏，描述简单或只有概述，没有具体措施及制度的计5-0.1分； ③未提供不计分。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质量保证方案</w:t>
            </w:r>
          </w:p>
        </w:tc>
      </w:tr>
      <w:tr>
        <w:tc>
          <w:tcPr>
            <w:tcW w:type="dxa" w:w="831"/>
            <w:vMerge/>
          </w:tcPr>
          <w:p/>
        </w:tc>
        <w:tc>
          <w:tcPr>
            <w:tcW w:type="dxa" w:w="1661"/>
          </w:tcPr>
          <w:p>
            <w:pPr>
              <w:pStyle w:val="null3"/>
            </w:pPr>
            <w:r>
              <w:rPr/>
              <w:t>业绩</w:t>
            </w:r>
          </w:p>
        </w:tc>
        <w:tc>
          <w:tcPr>
            <w:tcW w:type="dxa" w:w="2492"/>
          </w:tcPr>
          <w:p>
            <w:pPr>
              <w:pStyle w:val="null3"/>
            </w:pPr>
            <w:r>
              <w:rPr/>
              <w:t>以合同形式提供供应商2021年01月至今（以合同落款时间为准）同类项目业绩，每份计2分，计满10分为止。</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服务承诺1</w:t>
            </w:r>
          </w:p>
        </w:tc>
        <w:tc>
          <w:tcPr>
            <w:tcW w:type="dxa" w:w="2492"/>
          </w:tcPr>
          <w:p>
            <w:pPr>
              <w:pStyle w:val="null3"/>
            </w:pPr>
            <w:r>
              <w:rPr/>
              <w:t>供应商针对搬迁过程中，出现损坏、遗失等无法正常使用的情况提供解决方案及承诺。方案及承诺合理、可行计6-3.1分；方案内容描述简单或只有概述，没有具体实施办法的计3-0.1分，未提供不计分。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服务承诺</w:t>
            </w:r>
          </w:p>
        </w:tc>
      </w:tr>
      <w:tr>
        <w:tc>
          <w:tcPr>
            <w:tcW w:type="dxa" w:w="831"/>
            <w:vMerge/>
          </w:tcPr>
          <w:p/>
        </w:tc>
        <w:tc>
          <w:tcPr>
            <w:tcW w:type="dxa" w:w="1661"/>
          </w:tcPr>
          <w:p>
            <w:pPr>
              <w:pStyle w:val="null3"/>
            </w:pPr>
            <w:r>
              <w:rPr/>
              <w:t>服务承诺2</w:t>
            </w:r>
          </w:p>
        </w:tc>
        <w:tc>
          <w:tcPr>
            <w:tcW w:type="dxa" w:w="2492"/>
          </w:tcPr>
          <w:p>
            <w:pPr>
              <w:pStyle w:val="null3"/>
            </w:pPr>
            <w:r>
              <w:rPr/>
              <w:t>针对本项目提供合理化建议，保密承诺及保密措施、根据是否贴合项目实际、有利于项目实施计3-0.1分，未提供不计分。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服务承诺</w:t>
            </w:r>
          </w:p>
        </w:tc>
      </w:tr>
      <w:tr>
        <w:tc>
          <w:tcPr>
            <w:tcW w:type="dxa" w:w="831"/>
            <w:vMerge/>
          </w:tcPr>
          <w:p/>
        </w:tc>
        <w:tc>
          <w:tcPr>
            <w:tcW w:type="dxa" w:w="1661"/>
          </w:tcPr>
          <w:p>
            <w:pPr>
              <w:pStyle w:val="null3"/>
            </w:pPr>
            <w:r>
              <w:rPr/>
              <w:t>服务承诺3</w:t>
            </w:r>
          </w:p>
        </w:tc>
        <w:tc>
          <w:tcPr>
            <w:tcW w:type="dxa" w:w="2492"/>
          </w:tcPr>
          <w:p>
            <w:pPr>
              <w:pStyle w:val="null3"/>
            </w:pPr>
            <w:r>
              <w:rPr/>
              <w:t>由搬运、运输引起的工伤、意外伤害及相关的安全事故；造成遗失、损坏现象，由供应商负责并进行赔偿，采购人不承担任何责任。根据承诺的响应程度计3-0.1分，未提供不计分。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服务承诺</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磋商报价得分=（磋商基准价/最终磋商报价）×价格权值（即10%）×100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详见附件：商务条款响应偏离表（格式）</w:t>
      </w:r>
    </w:p>
    <w:p>
      <w:pPr>
        <w:pStyle w:val="null3"/>
        <w:ind w:firstLine="960"/>
      </w:pPr>
      <w:r>
        <w:rPr/>
        <w:t>详见附件：服务响应偏离表（格式）</w:t>
      </w:r>
    </w:p>
    <w:p>
      <w:pPr>
        <w:pStyle w:val="null3"/>
        <w:ind w:firstLine="960"/>
      </w:pPr>
      <w:r>
        <w:rPr/>
        <w:t>详见附件：法定代表人授权委托书（格式）</w:t>
      </w:r>
    </w:p>
    <w:p>
      <w:pPr>
        <w:pStyle w:val="null3"/>
        <w:ind w:firstLine="960"/>
      </w:pPr>
      <w:r>
        <w:rPr/>
        <w:t>详见附件：资格要求</w:t>
      </w:r>
    </w:p>
    <w:p>
      <w:pPr>
        <w:pStyle w:val="null3"/>
        <w:ind w:firstLine="960"/>
      </w:pPr>
      <w:r>
        <w:rPr/>
        <w:t>详见附件：服务方案</w:t>
      </w:r>
    </w:p>
    <w:p>
      <w:pPr>
        <w:pStyle w:val="null3"/>
        <w:ind w:firstLine="960"/>
      </w:pPr>
      <w:r>
        <w:rPr/>
        <w:t>详见附件：履约能力</w:t>
      </w:r>
    </w:p>
    <w:p>
      <w:pPr>
        <w:pStyle w:val="null3"/>
        <w:ind w:firstLine="960"/>
      </w:pPr>
      <w:r>
        <w:rPr/>
        <w:t>详见附件：质量保证方案</w:t>
      </w:r>
    </w:p>
    <w:p>
      <w:pPr>
        <w:pStyle w:val="null3"/>
        <w:ind w:firstLine="960"/>
      </w:pPr>
      <w:r>
        <w:rPr/>
        <w:t>详见附件：业绩</w:t>
      </w:r>
    </w:p>
    <w:p>
      <w:pPr>
        <w:pStyle w:val="null3"/>
        <w:ind w:firstLine="960"/>
      </w:pPr>
      <w:r>
        <w:rPr/>
        <w:t>详见附件：服务承诺</w:t>
      </w:r>
    </w:p>
    <w:p>
      <w:pPr>
        <w:pStyle w:val="null3"/>
        <w:ind w:firstLine="960"/>
      </w:pPr>
      <w:r>
        <w:rPr/>
        <w:t>详见附件：供应商认为有必要说明的事宜（若有）</w:t>
      </w:r>
    </w:p>
    <w:p>
      <w:pPr>
        <w:pStyle w:val="null3"/>
        <w:ind w:firstLine="960"/>
      </w:pPr>
      <w:r>
        <w:rPr/>
        <w:t>详见附件：《拒绝政府采购领域商业贿赂承诺书》（格式）</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详见附件：商务条款响应偏离表（格式）</w:t>
      </w:r>
    </w:p>
    <w:p>
      <w:pPr>
        <w:pStyle w:val="null3"/>
        <w:ind w:firstLine="960"/>
      </w:pPr>
      <w:r>
        <w:rPr/>
        <w:t>详见附件：服务响应偏离表（格式）</w:t>
      </w:r>
    </w:p>
    <w:p>
      <w:pPr>
        <w:pStyle w:val="null3"/>
        <w:ind w:firstLine="960"/>
      </w:pPr>
      <w:r>
        <w:rPr/>
        <w:t>详见附件：法定代表人授权委托书（格式）</w:t>
      </w:r>
    </w:p>
    <w:p>
      <w:pPr>
        <w:pStyle w:val="null3"/>
        <w:ind w:firstLine="960"/>
      </w:pPr>
      <w:r>
        <w:rPr/>
        <w:t>详见附件：资格要求</w:t>
      </w:r>
    </w:p>
    <w:p>
      <w:pPr>
        <w:pStyle w:val="null3"/>
        <w:ind w:firstLine="960"/>
      </w:pPr>
      <w:r>
        <w:rPr/>
        <w:t>详见附件：服务方案</w:t>
      </w:r>
    </w:p>
    <w:p>
      <w:pPr>
        <w:pStyle w:val="null3"/>
        <w:ind w:firstLine="960"/>
      </w:pPr>
      <w:r>
        <w:rPr/>
        <w:t>详见附件：履约能力</w:t>
      </w:r>
    </w:p>
    <w:p>
      <w:pPr>
        <w:pStyle w:val="null3"/>
        <w:ind w:firstLine="960"/>
      </w:pPr>
      <w:r>
        <w:rPr/>
        <w:t>详见附件：质量保证方案</w:t>
      </w:r>
    </w:p>
    <w:p>
      <w:pPr>
        <w:pStyle w:val="null3"/>
        <w:ind w:firstLine="960"/>
      </w:pPr>
      <w:r>
        <w:rPr/>
        <w:t>详见附件：业绩</w:t>
      </w:r>
    </w:p>
    <w:p>
      <w:pPr>
        <w:pStyle w:val="null3"/>
        <w:ind w:firstLine="960"/>
      </w:pPr>
      <w:r>
        <w:rPr/>
        <w:t>详见附件：服务承诺</w:t>
      </w:r>
    </w:p>
    <w:p>
      <w:pPr>
        <w:pStyle w:val="null3"/>
        <w:ind w:firstLine="960"/>
      </w:pPr>
      <w:r>
        <w:rPr/>
        <w:t>详见附件：供应商认为有必要说明的事宜（若有）</w:t>
      </w:r>
    </w:p>
    <w:p>
      <w:pPr>
        <w:pStyle w:val="null3"/>
        <w:ind w:firstLine="960"/>
      </w:pPr>
      <w:r>
        <w:rPr/>
        <w:t>详见附件：《拒绝政府采购领域商业贿赂承诺书》（格式）</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详见附件：商务条款响应偏离表（格式）</w:t>
      </w:r>
    </w:p>
    <w:p>
      <w:pPr>
        <w:pStyle w:val="null3"/>
        <w:ind w:firstLine="960"/>
      </w:pPr>
      <w:r>
        <w:rPr/>
        <w:t>详见附件：服务响应偏离表（格式）</w:t>
      </w:r>
    </w:p>
    <w:p>
      <w:pPr>
        <w:pStyle w:val="null3"/>
        <w:ind w:firstLine="960"/>
      </w:pPr>
      <w:r>
        <w:rPr/>
        <w:t>详见附件：法定代表人授权委托书（格式）</w:t>
      </w:r>
    </w:p>
    <w:p>
      <w:pPr>
        <w:pStyle w:val="null3"/>
        <w:ind w:firstLine="960"/>
      </w:pPr>
      <w:r>
        <w:rPr/>
        <w:t>详见附件：资格要求</w:t>
      </w:r>
    </w:p>
    <w:p>
      <w:pPr>
        <w:pStyle w:val="null3"/>
        <w:ind w:firstLine="960"/>
      </w:pPr>
      <w:r>
        <w:rPr/>
        <w:t>详见附件：服务方案</w:t>
      </w:r>
    </w:p>
    <w:p>
      <w:pPr>
        <w:pStyle w:val="null3"/>
        <w:ind w:firstLine="960"/>
      </w:pPr>
      <w:r>
        <w:rPr/>
        <w:t>详见附件：履约能力</w:t>
      </w:r>
    </w:p>
    <w:p>
      <w:pPr>
        <w:pStyle w:val="null3"/>
        <w:ind w:firstLine="960"/>
      </w:pPr>
      <w:r>
        <w:rPr/>
        <w:t>详见附件：质量保证方案</w:t>
      </w:r>
    </w:p>
    <w:p>
      <w:pPr>
        <w:pStyle w:val="null3"/>
        <w:ind w:firstLine="960"/>
      </w:pPr>
      <w:r>
        <w:rPr/>
        <w:t>详见附件：业绩</w:t>
      </w:r>
    </w:p>
    <w:p>
      <w:pPr>
        <w:pStyle w:val="null3"/>
        <w:ind w:firstLine="960"/>
      </w:pPr>
      <w:r>
        <w:rPr/>
        <w:t>详见附件：服务承诺</w:t>
      </w:r>
    </w:p>
    <w:p>
      <w:pPr>
        <w:pStyle w:val="null3"/>
        <w:ind w:firstLine="960"/>
      </w:pPr>
      <w:r>
        <w:rPr/>
        <w:t>详见附件：供应商认为有必要说明的事宜（若有）</w:t>
      </w:r>
    </w:p>
    <w:p>
      <w:pPr>
        <w:pStyle w:val="null3"/>
        <w:ind w:firstLine="960"/>
      </w:pPr>
      <w:r>
        <w:rPr/>
        <w:t>详见附件：《拒绝政府采购领域商业贿赂承诺书》（格式）</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