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br/>
      </w:r>
      <w:r>
        <w:br/>
      </w:r>
      <w:r>
        <w:br/>
      </w:r>
      <w:r>
        <w:br/>
      </w:r>
      <w:r>
        <w:br/>
      </w:r>
    </w:p>
    <w:p>
      <w:pPr>
        <w:pStyle w:val="null3"/>
        <w:jc w:val="center"/>
        <w:outlineLvl w:val="0"/>
      </w:pPr>
      <w:r>
        <w:rPr>
          <w:b/>
          <w:sz w:val="48"/>
        </w:rPr>
        <w:t>磋 商 文 件</w:t>
      </w:r>
      <w:r>
        <w:br/>
      </w:r>
      <w:r>
        <w:br/>
      </w:r>
      <w:r>
        <w:br/>
      </w:r>
    </w:p>
    <w:p>
      <w:pPr>
        <w:pStyle w:val="null3"/>
        <w:jc w:val="center"/>
        <w:outlineLvl w:val="1"/>
      </w:pPr>
      <w:r>
        <w:rPr>
          <w:b/>
          <w:sz w:val="36"/>
        </w:rPr>
        <w:t>（工程类）</w:t>
      </w:r>
      <w:r>
        <w:br/>
      </w:r>
      <w:r>
        <w:br/>
      </w:r>
      <w:r>
        <w:br/>
      </w:r>
      <w:r>
        <w:br/>
      </w:r>
      <w:r>
        <w:br/>
      </w:r>
      <w:r>
        <w:br/>
      </w:r>
      <w:r>
        <w:br/>
      </w:r>
      <w:r>
        <w:br/>
      </w:r>
      <w:r>
        <w:br/>
      </w:r>
      <w:r>
        <w:br/>
      </w:r>
      <w:r>
        <w:br/>
      </w:r>
    </w:p>
    <w:p>
      <w:pPr>
        <w:pStyle w:val="null3"/>
        <w:jc w:val="center"/>
        <w:outlineLvl w:val="2"/>
      </w:pPr>
      <w:r>
        <w:rPr>
          <w:b/>
          <w:sz w:val="28"/>
        </w:rPr>
        <w:t>采购项目名称：</w:t>
      </w:r>
      <w:r>
        <w:rPr>
          <w:b/>
          <w:sz w:val="28"/>
        </w:rPr>
        <w:t>临潼校区篮球场改造项目</w:t>
      </w:r>
    </w:p>
    <w:p>
      <w:pPr>
        <w:pStyle w:val="null3"/>
        <w:jc w:val="center"/>
        <w:outlineLvl w:val="2"/>
      </w:pPr>
      <w:r>
        <w:rPr>
          <w:b/>
          <w:sz w:val="28"/>
        </w:rPr>
        <w:t>采购项目编号：</w:t>
      </w:r>
      <w:r>
        <w:rPr>
          <w:b/>
          <w:sz w:val="28"/>
        </w:rPr>
        <w:t>ZX2024-04-27</w:t>
      </w:r>
      <w:r>
        <w:br/>
      </w:r>
      <w:r>
        <w:br/>
      </w:r>
      <w:r>
        <w:br/>
      </w:r>
    </w:p>
    <w:p>
      <w:pPr>
        <w:pStyle w:val="null3"/>
        <w:jc w:val="center"/>
        <w:outlineLvl w:val="2"/>
      </w:pPr>
      <w:r>
        <w:rPr>
          <w:b/>
          <w:sz w:val="28"/>
        </w:rPr>
        <w:t>西安科技大学</w:t>
      </w:r>
    </w:p>
    <w:p>
      <w:pPr>
        <w:pStyle w:val="null3"/>
        <w:jc w:val="center"/>
        <w:outlineLvl w:val="2"/>
      </w:pPr>
      <w:r>
        <w:rPr>
          <w:b/>
          <w:sz w:val="28"/>
        </w:rPr>
        <w:t>陕西正信招标有限公司</w:t>
      </w:r>
      <w:r>
        <w:rPr>
          <w:b/>
          <w:sz w:val="28"/>
        </w:rPr>
        <w:t>共同编制</w:t>
      </w:r>
    </w:p>
    <w:p>
      <w:pPr>
        <w:pStyle w:val="null3"/>
        <w:jc w:val="center"/>
        <w:outlineLvl w:val="2"/>
      </w:pPr>
      <w:r>
        <w:rPr>
          <w:b/>
          <w:sz w:val="28"/>
        </w:rPr>
        <w:t>2024年04月25日</w:t>
      </w:r>
    </w:p>
    <w:p>
      <w:pPr>
        <w:pStyle w:val="null3"/>
      </w:pPr>
      <w:r>
        <w:rPr/>
        <w:t xml:space="preserve"> </w:t>
        <w:br/>
        <w:br w:type="page"/>
      </w:r>
    </w:p>
    <w:p>
      <w:pPr>
        <w:pStyle w:val="null3"/>
        <w:jc w:val="center"/>
        <w:outlineLvl w:val="1"/>
      </w:pPr>
      <w:r>
        <w:rPr>
          <w:b/>
          <w:sz w:val="36"/>
        </w:rPr>
        <w:t>第一章 竞争性磋商邀请</w:t>
      </w:r>
    </w:p>
    <w:p>
      <w:pPr>
        <w:pStyle w:val="null3"/>
        <w:ind w:firstLine="480"/>
      </w:pPr>
      <w:r>
        <w:rPr/>
        <w:t>陕西正信招标有限公司</w:t>
      </w:r>
      <w:r>
        <w:rPr/>
        <w:t>（以下简称“代理机构”）受</w:t>
      </w:r>
      <w:r>
        <w:rPr/>
        <w:t>西安科技大学</w:t>
      </w:r>
      <w:r>
        <w:rPr/>
        <w:t>委托，拟对</w:t>
      </w:r>
      <w:r>
        <w:rPr/>
        <w:t>临潼校区篮球场改造项目</w:t>
      </w:r>
      <w:r>
        <w:rPr/>
        <w:t>采用竞争性磋商采购方式进行采购，兹邀请供应商参加本项目的竞争性磋商。</w:t>
      </w:r>
    </w:p>
    <w:p>
      <w:pPr>
        <w:pStyle w:val="null3"/>
        <w:outlineLvl w:val="2"/>
      </w:pPr>
      <w:r>
        <w:rPr>
          <w:b/>
          <w:sz w:val="28"/>
        </w:rPr>
        <w:t>一、采购项目编号：</w:t>
      </w:r>
      <w:r>
        <w:rPr>
          <w:b/>
          <w:sz w:val="28"/>
        </w:rPr>
        <w:t>ZX2024-04-27</w:t>
      </w:r>
    </w:p>
    <w:p>
      <w:pPr>
        <w:pStyle w:val="null3"/>
        <w:outlineLvl w:val="2"/>
      </w:pPr>
      <w:r>
        <w:rPr>
          <w:b/>
          <w:sz w:val="28"/>
        </w:rPr>
        <w:t>二、采购项目名称：</w:t>
      </w:r>
      <w:r>
        <w:rPr>
          <w:b/>
          <w:sz w:val="28"/>
        </w:rPr>
        <w:t>临潼校区篮球场改造项目</w:t>
      </w:r>
    </w:p>
    <w:p>
      <w:pPr>
        <w:pStyle w:val="null3"/>
        <w:outlineLvl w:val="2"/>
      </w:pPr>
      <w:r>
        <w:rPr>
          <w:b/>
          <w:sz w:val="28"/>
        </w:rPr>
        <w:t>三、磋商项目简介</w:t>
      </w:r>
    </w:p>
    <w:p>
      <w:pPr>
        <w:pStyle w:val="null3"/>
        <w:ind w:firstLine="480"/>
      </w:pPr>
      <w:r>
        <w:rPr/>
        <w:t>西安科技大学临潼校区现有场地已不能满足日常教学及师生活动的需求，本次改造2个校园现有球场。改造内容：骊山校园16块篮球场和4块排球场，面积约11000平方米，秦汉校园4块篮球场，面积约2400平方米。铺设8毫米硅PU面层，含排水沟、篮球架、照明灯杆、道路区域沥青改色及卫生间维修等。预算300万元。</w:t>
      </w:r>
    </w:p>
    <w:p>
      <w:pPr>
        <w:pStyle w:val="null3"/>
        <w:outlineLvl w:val="2"/>
      </w:pPr>
      <w:r>
        <w:rPr>
          <w:b/>
          <w:sz w:val="28"/>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b/>
          <w:sz w:val="28"/>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采购包1（临潼校区篮球场改造）：属于专门面向中小企业采购。</w:t>
      </w:r>
    </w:p>
    <w:p>
      <w:pPr>
        <w:pStyle w:val="null3"/>
        <w:ind w:firstLine="480"/>
      </w:pPr>
      <w:r>
        <w:rPr/>
        <w:t>（三）本项目的特定资格要求：</w:t>
      </w:r>
    </w:p>
    <w:p>
      <w:pPr>
        <w:pStyle w:val="null3"/>
      </w:pPr>
      <w:r>
        <w:rPr/>
        <w:t>采购包1：</w:t>
      </w:r>
    </w:p>
    <w:p>
      <w:pPr>
        <w:pStyle w:val="null3"/>
      </w:pPr>
      <w:r>
        <w:rPr/>
        <w:t>1、法定代表人授权委托书：法定代表人授权委托书：法定代表人参加磋商的，须出示身份证；法定代表人授权他人参加磋商的，须提供法定代表人授权委托书、被授权人提交连续三个月（2024年1月-2024年3月）社会保障资金（养老保险或医疗保险）的缴纳证明及被授权人身份证。供应商需在项目电子化交易系统中按要求上传相应证明文件并进行电子签章。</w:t>
      </w:r>
    </w:p>
    <w:p>
      <w:pPr>
        <w:pStyle w:val="null3"/>
      </w:pPr>
      <w:r>
        <w:rPr/>
        <w:t>2、施工资质：供应商应具有建设行政主管部门核发的建筑工程施工总承包三级及以上或市政公用工程施工总承包三级及以上资质。供应商需在项目电子化交易系统中按要求上传相应证明文件并进行电子签章。</w:t>
      </w:r>
    </w:p>
    <w:p>
      <w:pPr>
        <w:pStyle w:val="null3"/>
      </w:pPr>
      <w:r>
        <w:rPr/>
        <w:t>3、施工资质：供应商应具有建设行政主管部门颁发的安全生产许可证。供应商需在项目电子化交易系统中按要求上传相应证明文件并进行电子签章。</w:t>
      </w:r>
    </w:p>
    <w:p>
      <w:pPr>
        <w:pStyle w:val="null3"/>
      </w:pPr>
      <w:r>
        <w:rPr/>
        <w:t>4、拟派项目负责人资质和专业要求：拟派项目经理须具备相关专业二级注册建造师资质，同时具有安全生产考核合格证（B证），提供无在建工程承诺。供应商需在项目电子化交易系统中按要求上传相应证明文件并进行电子签章。</w:t>
      </w:r>
    </w:p>
    <w:p>
      <w:pPr>
        <w:pStyle w:val="null3"/>
      </w:pPr>
      <w:r>
        <w:rPr/>
        <w:t>5、陕西省建筑市场一体化平台：省外企业须在陕西省建筑市场一体化平台（陕西建设网）企业库可查询。供应商需在项目电子化交易系统中按要求上传相应证明文件并进行电子签章。</w:t>
      </w:r>
    </w:p>
    <w:p>
      <w:pPr>
        <w:pStyle w:val="null3"/>
        <w:outlineLvl w:val="2"/>
      </w:pPr>
      <w:r>
        <w:rPr>
          <w:b/>
          <w:sz w:val="28"/>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服务专区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服务专区-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CA及签章服务：通过陕西省政府采购网-服务专区-CA及签章服务进行查询</w:t>
      </w:r>
    </w:p>
    <w:p>
      <w:pPr>
        <w:pStyle w:val="null3"/>
        <w:outlineLvl w:val="2"/>
      </w:pPr>
      <w:r>
        <w:rPr>
          <w:b/>
          <w:sz w:val="28"/>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t>注：获取的磋商文件主体格式包括pdf、word两种格式版本，其中以pdf格式为准。</w:t>
      </w:r>
    </w:p>
    <w:p>
      <w:pPr>
        <w:pStyle w:val="null3"/>
        <w:outlineLvl w:val="2"/>
      </w:pPr>
      <w:r>
        <w:rPr>
          <w:b/>
          <w:sz w:val="28"/>
        </w:rPr>
        <w:t>八、提交首次响应文件截止时间及开启时间、地点、方式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b/>
          <w:sz w:val="28"/>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b/>
          <w:sz w:val="28"/>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信用融资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b/>
          <w:sz w:val="28"/>
        </w:rPr>
        <w:t>十一、联系方式</w:t>
      </w:r>
    </w:p>
    <w:p>
      <w:pPr>
        <w:pStyle w:val="null3"/>
        <w:outlineLvl w:val="3"/>
      </w:pPr>
      <w:r>
        <w:rPr>
          <w:b/>
          <w:sz w:val="24"/>
        </w:rPr>
        <w:t xml:space="preserve">采购人： </w:t>
      </w:r>
      <w:r>
        <w:rPr>
          <w:b/>
          <w:sz w:val="24"/>
        </w:rPr>
        <w:t>西安科技大学</w:t>
      </w:r>
    </w:p>
    <w:p>
      <w:pPr>
        <w:pStyle w:val="null3"/>
      </w:pPr>
      <w:r>
        <w:rPr/>
        <w:t xml:space="preserve"> 地址： </w:t>
      </w:r>
      <w:r>
        <w:rPr/>
        <w:t>西安市雁塔路58号</w:t>
      </w:r>
    </w:p>
    <w:p>
      <w:pPr>
        <w:pStyle w:val="null3"/>
      </w:pPr>
      <w:r>
        <w:rPr/>
        <w:t xml:space="preserve"> 邮编： </w:t>
      </w:r>
      <w:r>
        <w:rPr/>
        <w:t>710000</w:t>
      </w:r>
    </w:p>
    <w:p>
      <w:pPr>
        <w:pStyle w:val="null3"/>
      </w:pPr>
      <w:r>
        <w:rPr/>
        <w:t xml:space="preserve"> 联系人： </w:t>
      </w:r>
      <w:r>
        <w:rPr/>
        <w:t>王老师</w:t>
      </w:r>
    </w:p>
    <w:p>
      <w:pPr>
        <w:pStyle w:val="null3"/>
      </w:pPr>
      <w:r>
        <w:rPr/>
        <w:t xml:space="preserve"> 联系电话： </w:t>
      </w:r>
      <w:r>
        <w:rPr/>
        <w:t xml:space="preserve"> 029-83858191</w:t>
      </w:r>
    </w:p>
    <w:p>
      <w:pPr>
        <w:pStyle w:val="null3"/>
        <w:outlineLvl w:val="3"/>
      </w:pPr>
      <w:r>
        <w:rPr>
          <w:b/>
          <w:sz w:val="24"/>
        </w:rPr>
        <w:t>代理机构：</w:t>
      </w:r>
      <w:r>
        <w:rPr>
          <w:b/>
          <w:sz w:val="24"/>
        </w:rPr>
        <w:t>陕西正信招标有限公司</w:t>
      </w:r>
    </w:p>
    <w:p>
      <w:pPr>
        <w:pStyle w:val="null3"/>
      </w:pPr>
      <w:r>
        <w:rPr/>
        <w:t xml:space="preserve"> 地址： </w:t>
      </w:r>
      <w:r>
        <w:rPr/>
        <w:t>陕西省西安市红缨路南口6号均明拍卖广场4层</w:t>
      </w:r>
    </w:p>
    <w:p>
      <w:pPr>
        <w:pStyle w:val="null3"/>
      </w:pPr>
      <w:r>
        <w:rPr/>
        <w:t xml:space="preserve"> 邮编： </w:t>
      </w:r>
      <w:r>
        <w:rPr/>
        <w:t>710000</w:t>
      </w:r>
    </w:p>
    <w:p>
      <w:pPr>
        <w:pStyle w:val="null3"/>
      </w:pPr>
      <w:r>
        <w:rPr/>
        <w:t xml:space="preserve"> 联系人： </w:t>
      </w:r>
      <w:r>
        <w:rPr/>
        <w:t>张爽 胡传伟 王宇轩 蔡丹 王琦</w:t>
      </w:r>
    </w:p>
    <w:p>
      <w:pPr>
        <w:pStyle w:val="null3"/>
      </w:pPr>
      <w:r>
        <w:rPr/>
        <w:t xml:space="preserve"> 联系电话： </w:t>
      </w:r>
      <w:r>
        <w:rPr/>
        <w:t>029-88411508转8023</w:t>
      </w:r>
    </w:p>
    <w:p>
      <w:pPr>
        <w:pStyle w:val="null3"/>
        <w:outlineLvl w:val="3"/>
      </w:pPr>
      <w:r>
        <w:rPr>
          <w:b/>
          <w:sz w:val="24"/>
        </w:rPr>
        <w:t>采购监督机构：</w:t>
      </w:r>
      <w:r>
        <w:rPr>
          <w:b/>
          <w:sz w:val="24"/>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b/>
          <w:sz w:val="36"/>
        </w:rPr>
        <w:t>第二章 供应商须知</w:t>
      </w:r>
    </w:p>
    <w:p>
      <w:pPr>
        <w:pStyle w:val="null3"/>
        <w:outlineLvl w:val="2"/>
      </w:pPr>
      <w:r>
        <w:rPr>
          <w:b/>
          <w:sz w:val="28"/>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采购包1：3,000,000.00元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 xml:space="preserve"> 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t>5</w:t>
            </w:r>
          </w:p>
        </w:tc>
        <w:tc>
          <w:tcPr>
            <w:tcW w:type="dxa" w:w="2252"/>
          </w:tcPr>
          <w:p>
            <w:pPr>
              <w:pStyle w:val="null3"/>
            </w:pPr>
            <w:r>
              <w:rPr/>
              <w:t>落实节能、环保、无线局域网认证产品政策</w:t>
            </w:r>
          </w:p>
        </w:tc>
        <w:tc>
          <w:tcPr>
            <w:tcW w:type="dxa" w:w="5004"/>
          </w:tcPr>
          <w:p>
            <w:pPr>
              <w:pStyle w:val="null3"/>
            </w:pPr>
            <w:r>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2.本项目采购</w:t>
            </w:r>
            <w:r>
              <w:rPr/>
              <w:t>无</w:t>
            </w:r>
            <w:r>
              <w:rPr/>
              <w:t>产品属于节能产品政府采购品目清单中应强制采购的产品范围，供应商应当按照第六章强制、优先采购产品承诺函格式进行承诺，否则作无效响应处理。</w:t>
            </w:r>
          </w:p>
          <w:p>
            <w:pPr>
              <w:pStyle w:val="null3"/>
            </w:pPr>
            <w:r>
              <w:rPr/>
              <w:t>3.本项目采购</w:t>
            </w:r>
            <w:r>
              <w:rPr/>
              <w:t>/</w:t>
            </w:r>
            <w:r>
              <w:rPr/>
              <w:t>产品属于节能产品政府采购品目清单中应优先采购的产品范围，本项目采购</w:t>
            </w:r>
            <w:r>
              <w:rPr/>
              <w:t>/</w:t>
            </w:r>
            <w:r>
              <w:rPr/>
              <w:t>产品属于环境标志产品政府采购品目清单中应优先采购的产品范围，供应商可根据第六章强制、优先采购产品承诺函格式要求承诺提供经认证的节能、环境标志产品。</w:t>
            </w:r>
          </w:p>
          <w:p>
            <w:pPr>
              <w:pStyle w:val="null3"/>
            </w:pPr>
            <w:r>
              <w:rPr/>
              <w:t>4.响应产品属于中国政府采购网公布的《无线局域网认证产品政府采购清单》且在有效期内的，按《财政部 国家发展改革委 信息产业部关于印发无线局域网产品政府采购实施意见的通知》（财库〔2005〕366号）要求优先采购。</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 （实质性要求）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采购包1保证金金额：59,004.27元</w:t>
            </w:r>
          </w:p>
          <w:p>
            <w:pPr>
              <w:pStyle w:val="null3"/>
            </w:pPr>
            <w:r>
              <w:rPr/>
              <w:t>缴交渠道：电子保函,转账、支票、汇票等（需通过实体账户、户名及开户行信息）</w:t>
            </w:r>
          </w:p>
          <w:p>
            <w:pPr>
              <w:pStyle w:val="null3"/>
            </w:pPr>
            <w:r>
              <w:rPr/>
              <w:t>开户名称：陕西正信招标有限公司（资金性质：保证金专用账户）</w:t>
            </w:r>
          </w:p>
          <w:p>
            <w:pPr>
              <w:pStyle w:val="null3"/>
            </w:pPr>
            <w:r>
              <w:rPr/>
              <w:t>开户银行：中国银行西安四府街支行</w:t>
            </w:r>
          </w:p>
          <w:p>
            <w:pPr>
              <w:pStyle w:val="null3"/>
            </w:pPr>
            <w:r>
              <w:rPr/>
              <w:t>银行账号：102500641590</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采购包1：缴纳</w:t>
            </w:r>
          </w:p>
          <w:p>
            <w:pPr>
              <w:pStyle w:val="null3"/>
            </w:pPr>
            <w:r>
              <w:rPr/>
              <w:t>本采购包履约保证金为合同金额的3.0%</w:t>
            </w:r>
          </w:p>
          <w:p>
            <w:pPr>
              <w:pStyle w:val="null3"/>
            </w:pPr>
            <w:r>
              <w:rPr/>
              <w:t>说明：供应商成交后凭成交通知书向采购人缴纳成交金额的3%作为履约保证金，项目验收合格后无息退还。</w:t>
            </w:r>
          </w:p>
        </w:tc>
      </w:tr>
      <w:tr>
        <w:tc>
          <w:tcPr>
            <w:tcW w:type="dxa" w:w="1051"/>
          </w:tcPr>
          <w:p>
            <w:pPr>
              <w:pStyle w:val="null3"/>
            </w:pPr>
            <w:r>
              <w:rPr/>
              <w:t>12</w:t>
            </w:r>
          </w:p>
        </w:tc>
        <w:tc>
          <w:tcPr>
            <w:tcW w:type="dxa" w:w="2252"/>
          </w:tcPr>
          <w:p>
            <w:pPr>
              <w:pStyle w:val="null3"/>
            </w:pPr>
            <w:r>
              <w:rPr/>
              <w:t>质量保证金</w:t>
            </w:r>
          </w:p>
        </w:tc>
        <w:tc>
          <w:tcPr>
            <w:tcW w:type="dxa" w:w="5004"/>
          </w:tcPr>
          <w:p>
            <w:pPr>
              <w:pStyle w:val="null3"/>
            </w:pPr>
            <w:r>
              <w:rPr/>
              <w:t>采购包1：缴纳</w:t>
            </w:r>
          </w:p>
          <w:p>
            <w:pPr>
              <w:pStyle w:val="null3"/>
            </w:pPr>
            <w:r>
              <w:rPr/>
              <w:t>质量保证金缴纳比例：</w:t>
            </w:r>
            <w:r>
              <w:rPr/>
              <w:t>3.0</w:t>
            </w:r>
            <w:r>
              <w:rPr/>
              <w:t>%</w:t>
            </w:r>
          </w:p>
          <w:p>
            <w:pPr>
              <w:pStyle w:val="null3"/>
            </w:pPr>
            <w:r>
              <w:rPr/>
              <w:t>缴纳方式：</w:t>
            </w:r>
            <w:r>
              <w:rPr/>
              <w:t>合同款中扣除</w:t>
            </w:r>
          </w:p>
        </w:tc>
      </w:tr>
      <w:tr>
        <w:tc>
          <w:tcPr>
            <w:tcW w:type="dxa" w:w="1051"/>
          </w:tcPr>
          <w:p>
            <w:pPr>
              <w:pStyle w:val="null3"/>
            </w:pPr>
            <w:r>
              <w:rPr/>
              <w:t>13</w:t>
            </w:r>
          </w:p>
        </w:tc>
        <w:tc>
          <w:tcPr>
            <w:tcW w:type="dxa" w:w="2252"/>
          </w:tcPr>
          <w:p>
            <w:pPr>
              <w:pStyle w:val="null3"/>
            </w:pPr>
            <w:r>
              <w:rPr/>
              <w:t>响应有效期（实质性要求）</w:t>
            </w:r>
          </w:p>
        </w:tc>
        <w:tc>
          <w:tcPr>
            <w:tcW w:type="dxa" w:w="5004"/>
          </w:tcPr>
          <w:p>
            <w:pPr>
              <w:pStyle w:val="null3"/>
            </w:pPr>
            <w:r>
              <w:rPr/>
              <w:t>从提交首次响应文件截止之日起，不少于</w:t>
            </w:r>
            <w:r>
              <w:rPr/>
              <w:t>90</w:t>
            </w:r>
            <w:r>
              <w:rPr/>
              <w:t>天。</w:t>
            </w:r>
          </w:p>
        </w:tc>
      </w:tr>
      <w:tr>
        <w:tc>
          <w:tcPr>
            <w:tcW w:type="dxa" w:w="1051"/>
          </w:tcPr>
          <w:p>
            <w:pPr>
              <w:pStyle w:val="null3"/>
            </w:pPr>
            <w:r>
              <w:rPr/>
              <w:t>14</w:t>
            </w:r>
          </w:p>
        </w:tc>
        <w:tc>
          <w:tcPr>
            <w:tcW w:type="dxa" w:w="2252"/>
          </w:tcPr>
          <w:p>
            <w:pPr>
              <w:pStyle w:val="null3"/>
            </w:pPr>
            <w:r>
              <w:rPr/>
              <w:t>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代理服务费收费标准：1、参照国家计委计价格[2002]1980号及发改办价格[2003]857号通知规定，按照成交金额服务费的77.5%计取，由成交供应商支付代理服务费。 2、支付方式：成交供应商应在领取通知书的同时，支付本项目代理服务费。收款账户如下： 收款单位：陕西正信招标有限公司 开户银行：中国银行股份有限公司西安四府街支行 银行账号：102460065607</w:t>
            </w:r>
          </w:p>
        </w:tc>
      </w:tr>
      <w:tr>
        <w:tc>
          <w:tcPr>
            <w:tcW w:type="dxa" w:w="1051"/>
          </w:tcPr>
          <w:p>
            <w:pPr>
              <w:pStyle w:val="null3"/>
            </w:pPr>
            <w:r>
              <w:rPr/>
              <w:t>15</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16</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17</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18</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19</w:t>
            </w:r>
          </w:p>
        </w:tc>
        <w:tc>
          <w:tcPr>
            <w:tcW w:type="dxa" w:w="2252"/>
          </w:tcPr>
          <w:p>
            <w:pPr>
              <w:pStyle w:val="null3"/>
            </w:pPr>
            <w:r>
              <w:rPr/>
              <w:t>是否组织潜在供应商现场考察</w:t>
            </w:r>
          </w:p>
        </w:tc>
        <w:tc>
          <w:tcPr>
            <w:tcW w:type="dxa" w:w="5004"/>
          </w:tcPr>
          <w:p>
            <w:pPr>
              <w:pStyle w:val="null3"/>
            </w:pPr>
            <w:r>
              <w:rPr/>
              <w:t>采购包1：组织现场踏勘：是</w:t>
            </w:r>
          </w:p>
          <w:p>
            <w:pPr>
              <w:pStyle w:val="null3"/>
              <w:ind w:firstLine="975"/>
            </w:pPr>
            <w:r>
              <w:rPr/>
              <w:t>踏勘时间：2024-05-08 09:30:00</w:t>
            </w:r>
          </w:p>
          <w:p>
            <w:pPr>
              <w:pStyle w:val="null3"/>
              <w:ind w:firstLine="975"/>
            </w:pPr>
            <w:r>
              <w:rPr/>
              <w:t>踏勘地点：骊山校园田径场西侧篮球场（过时不候）</w:t>
            </w:r>
          </w:p>
          <w:p>
            <w:pPr>
              <w:pStyle w:val="null3"/>
              <w:ind w:firstLine="975"/>
            </w:pPr>
            <w:r>
              <w:rPr/>
              <w:t>联系人：胡老师</w:t>
            </w:r>
          </w:p>
          <w:p>
            <w:pPr>
              <w:pStyle w:val="null3"/>
              <w:ind w:firstLine="975"/>
            </w:pPr>
            <w:r>
              <w:rPr/>
              <w:t>联系电话号码：18821682998</w:t>
            </w:r>
          </w:p>
        </w:tc>
      </w:tr>
      <w:tr>
        <w:tc>
          <w:tcPr>
            <w:tcW w:type="dxa" w:w="1051"/>
          </w:tcPr>
          <w:p>
            <w:pPr>
              <w:pStyle w:val="null3"/>
            </w:pPr>
            <w:r>
              <w:rPr/>
              <w:t>20</w:t>
            </w:r>
          </w:p>
        </w:tc>
        <w:tc>
          <w:tcPr>
            <w:tcW w:type="dxa" w:w="2252"/>
          </w:tcPr>
          <w:p>
            <w:pPr>
              <w:pStyle w:val="null3"/>
            </w:pPr>
            <w:r>
              <w:rPr/>
              <w:t>特殊情况</w:t>
            </w:r>
          </w:p>
        </w:tc>
        <w:tc>
          <w:tcPr>
            <w:tcW w:type="dxa" w:w="5004"/>
          </w:tcPr>
          <w:p>
            <w:pPr>
              <w:pStyle w:val="null3"/>
            </w:pPr>
            <w:r>
              <w:rPr/>
              <w:t xml:space="preserve"> 出现下列情形之一的，采购人或者代理机构应当中止电子化采购活动，并保留相关证明材料备查：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b/>
          <w:sz w:val="28"/>
        </w:rPr>
        <w:t>2.2总则</w:t>
      </w:r>
    </w:p>
    <w:p>
      <w:pPr>
        <w:pStyle w:val="null3"/>
        <w:outlineLvl w:val="3"/>
      </w:pPr>
      <w:r>
        <w:rPr>
          <w:b/>
          <w:sz w:val="24"/>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西安科技大学</w:t>
      </w:r>
      <w:r>
        <w:rPr/>
        <w:t>和</w:t>
      </w:r>
      <w:r>
        <w:rPr/>
        <w:t>陕西正信招标有限公司</w:t>
      </w:r>
      <w:r>
        <w:rPr/>
        <w:t>享有。对磋商文件中供应商参加本次政府采购活动应当具备的条件，磋商项目技术、服务、商务及其他要求，评审细则及标准由</w:t>
      </w:r>
      <w:r>
        <w:rPr/>
        <w:t>西安科技大学</w:t>
      </w:r>
      <w:r>
        <w:rPr/>
        <w:t>负责解释。除上述磋商文件内容，其他内容由</w:t>
      </w:r>
      <w:r>
        <w:rPr/>
        <w:t>陕西正信招标有限公司</w:t>
      </w:r>
      <w:r>
        <w:rPr/>
        <w:t>负责解释。</w:t>
      </w:r>
    </w:p>
    <w:p>
      <w:pPr>
        <w:pStyle w:val="null3"/>
        <w:outlineLvl w:val="3"/>
      </w:pPr>
      <w:r>
        <w:rPr>
          <w:b/>
          <w:sz w:val="24"/>
        </w:rPr>
        <w:t>2.2.2有关定义</w:t>
      </w:r>
    </w:p>
    <w:p>
      <w:pPr>
        <w:pStyle w:val="null3"/>
        <w:ind w:firstLine="480"/>
      </w:pPr>
      <w:r>
        <w:rPr/>
        <w:t xml:space="preserve"> 一、“采购人”是指依法进行政府采购的各级国家机关、事业单位、团体组织。本次磋商的采购人是</w:t>
      </w:r>
      <w:r>
        <w:rPr/>
        <w:t>西安科技大学</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陕西正信招标有限公司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b/>
          <w:sz w:val="28"/>
        </w:rPr>
        <w:t>2.3磋商文件</w:t>
      </w:r>
    </w:p>
    <w:p>
      <w:pPr>
        <w:pStyle w:val="null3"/>
        <w:outlineLvl w:val="3"/>
      </w:pPr>
      <w:r>
        <w:rPr>
          <w:b/>
          <w:sz w:val="24"/>
        </w:rPr>
        <w:t xml:space="preserve"> 2.3.1磋商文件的构成</w:t>
      </w:r>
    </w:p>
    <w:p>
      <w:pPr>
        <w:pStyle w:val="null3"/>
        <w:ind w:firstLine="480"/>
      </w:pPr>
      <w:r>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b/>
          <w:sz w:val="24"/>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pPr>
      <w:r>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b/>
          <w:sz w:val="28"/>
        </w:rPr>
        <w:t>2.4响应文件</w:t>
      </w:r>
    </w:p>
    <w:p>
      <w:pPr>
        <w:pStyle w:val="null3"/>
        <w:outlineLvl w:val="3"/>
      </w:pPr>
      <w:r>
        <w:rPr>
          <w:b/>
          <w:sz w:val="24"/>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b/>
          <w:sz w:val="24"/>
        </w:rPr>
        <w:t>2.4.2计量单位</w:t>
      </w:r>
    </w:p>
    <w:p>
      <w:pPr>
        <w:pStyle w:val="null3"/>
        <w:ind w:firstLine="480"/>
      </w:pPr>
      <w:r>
        <w:rPr/>
        <w:t>除磋商文件中另有规定外，本项目均采用国家法定的计量单位。</w:t>
      </w:r>
    </w:p>
    <w:p>
      <w:pPr>
        <w:pStyle w:val="null3"/>
        <w:outlineLvl w:val="3"/>
      </w:pPr>
      <w:r>
        <w:rPr>
          <w:b/>
          <w:sz w:val="24"/>
        </w:rPr>
        <w:t>2.4.3响应货币</w:t>
      </w:r>
    </w:p>
    <w:p>
      <w:pPr>
        <w:pStyle w:val="null3"/>
        <w:ind w:firstLine="480"/>
      </w:pPr>
      <w:r>
        <w:rPr/>
        <w:t>本项目均以人民币报价。</w:t>
      </w:r>
    </w:p>
    <w:p>
      <w:pPr>
        <w:pStyle w:val="null3"/>
        <w:outlineLvl w:val="3"/>
      </w:pPr>
      <w:r>
        <w:rPr>
          <w:b/>
          <w:sz w:val="24"/>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b/>
          <w:sz w:val="24"/>
        </w:rPr>
        <w:t xml:space="preserve"> 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b/>
          <w:sz w:val="24"/>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b/>
          <w:sz w:val="24"/>
        </w:rPr>
        <w:t>2.4.7响应报价（实质性要求）</w:t>
      </w:r>
    </w:p>
    <w:p>
      <w:pPr>
        <w:pStyle w:val="null3"/>
        <w:ind w:firstLine="480"/>
      </w:pPr>
      <w:r>
        <w:rPr/>
        <w:t>一、供应商应认真核实本项目的工程量清单。</w:t>
      </w:r>
    </w:p>
    <w:p>
      <w:pPr>
        <w:pStyle w:val="null3"/>
        <w:ind w:firstLine="480"/>
      </w:pPr>
      <w:r>
        <w:rPr/>
        <w:t>二、供应商的报价是其响应本项目要求的全部工作内容的价格体现，包括供应商完成本项目所需的一切费用。</w:t>
      </w:r>
    </w:p>
    <w:p>
      <w:pPr>
        <w:pStyle w:val="null3"/>
        <w:ind w:firstLine="480"/>
      </w:pPr>
      <w:r>
        <w:rPr/>
        <w:t>三、本项目合同价格形式为如下：</w:t>
      </w:r>
    </w:p>
    <w:p>
      <w:pPr>
        <w:pStyle w:val="null3"/>
      </w:pPr>
      <w:r>
        <w:rPr/>
        <w:t>采购包1：项目包干价</w:t>
      </w:r>
    </w:p>
    <w:p>
      <w:pPr>
        <w:pStyle w:val="null3"/>
      </w:pPr>
      <w:r>
        <w:rPr/>
        <w:t>项目包干价。适用于设计施工图纸详尽完善（即工程量固定），投资规模较小、施工工期较短且施工内容相对简单的工程项目。</w:t>
      </w:r>
    </w:p>
    <w:p>
      <w:pPr>
        <w:pStyle w:val="null3"/>
      </w:pPr>
      <w:r>
        <w:rPr/>
        <w:t>参加采购活动的供应商应当全部响应采购人提供的工程量清单，供应商直接给出其完成本项目全部工作内容所需的总价，不再提供已标价工程量清单。</w:t>
      </w:r>
    </w:p>
    <w:p>
      <w:pPr>
        <w:pStyle w:val="null3"/>
      </w:pPr>
      <w:r>
        <w:rPr/>
        <w:t>说明：采购人选择采用此种报价方式的，应当科学测算项目工程量，避免工程量调整造成履约纠纷。</w:t>
      </w:r>
    </w:p>
    <w:p>
      <w:pPr>
        <w:pStyle w:val="null3"/>
        <w:outlineLvl w:val="3"/>
      </w:pPr>
      <w:r>
        <w:rPr>
          <w:b/>
          <w:sz w:val="24"/>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b/>
          <w:sz w:val="24"/>
        </w:rPr>
        <w:t xml:space="preserve"> 2.4.9响应文件的制作、签章和加密（实质性要求）</w:t>
      </w:r>
    </w:p>
    <w:p>
      <w:pPr>
        <w:pStyle w:val="null3"/>
        <w:ind w:firstLine="480"/>
      </w:pPr>
      <w:r>
        <w:rPr/>
        <w:t xml:space="preserve"> 一、投标文件应当根据招标文件进行编制，投标人应通过陕西省政府采购网-服务专区-CA及签章服务下载投标（响应）客户端，使用客户端编制投标文件。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三、供应商完成响应文件编制后，应按照磋商文件第1章明确的签章要求，使用互认的证书及签章对响应文件进行电子签章和加密。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b/>
          <w:sz w:val="24"/>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b/>
          <w:sz w:val="24"/>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b/>
          <w:sz w:val="28"/>
        </w:rPr>
        <w:t>2.5开启、资格审查、磋商和确定成交供应商</w:t>
      </w:r>
    </w:p>
    <w:p>
      <w:pPr>
        <w:pStyle w:val="null3"/>
        <w:outlineLvl w:val="3"/>
      </w:pPr>
      <w:r>
        <w:rPr>
          <w:b/>
          <w:sz w:val="24"/>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pPr>
      <w:r>
        <w:rPr/>
        <w:t>响应文件开启时间前，供应商登录项目电子化交易系统-“开标/开启大厅”，等待代理机构开启磋商。</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b/>
          <w:sz w:val="24"/>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b/>
          <w:sz w:val="24"/>
        </w:rPr>
        <w:t>2.5.3资格审查</w:t>
      </w:r>
    </w:p>
    <w:p>
      <w:pPr>
        <w:pStyle w:val="null3"/>
        <w:ind w:firstLine="480"/>
      </w:pPr>
      <w:r>
        <w:rPr/>
        <w:t>详见磋商文件第四章。</w:t>
      </w:r>
    </w:p>
    <w:p>
      <w:pPr>
        <w:pStyle w:val="null3"/>
        <w:outlineLvl w:val="3"/>
      </w:pPr>
      <w:r>
        <w:rPr>
          <w:b/>
          <w:sz w:val="24"/>
        </w:rPr>
        <w:t>2.5.4磋商</w:t>
      </w:r>
    </w:p>
    <w:p>
      <w:pPr>
        <w:pStyle w:val="null3"/>
        <w:ind w:firstLine="480"/>
      </w:pPr>
      <w:r>
        <w:rPr/>
        <w:t>详见磋商文件第六章</w:t>
      </w:r>
    </w:p>
    <w:p>
      <w:pPr>
        <w:pStyle w:val="null3"/>
        <w:outlineLvl w:val="3"/>
      </w:pPr>
      <w:r>
        <w:rPr>
          <w:b/>
          <w:sz w:val="24"/>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b/>
          <w:sz w:val="28"/>
        </w:rPr>
        <w:t>2.6签订及履行合同和验收</w:t>
      </w:r>
    </w:p>
    <w:p>
      <w:pPr>
        <w:pStyle w:val="null3"/>
        <w:outlineLvl w:val="3"/>
      </w:pPr>
      <w:r>
        <w:rPr>
          <w:b/>
          <w:sz w:val="24"/>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b/>
          <w:sz w:val="24"/>
        </w:rPr>
        <w:t>2.6.2合同分包和转包（实质性要求）</w:t>
      </w:r>
    </w:p>
    <w:p>
      <w:pPr>
        <w:pStyle w:val="null3"/>
        <w:outlineLvl w:val="3"/>
      </w:pPr>
      <w:r>
        <w:rPr>
          <w:b/>
          <w:sz w:val="24"/>
        </w:rPr>
        <w:t>2.6.2.1合同分包</w:t>
      </w:r>
    </w:p>
    <w:p>
      <w:pPr>
        <w:pStyle w:val="null3"/>
        <w:ind w:firstLine="480"/>
      </w:pPr>
      <w:r>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b/>
          <w:sz w:val="24"/>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b/>
          <w:sz w:val="24"/>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b/>
          <w:sz w:val="24"/>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b/>
          <w:sz w:val="24"/>
        </w:rPr>
        <w:t xml:space="preserve"> 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b/>
          <w:sz w:val="24"/>
        </w:rPr>
        <w:t>2.6.6履行合同</w:t>
      </w:r>
    </w:p>
    <w:p>
      <w:pPr>
        <w:pStyle w:val="null3"/>
        <w:ind w:firstLine="480"/>
      </w:pPr>
      <w:r>
        <w:rPr/>
        <w:t xml:space="preserve"> 一、成交供应商与采购人签订合同后，合同双方应严格执行合同条款，履行合同规定的义务，保证合同的顺利完成。</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b/>
          <w:sz w:val="24"/>
        </w:rPr>
        <w:t xml:space="preserve"> 2.6.7履约验收方案</w:t>
      </w:r>
    </w:p>
    <w:p>
      <w:pPr>
        <w:pStyle w:val="null3"/>
      </w:pPr>
      <w:r>
        <w:rPr/>
        <w:t>采购包1：</w:t>
      </w:r>
    </w:p>
    <w:p>
      <w:pPr>
        <w:pStyle w:val="null3"/>
      </w:pPr>
      <w:r>
        <w:rPr/>
        <w:t>①符合供方与需方签订的合同 ②符合招、投标文件的技术要求 ③符合国家有关技术规范要求和安全、环保、节能等强制性标准</w:t>
      </w:r>
    </w:p>
    <w:p>
      <w:pPr>
        <w:pStyle w:val="null3"/>
        <w:ind w:firstLine="480"/>
      </w:pPr>
      <w:r>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t>三、验收结果合格的，采购人应向成交供应商出具履约验收报告，成交供应商凭验收报告办理相关手续。</w:t>
      </w:r>
    </w:p>
    <w:p>
      <w:pPr>
        <w:pStyle w:val="null3"/>
        <w:ind w:firstLine="480"/>
      </w:pPr>
      <w:r>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b/>
          <w:sz w:val="24"/>
        </w:rPr>
        <w:t>2.6.8资金支付</w:t>
      </w:r>
    </w:p>
    <w:p>
      <w:pPr>
        <w:pStyle w:val="null3"/>
        <w:ind w:firstLine="480"/>
      </w:pPr>
      <w:r>
        <w:rPr/>
        <w:t>采购人将按照政府采购合同规定，及时向成交供应商支付采购资金。</w:t>
      </w:r>
    </w:p>
    <w:p>
      <w:pPr>
        <w:pStyle w:val="null3"/>
        <w:outlineLvl w:val="2"/>
      </w:pPr>
      <w:r>
        <w:rPr>
          <w:b/>
          <w:sz w:val="28"/>
        </w:rPr>
        <w:t>2.7纪律要求</w:t>
      </w:r>
    </w:p>
    <w:p>
      <w:pPr>
        <w:pStyle w:val="null3"/>
        <w:outlineLvl w:val="3"/>
      </w:pPr>
      <w:r>
        <w:rPr>
          <w:b/>
          <w:sz w:val="24"/>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b/>
          <w:sz w:val="24"/>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供应商有上述情形的，按照规定追究法律责任，具有前述一至十三条情形之一的，其响应文件无效，或取消被确认为成交供应商的资格或认定成交无效。</w:t>
      </w:r>
    </w:p>
    <w:p>
      <w:pPr>
        <w:pStyle w:val="null3"/>
        <w:outlineLvl w:val="3"/>
      </w:pPr>
      <w:r>
        <w:rPr>
          <w:b/>
          <w:sz w:val="24"/>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b/>
          <w:sz w:val="28"/>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根据委托代理协议约定，供应商对采购文件的询问、质疑由 </w:t>
      </w:r>
      <w:r>
        <w:rPr/>
        <w:t>陕西正信招标有限公司</w:t>
      </w:r>
      <w:r>
        <w:rPr/>
        <w:t xml:space="preserve"> 负责答复；供应商对采购过程的询问、质疑由</w:t>
      </w:r>
      <w:r>
        <w:rPr/>
        <w:t>陕西正信招标有限公司</w:t>
      </w:r>
      <w:r>
        <w:rPr/>
        <w:t xml:space="preserve"> 负责答复；供应商对采购结果的询问、质疑由 </w:t>
      </w:r>
      <w:r>
        <w:rPr/>
        <w:t>陕西正信招标有限公司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t>（一）对可以质疑的采购文件提出质疑的，为收到采购文件之日或者采购文件公告期限届满之日；</w:t>
      </w:r>
    </w:p>
    <w:p>
      <w:pPr>
        <w:pStyle w:val="null3"/>
        <w:ind w:firstLine="480"/>
      </w:pPr>
      <w:r>
        <w:rPr/>
        <w:t>（二）对采购过程提出质疑的，为各采购程序环节结束之日；</w:t>
      </w:r>
    </w:p>
    <w:p>
      <w:pPr>
        <w:pStyle w:val="null3"/>
        <w:ind w:firstLine="480"/>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pPr>
      <w:r>
        <w:rPr/>
        <w:t>答复主体：代理机构</w:t>
      </w:r>
    </w:p>
    <w:p>
      <w:pPr>
        <w:pStyle w:val="null3"/>
      </w:pPr>
      <w:r>
        <w:rPr/>
        <w:t>联系人：胡传伟 张爽</w:t>
      </w:r>
    </w:p>
    <w:p>
      <w:pPr>
        <w:pStyle w:val="null3"/>
      </w:pPr>
      <w:r>
        <w:rPr/>
        <w:t>联系电话：029-88411508转8023（649455437@qq.com）</w:t>
      </w:r>
    </w:p>
    <w:p>
      <w:pPr>
        <w:pStyle w:val="null3"/>
      </w:pPr>
      <w:r>
        <w:rPr/>
        <w:t>地址：西安市红缨路南口6号均明拍卖广场4层</w:t>
      </w:r>
    </w:p>
    <w:p>
      <w:pPr>
        <w:pStyle w:val="null3"/>
      </w:pPr>
      <w:r>
        <w:rPr/>
        <w:t>邮编：710000</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b/>
          <w:sz w:val="36"/>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b/>
          <w:sz w:val="28"/>
        </w:rPr>
        <w:t>3.1技术、服务标准和要求</w:t>
      </w:r>
    </w:p>
    <w:p>
      <w:pPr>
        <w:pStyle w:val="null3"/>
      </w:pPr>
      <w:r>
        <w:rPr/>
        <w:t>采购包1：</w:t>
      </w:r>
    </w:p>
    <w:p>
      <w:pPr>
        <w:pStyle w:val="null3"/>
      </w:pPr>
      <w:r>
        <w:rPr/>
        <w:t>采购包预算金额（元）: 3,000,000.00</w:t>
      </w:r>
    </w:p>
    <w:p>
      <w:pPr>
        <w:pStyle w:val="null3"/>
      </w:pPr>
      <w:r>
        <w:rPr/>
        <w:t>采购包最高限价（元）: 3,000,000.00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标的名称</w:t>
            </w:r>
          </w:p>
        </w:tc>
        <w:tc>
          <w:tcPr>
            <w:tcW w:type="dxa" w:w="1384"/>
          </w:tcPr>
          <w:p>
            <w:pPr>
              <w:pStyle w:val="null3"/>
            </w:pPr>
            <w:r>
              <w:rPr/>
              <w:t>数量</w:t>
            </w:r>
          </w:p>
        </w:tc>
        <w:tc>
          <w:tcPr>
            <w:tcW w:type="dxa" w:w="1384"/>
          </w:tcPr>
          <w:p>
            <w:pPr>
              <w:pStyle w:val="null3"/>
            </w:pPr>
            <w:r>
              <w:rPr/>
              <w:t>标的金额 （元）</w:t>
            </w:r>
          </w:p>
        </w:tc>
        <w:tc>
          <w:tcPr>
            <w:tcW w:type="dxa" w:w="1384"/>
          </w:tcPr>
          <w:p>
            <w:pPr>
              <w:pStyle w:val="null3"/>
            </w:pPr>
            <w:r>
              <w:rPr/>
              <w:t>计量单位</w:t>
            </w:r>
          </w:p>
        </w:tc>
        <w:tc>
          <w:tcPr>
            <w:tcW w:type="dxa" w:w="1384"/>
          </w:tcPr>
          <w:p>
            <w:pPr>
              <w:pStyle w:val="null3"/>
            </w:pPr>
            <w:r>
              <w:rPr/>
              <w:t>所属行业</w:t>
            </w:r>
          </w:p>
        </w:tc>
      </w:tr>
      <w:tr>
        <w:tc>
          <w:tcPr>
            <w:tcW w:type="dxa" w:w="1384"/>
          </w:tcPr>
          <w:p>
            <w:pPr>
              <w:pStyle w:val="null3"/>
            </w:pPr>
            <w:r>
              <w:rPr/>
              <w:t>1</w:t>
            </w:r>
          </w:p>
        </w:tc>
        <w:tc>
          <w:tcPr>
            <w:tcW w:type="dxa" w:w="1384"/>
          </w:tcPr>
          <w:p>
            <w:pPr>
              <w:pStyle w:val="null3"/>
            </w:pPr>
            <w:r>
              <w:rPr/>
              <w:t>临潼校区篮球场改造</w:t>
            </w:r>
          </w:p>
        </w:tc>
        <w:tc>
          <w:tcPr>
            <w:tcW w:type="dxa" w:w="1384"/>
          </w:tcPr>
          <w:p>
            <w:pPr>
              <w:pStyle w:val="null3"/>
              <w:jc w:val="right"/>
            </w:pPr>
            <w:r>
              <w:rPr/>
              <w:t>1.00</w:t>
            </w:r>
          </w:p>
        </w:tc>
        <w:tc>
          <w:tcPr>
            <w:tcW w:type="dxa" w:w="1384"/>
          </w:tcPr>
          <w:p>
            <w:pPr>
              <w:pStyle w:val="null3"/>
              <w:jc w:val="right"/>
            </w:pPr>
            <w:r>
              <w:rPr/>
              <w:t>3,000,000.00</w:t>
            </w:r>
          </w:p>
        </w:tc>
        <w:tc>
          <w:tcPr>
            <w:tcW w:type="dxa" w:w="1384"/>
          </w:tcPr>
          <w:p>
            <w:pPr>
              <w:pStyle w:val="null3"/>
            </w:pPr>
            <w:r>
              <w:rPr/>
              <w:t>项</w:t>
            </w:r>
          </w:p>
        </w:tc>
        <w:tc>
          <w:tcPr>
            <w:tcW w:type="dxa" w:w="1384"/>
          </w:tcPr>
          <w:p>
            <w:pPr>
              <w:pStyle w:val="null3"/>
            </w:pPr>
            <w:r>
              <w:rPr/>
              <w:t>建筑业</w:t>
            </w:r>
          </w:p>
        </w:tc>
      </w:tr>
    </w:tbl>
    <w:p>
      <w:pPr>
        <w:pStyle w:val="null3"/>
        <w:ind w:firstLine="480"/>
      </w:pPr>
      <w:r>
        <w:rPr/>
        <w:t>一、技术、服务标准和要求：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标的名称：临潼校区篮球场改造</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t>西安科技大学临潼校区现有场地已不能满足日常教学及师生活动的需求，本次改造2个校园现有球场。改造内容：骊山校园16块篮球场和4块排球场，面积约11000平方米，秦汉校园4块篮球场，面积约2400平方米。铺设8毫米硅PU面层，含排水沟、篮球架、照明灯杆、道路区域沥青改色及卫生间维修等</w:t>
            </w:r>
          </w:p>
          <w:p>
            <w:pPr>
              <w:pStyle w:val="null3"/>
            </w:pPr>
            <w:r>
              <w:rPr/>
              <w:t>一、硅PU面层技术参数及要求</w:t>
            </w:r>
          </w:p>
          <w:p>
            <w:pPr>
              <w:pStyle w:val="null3"/>
            </w:pPr>
            <w:r>
              <w:rPr/>
              <w:t>要求：硅PU球类场地面层标准厚度8mm。</w:t>
            </w:r>
          </w:p>
          <w:p>
            <w:pPr>
              <w:pStyle w:val="null3"/>
            </w:pPr>
            <w:r>
              <w:rPr/>
              <w:t>1、硅PU球场面层成品样块物理机械性能及有害物质限量需符合国标GB36246-2018《中小学合成材料面层运动场地》标准要求。</w:t>
            </w:r>
          </w:p>
          <w:tbl>
            <w:tblPr>
              <w:tblBorders>
                <w:top w:val="single"/>
                <w:left w:val="single"/>
                <w:bottom w:val="single"/>
                <w:right w:val="single"/>
                <w:insideH w:val="single"/>
                <w:insideV w:val="single"/>
              </w:tblBorders>
            </w:tblPr>
            <w:tblGrid>
              <w:gridCol w:w="638"/>
              <w:gridCol w:w="638"/>
              <w:gridCol w:w="638"/>
              <w:gridCol w:w="638"/>
            </w:tblGrid>
            <w:tr>
              <w:tc>
                <w:tcPr>
                  <w:tcW w:type="dxa" w:w="638"/>
                </w:tcPr>
                <w:p>
                  <w:pPr>
                    <w:pStyle w:val="null3"/>
                  </w:pPr>
                  <w:r>
                    <w:rPr/>
                    <w:t>序号</w:t>
                  </w:r>
                </w:p>
              </w:tc>
              <w:tc>
                <w:tcPr>
                  <w:tcW w:type="dxa" w:w="1276"/>
                  <w:gridSpan w:val="2"/>
                </w:tcPr>
                <w:p>
                  <w:pPr>
                    <w:pStyle w:val="null3"/>
                  </w:pPr>
                  <w:r>
                    <w:rPr/>
                    <w:t>检测项目</w:t>
                  </w:r>
                </w:p>
              </w:tc>
              <w:tc>
                <w:tcPr>
                  <w:tcW w:type="dxa" w:w="638"/>
                </w:tcPr>
                <w:p>
                  <w:pPr>
                    <w:pStyle w:val="null3"/>
                  </w:pPr>
                  <w:r>
                    <w:rPr/>
                    <w:t>检测结果</w:t>
                  </w:r>
                </w:p>
              </w:tc>
            </w:tr>
            <w:tr>
              <w:tc>
                <w:tcPr>
                  <w:tcW w:type="dxa" w:w="638"/>
                </w:tcPr>
                <w:p>
                  <w:pPr>
                    <w:pStyle w:val="null3"/>
                  </w:pPr>
                  <w:r>
                    <w:rPr/>
                    <w:t>1</w:t>
                  </w:r>
                </w:p>
              </w:tc>
              <w:tc>
                <w:tcPr>
                  <w:tcW w:type="dxa" w:w="638"/>
                </w:tcPr>
                <w:p>
                  <w:pPr>
                    <w:pStyle w:val="null3"/>
                  </w:pPr>
                  <w:r>
                    <w:rPr/>
                    <w:t>冲击吸收%</w:t>
                  </w:r>
                </w:p>
              </w:tc>
              <w:tc>
                <w:tcPr>
                  <w:tcW w:type="dxa" w:w="638"/>
                </w:tcPr>
                <w:p>
                  <w:pPr>
                    <w:pStyle w:val="null3"/>
                  </w:pPr>
                  <w:r>
                    <w:rPr/>
                    <w:t>球场</w:t>
                  </w:r>
                </w:p>
              </w:tc>
              <w:tc>
                <w:tcPr>
                  <w:tcW w:type="dxa" w:w="638"/>
                </w:tcPr>
                <w:p>
                  <w:pPr>
                    <w:pStyle w:val="null3"/>
                  </w:pPr>
                  <w:r>
                    <w:rPr/>
                    <w:t>20~50</w:t>
                  </w:r>
                </w:p>
              </w:tc>
            </w:tr>
            <w:tr>
              <w:tc>
                <w:tcPr>
                  <w:tcW w:type="dxa" w:w="638"/>
                </w:tcPr>
                <w:p>
                  <w:pPr>
                    <w:pStyle w:val="null3"/>
                  </w:pPr>
                  <w:r>
                    <w:rPr/>
                    <w:t>2</w:t>
                  </w:r>
                </w:p>
              </w:tc>
              <w:tc>
                <w:tcPr>
                  <w:tcW w:type="dxa" w:w="1276"/>
                  <w:gridSpan w:val="2"/>
                </w:tcPr>
                <w:p>
                  <w:pPr>
                    <w:pStyle w:val="null3"/>
                  </w:pPr>
                  <w:r>
                    <w:rPr/>
                    <w:t>垂直变形/mm</w:t>
                  </w:r>
                </w:p>
              </w:tc>
              <w:tc>
                <w:tcPr>
                  <w:tcW w:type="dxa" w:w="638"/>
                </w:tcPr>
                <w:p>
                  <w:pPr>
                    <w:pStyle w:val="null3"/>
                  </w:pPr>
                  <w:r>
                    <w:rPr/>
                    <w:t>0.6~3.0</w:t>
                  </w:r>
                </w:p>
              </w:tc>
            </w:tr>
            <w:tr>
              <w:tc>
                <w:tcPr>
                  <w:tcW w:type="dxa" w:w="638"/>
                </w:tcPr>
                <w:p>
                  <w:pPr>
                    <w:pStyle w:val="null3"/>
                  </w:pPr>
                  <w:r>
                    <w:rPr/>
                    <w:t>3</w:t>
                  </w:r>
                </w:p>
              </w:tc>
              <w:tc>
                <w:tcPr>
                  <w:tcW w:type="dxa" w:w="1276"/>
                  <w:gridSpan w:val="2"/>
                </w:tcPr>
                <w:p>
                  <w:pPr>
                    <w:pStyle w:val="null3"/>
                  </w:pPr>
                  <w:r>
                    <w:rPr/>
                    <w:t>抗滑值/BPN,20℃</w:t>
                  </w:r>
                </w:p>
              </w:tc>
              <w:tc>
                <w:tcPr>
                  <w:tcW w:type="dxa" w:w="638"/>
                </w:tcPr>
                <w:p>
                  <w:pPr>
                    <w:pStyle w:val="null3"/>
                  </w:pPr>
                  <w:r>
                    <w:rPr/>
                    <w:t>80~110（干测）</w:t>
                  </w:r>
                </w:p>
              </w:tc>
            </w:tr>
            <w:tr>
              <w:tc>
                <w:tcPr>
                  <w:tcW w:type="dxa" w:w="638"/>
                </w:tcPr>
                <w:p>
                  <w:pPr>
                    <w:pStyle w:val="null3"/>
                  </w:pPr>
                  <w:r>
                    <w:rPr/>
                    <w:t>4</w:t>
                  </w:r>
                </w:p>
              </w:tc>
              <w:tc>
                <w:tcPr>
                  <w:tcW w:type="dxa" w:w="1276"/>
                  <w:gridSpan w:val="2"/>
                </w:tcPr>
                <w:p>
                  <w:pPr>
                    <w:pStyle w:val="null3"/>
                  </w:pPr>
                  <w:r>
                    <w:rPr/>
                    <w:t>拉伸强度/MPa</w:t>
                  </w:r>
                </w:p>
              </w:tc>
              <w:tc>
                <w:tcPr>
                  <w:tcW w:type="dxa" w:w="638"/>
                </w:tcPr>
                <w:p>
                  <w:pPr>
                    <w:pStyle w:val="null3"/>
                  </w:pPr>
                  <w:r>
                    <w:rPr/>
                    <w:t>≥0.4</w:t>
                  </w:r>
                </w:p>
              </w:tc>
            </w:tr>
            <w:tr>
              <w:tc>
                <w:tcPr>
                  <w:tcW w:type="dxa" w:w="638"/>
                </w:tcPr>
                <w:p>
                  <w:pPr>
                    <w:pStyle w:val="null3"/>
                  </w:pPr>
                  <w:r>
                    <w:rPr/>
                    <w:t>5</w:t>
                  </w:r>
                </w:p>
              </w:tc>
              <w:tc>
                <w:tcPr>
                  <w:tcW w:type="dxa" w:w="1276"/>
                  <w:gridSpan w:val="2"/>
                </w:tcPr>
                <w:p>
                  <w:pPr>
                    <w:pStyle w:val="null3"/>
                  </w:pPr>
                  <w:r>
                    <w:rPr/>
                    <w:t>拉断伸长率%</w:t>
                  </w:r>
                </w:p>
              </w:tc>
              <w:tc>
                <w:tcPr>
                  <w:tcW w:type="dxa" w:w="638"/>
                </w:tcPr>
                <w:p>
                  <w:pPr>
                    <w:pStyle w:val="null3"/>
                  </w:pPr>
                  <w:r>
                    <w:rPr/>
                    <w:t>≥40</w:t>
                  </w:r>
                </w:p>
              </w:tc>
            </w:tr>
            <w:tr>
              <w:tc>
                <w:tcPr>
                  <w:tcW w:type="dxa" w:w="638"/>
                </w:tcPr>
                <w:p>
                  <w:pPr>
                    <w:pStyle w:val="null3"/>
                  </w:pPr>
                  <w:r>
                    <w:rPr/>
                    <w:t>6</w:t>
                  </w:r>
                </w:p>
              </w:tc>
              <w:tc>
                <w:tcPr>
                  <w:tcW w:type="dxa" w:w="1276"/>
                  <w:gridSpan w:val="2"/>
                </w:tcPr>
                <w:p>
                  <w:pPr>
                    <w:pStyle w:val="null3"/>
                  </w:pPr>
                  <w:r>
                    <w:rPr/>
                    <w:t>抗阻燃性能/级</w:t>
                  </w:r>
                </w:p>
              </w:tc>
              <w:tc>
                <w:tcPr>
                  <w:tcW w:type="dxa" w:w="638"/>
                </w:tcPr>
                <w:p>
                  <w:pPr>
                    <w:pStyle w:val="null3"/>
                  </w:pPr>
                  <w:r>
                    <w:rPr/>
                    <w:t>Ⅰ</w:t>
                  </w:r>
                </w:p>
              </w:tc>
            </w:tr>
            <w:tr>
              <w:tc>
                <w:tcPr>
                  <w:tcW w:type="dxa" w:w="638"/>
                  <w:vMerge w:val="restart"/>
                </w:tcPr>
                <w:p>
                  <w:pPr>
                    <w:pStyle w:val="null3"/>
                  </w:pPr>
                  <w:r>
                    <w:rPr/>
                    <w:t>7</w:t>
                  </w:r>
                </w:p>
              </w:tc>
              <w:tc>
                <w:tcPr>
                  <w:tcW w:type="dxa" w:w="638"/>
                  <w:vMerge w:val="restart"/>
                </w:tcPr>
                <w:p>
                  <w:pPr>
                    <w:pStyle w:val="null3"/>
                  </w:pPr>
                  <w:r>
                    <w:rPr/>
                    <w:t>耐人工气候老化性能（500h）</w:t>
                  </w:r>
                </w:p>
              </w:tc>
              <w:tc>
                <w:tcPr>
                  <w:tcW w:type="dxa" w:w="638"/>
                </w:tcPr>
                <w:p>
                  <w:pPr>
                    <w:pStyle w:val="null3"/>
                  </w:pPr>
                  <w:r>
                    <w:rPr/>
                    <w:t>拉伸强度/MPa</w:t>
                  </w:r>
                </w:p>
              </w:tc>
              <w:tc>
                <w:tcPr>
                  <w:tcW w:type="dxa" w:w="638"/>
                </w:tcPr>
                <w:p>
                  <w:pPr>
                    <w:pStyle w:val="null3"/>
                  </w:pPr>
                  <w:r>
                    <w:rPr/>
                    <w:t>≥0.4</w:t>
                  </w:r>
                </w:p>
              </w:tc>
            </w:tr>
            <w:tr>
              <w:tc>
                <w:tcPr>
                  <w:tcW w:type="dxa" w:w="638"/>
                  <w:vMerge/>
                </w:tcPr>
                <w:p/>
              </w:tc>
              <w:tc>
                <w:tcPr>
                  <w:tcW w:type="dxa" w:w="638"/>
                  <w:vMerge/>
                </w:tcPr>
                <w:p/>
              </w:tc>
              <w:tc>
                <w:tcPr>
                  <w:tcW w:type="dxa" w:w="638"/>
                </w:tcPr>
                <w:p>
                  <w:pPr>
                    <w:pStyle w:val="null3"/>
                  </w:pPr>
                  <w:r>
                    <w:rPr/>
                    <w:t>拉断伸长率%</w:t>
                  </w:r>
                </w:p>
              </w:tc>
              <w:tc>
                <w:tcPr>
                  <w:tcW w:type="dxa" w:w="638"/>
                </w:tcPr>
                <w:p>
                  <w:pPr>
                    <w:pStyle w:val="null3"/>
                  </w:pPr>
                  <w:r>
                    <w:rPr/>
                    <w:t>≥40</w:t>
                  </w:r>
                </w:p>
              </w:tc>
            </w:tr>
            <w:tr>
              <w:tc>
                <w:tcPr>
                  <w:tcW w:type="dxa" w:w="638"/>
                </w:tcPr>
                <w:p>
                  <w:pPr>
                    <w:pStyle w:val="null3"/>
                  </w:pPr>
                  <w:r>
                    <w:rPr/>
                    <w:t>8</w:t>
                  </w:r>
                </w:p>
              </w:tc>
              <w:tc>
                <w:tcPr>
                  <w:tcW w:type="dxa" w:w="638"/>
                  <w:vMerge w:val="restart"/>
                </w:tcPr>
                <w:p>
                  <w:pPr>
                    <w:pStyle w:val="null3"/>
                  </w:pPr>
                  <w:r>
                    <w:rPr/>
                    <w:t>有害物质含量</w:t>
                  </w:r>
                </w:p>
              </w:tc>
              <w:tc>
                <w:tcPr>
                  <w:tcW w:type="dxa" w:w="638"/>
                </w:tcPr>
                <w:p>
                  <w:pPr>
                    <w:pStyle w:val="null3"/>
                  </w:pPr>
                  <w:r>
                    <w:rPr/>
                    <w:t>3 种邻苯二甲酸酯类化合物（DBP、BBP、DEHP）总和</w:t>
                  </w:r>
                  <w:r>
                    <w:rPr>
                      <w:vertAlign w:val="superscript"/>
                    </w:rPr>
                    <w:t>a</w:t>
                  </w:r>
                  <w:r>
                    <w:rPr/>
                    <w:t xml:space="preserve"> /（g/kg）</w:t>
                  </w:r>
                </w:p>
              </w:tc>
              <w:tc>
                <w:tcPr>
                  <w:tcW w:type="dxa" w:w="638"/>
                </w:tcPr>
                <w:p>
                  <w:pPr>
                    <w:pStyle w:val="null3"/>
                  </w:pPr>
                  <w:r>
                    <w:rPr/>
                    <w:t>≤1.0</w:t>
                  </w:r>
                </w:p>
              </w:tc>
            </w:tr>
            <w:tr>
              <w:tc>
                <w:tcPr>
                  <w:tcW w:type="dxa" w:w="638"/>
                </w:tcPr>
                <w:p>
                  <w:pPr>
                    <w:pStyle w:val="null3"/>
                  </w:pPr>
                  <w:r>
                    <w:rPr/>
                    <w:t>9</w:t>
                  </w:r>
                </w:p>
              </w:tc>
              <w:tc>
                <w:tcPr>
                  <w:tcW w:type="dxa" w:w="638"/>
                  <w:vMerge/>
                </w:tcPr>
                <w:p/>
              </w:tc>
              <w:tc>
                <w:tcPr>
                  <w:tcW w:type="dxa" w:w="638"/>
                </w:tcPr>
                <w:p>
                  <w:pPr>
                    <w:pStyle w:val="null3"/>
                  </w:pPr>
                  <w:r>
                    <w:rPr/>
                    <w:t>3 种邻苯二甲酸酯类化合物（DNOP、DINP、DIDP）总和</w:t>
                  </w:r>
                  <w:r>
                    <w:rPr>
                      <w:vertAlign w:val="superscript"/>
                    </w:rPr>
                    <w:t>a</w:t>
                  </w:r>
                  <w:r>
                    <w:rPr/>
                    <w:t xml:space="preserve"> /（g/kg）</w:t>
                  </w:r>
                </w:p>
              </w:tc>
              <w:tc>
                <w:tcPr>
                  <w:tcW w:type="dxa" w:w="638"/>
                </w:tcPr>
                <w:p>
                  <w:pPr>
                    <w:pStyle w:val="null3"/>
                  </w:pPr>
                  <w:r>
                    <w:rPr/>
                    <w:t>≤1.0</w:t>
                  </w:r>
                </w:p>
              </w:tc>
            </w:tr>
            <w:tr>
              <w:tc>
                <w:tcPr>
                  <w:tcW w:type="dxa" w:w="638"/>
                  <w:vMerge w:val="restart"/>
                </w:tcPr>
                <w:p>
                  <w:pPr>
                    <w:pStyle w:val="null3"/>
                  </w:pPr>
                  <w:r>
                    <w:rPr/>
                    <w:t>10</w:t>
                  </w:r>
                </w:p>
              </w:tc>
              <w:tc>
                <w:tcPr>
                  <w:tcW w:type="dxa" w:w="638"/>
                  <w:vMerge/>
                </w:tcPr>
                <w:p/>
              </w:tc>
              <w:tc>
                <w:tcPr>
                  <w:tcW w:type="dxa" w:w="638"/>
                  <w:vMerge w:val="restart"/>
                </w:tcPr>
                <w:p>
                  <w:pPr>
                    <w:pStyle w:val="null3"/>
                  </w:pPr>
                  <w:r>
                    <w:rPr/>
                    <w:t>18 种多环芳烃总和</w:t>
                  </w:r>
                  <w:r>
                    <w:rPr>
                      <w:vertAlign w:val="superscript"/>
                    </w:rPr>
                    <w:t>b</w:t>
                  </w:r>
                  <w:r>
                    <w:rPr/>
                    <w:t xml:space="preserve"> /（mg/kg）</w:t>
                  </w:r>
                </w:p>
              </w:tc>
              <w:tc>
                <w:tcPr>
                  <w:tcW w:type="dxa" w:w="638"/>
                </w:tcPr>
                <w:p>
                  <w:pPr>
                    <w:pStyle w:val="null3"/>
                  </w:pPr>
                  <w:r>
                    <w:rPr/>
                    <w:t>≤50</w:t>
                  </w:r>
                </w:p>
              </w:tc>
            </w:tr>
            <w:tr>
              <w:tc>
                <w:tcPr>
                  <w:tcW w:type="dxa" w:w="638"/>
                  <w:vMerge/>
                </w:tcPr>
                <w:p/>
              </w:tc>
              <w:tc>
                <w:tcPr>
                  <w:tcW w:type="dxa" w:w="638"/>
                  <w:vMerge/>
                </w:tcPr>
                <w:p/>
              </w:tc>
              <w:tc>
                <w:tcPr>
                  <w:tcW w:type="dxa" w:w="638"/>
                  <w:vMerge/>
                </w:tcPr>
                <w:p/>
              </w:tc>
              <w:tc>
                <w:tcPr>
                  <w:tcW w:type="dxa" w:w="638"/>
                </w:tcPr>
                <w:p>
                  <w:pPr>
                    <w:pStyle w:val="null3"/>
                  </w:pPr>
                  <w:r>
                    <w:rPr/>
                    <w:t>≤20</w:t>
                  </w:r>
                  <w:r>
                    <w:rPr>
                      <w:vertAlign w:val="superscript"/>
                    </w:rPr>
                    <w:t>c</w:t>
                  </w:r>
                </w:p>
              </w:tc>
            </w:tr>
            <w:tr>
              <w:tc>
                <w:tcPr>
                  <w:tcW w:type="dxa" w:w="638"/>
                </w:tcPr>
                <w:p>
                  <w:pPr>
                    <w:pStyle w:val="null3"/>
                  </w:pPr>
                  <w:r>
                    <w:rPr/>
                    <w:t>11</w:t>
                  </w:r>
                </w:p>
              </w:tc>
              <w:tc>
                <w:tcPr>
                  <w:tcW w:type="dxa" w:w="638"/>
                  <w:vMerge/>
                </w:tcPr>
                <w:p/>
              </w:tc>
              <w:tc>
                <w:tcPr>
                  <w:tcW w:type="dxa" w:w="638"/>
                </w:tcPr>
                <w:p>
                  <w:pPr>
                    <w:pStyle w:val="null3"/>
                  </w:pPr>
                  <w:r>
                    <w:rPr/>
                    <w:t>苯并[a]芘/（mg/kg）</w:t>
                  </w:r>
                </w:p>
              </w:tc>
              <w:tc>
                <w:tcPr>
                  <w:tcW w:type="dxa" w:w="638"/>
                </w:tcPr>
                <w:p>
                  <w:pPr>
                    <w:pStyle w:val="null3"/>
                  </w:pPr>
                  <w:r>
                    <w:rPr/>
                    <w:t>≤1.0</w:t>
                  </w:r>
                </w:p>
              </w:tc>
            </w:tr>
            <w:tr>
              <w:tc>
                <w:tcPr>
                  <w:tcW w:type="dxa" w:w="638"/>
                </w:tcPr>
                <w:p>
                  <w:pPr>
                    <w:pStyle w:val="null3"/>
                  </w:pPr>
                  <w:r>
                    <w:rPr/>
                    <w:t>12</w:t>
                  </w:r>
                </w:p>
              </w:tc>
              <w:tc>
                <w:tcPr>
                  <w:tcW w:type="dxa" w:w="638"/>
                  <w:vMerge/>
                </w:tcPr>
                <w:p/>
              </w:tc>
              <w:tc>
                <w:tcPr>
                  <w:tcW w:type="dxa" w:w="638"/>
                </w:tcPr>
                <w:p>
                  <w:pPr>
                    <w:pStyle w:val="null3"/>
                  </w:pPr>
                  <w:r>
                    <w:rPr/>
                    <w:t>短链氯化石蜡（C</w:t>
                  </w:r>
                  <w:r>
                    <w:rPr>
                      <w:vertAlign w:val="subscript"/>
                    </w:rPr>
                    <w:t>10</w:t>
                  </w:r>
                  <w:r>
                    <w:rPr/>
                    <w:t>-C</w:t>
                  </w:r>
                  <w:r>
                    <w:rPr>
                      <w:vertAlign w:val="subscript"/>
                    </w:rPr>
                    <w:t>13</w:t>
                  </w:r>
                  <w:r>
                    <w:rPr/>
                    <w:t>）/（g/kg）</w:t>
                  </w:r>
                </w:p>
              </w:tc>
              <w:tc>
                <w:tcPr>
                  <w:tcW w:type="dxa" w:w="638"/>
                </w:tcPr>
                <w:p>
                  <w:pPr>
                    <w:pStyle w:val="null3"/>
                  </w:pPr>
                  <w:r>
                    <w:rPr/>
                    <w:t>≤1.5</w:t>
                  </w:r>
                </w:p>
              </w:tc>
            </w:tr>
            <w:tr>
              <w:tc>
                <w:tcPr>
                  <w:tcW w:type="dxa" w:w="638"/>
                </w:tcPr>
                <w:p>
                  <w:pPr>
                    <w:pStyle w:val="null3"/>
                  </w:pPr>
                  <w:r>
                    <w:rPr/>
                    <w:t>13</w:t>
                  </w:r>
                </w:p>
              </w:tc>
              <w:tc>
                <w:tcPr>
                  <w:tcW w:type="dxa" w:w="638"/>
                  <w:vMerge/>
                </w:tcPr>
                <w:p/>
              </w:tc>
              <w:tc>
                <w:tcPr>
                  <w:tcW w:type="dxa" w:w="638"/>
                </w:tcPr>
                <w:p>
                  <w:pPr>
                    <w:pStyle w:val="null3"/>
                  </w:pPr>
                  <w:r>
                    <w:rPr/>
                    <w:t>4,4'-二氨基-3,3'-二氯二苯甲烷（MOCA）/（g/kg）</w:t>
                  </w:r>
                </w:p>
              </w:tc>
              <w:tc>
                <w:tcPr>
                  <w:tcW w:type="dxa" w:w="638"/>
                </w:tcPr>
                <w:p>
                  <w:pPr>
                    <w:pStyle w:val="null3"/>
                  </w:pPr>
                  <w:r>
                    <w:rPr/>
                    <w:t>≤1.0</w:t>
                  </w:r>
                </w:p>
              </w:tc>
            </w:tr>
            <w:tr>
              <w:tc>
                <w:tcPr>
                  <w:tcW w:type="dxa" w:w="638"/>
                </w:tcPr>
                <w:p>
                  <w:pPr>
                    <w:pStyle w:val="null3"/>
                  </w:pPr>
                  <w:r>
                    <w:rPr/>
                    <w:t>14</w:t>
                  </w:r>
                </w:p>
              </w:tc>
              <w:tc>
                <w:tcPr>
                  <w:tcW w:type="dxa" w:w="638"/>
                  <w:vMerge/>
                </w:tcPr>
                <w:p/>
              </w:tc>
              <w:tc>
                <w:tcPr>
                  <w:tcW w:type="dxa" w:w="638"/>
                </w:tcPr>
                <w:p>
                  <w:pPr>
                    <w:pStyle w:val="null3"/>
                  </w:pPr>
                  <w:r>
                    <w:rPr/>
                    <w:t>游离甲苯二异氰酸酯（TDI）和游离六亚甲基二异氰酸酯（HDI）总和/（g/kg）</w:t>
                  </w:r>
                </w:p>
              </w:tc>
              <w:tc>
                <w:tcPr>
                  <w:tcW w:type="dxa" w:w="638"/>
                </w:tcPr>
                <w:p>
                  <w:pPr>
                    <w:pStyle w:val="null3"/>
                  </w:pPr>
                  <w:r>
                    <w:rPr/>
                    <w:t>≤0.2</w:t>
                  </w:r>
                </w:p>
              </w:tc>
            </w:tr>
            <w:tr>
              <w:tc>
                <w:tcPr>
                  <w:tcW w:type="dxa" w:w="638"/>
                </w:tcPr>
                <w:p>
                  <w:pPr>
                    <w:pStyle w:val="null3"/>
                  </w:pPr>
                  <w:r>
                    <w:rPr/>
                    <w:t>15</w:t>
                  </w:r>
                </w:p>
              </w:tc>
              <w:tc>
                <w:tcPr>
                  <w:tcW w:type="dxa" w:w="638"/>
                  <w:vMerge/>
                </w:tcPr>
                <w:p/>
              </w:tc>
              <w:tc>
                <w:tcPr>
                  <w:tcW w:type="dxa" w:w="638"/>
                </w:tcPr>
                <w:p>
                  <w:pPr>
                    <w:pStyle w:val="null3"/>
                  </w:pPr>
                  <w:r>
                    <w:rPr/>
                    <w:t>游离二苯基甲烷二异氰酸酯（MDI）/（g/kg）</w:t>
                  </w:r>
                </w:p>
              </w:tc>
              <w:tc>
                <w:tcPr>
                  <w:tcW w:type="dxa" w:w="638"/>
                </w:tcPr>
                <w:p>
                  <w:pPr>
                    <w:pStyle w:val="null3"/>
                  </w:pPr>
                  <w:r>
                    <w:rPr/>
                    <w:t>≤1.0</w:t>
                  </w:r>
                </w:p>
              </w:tc>
            </w:tr>
            <w:tr>
              <w:tc>
                <w:tcPr>
                  <w:tcW w:type="dxa" w:w="638"/>
                </w:tcPr>
                <w:p>
                  <w:pPr>
                    <w:pStyle w:val="null3"/>
                  </w:pPr>
                  <w:r>
                    <w:rPr/>
                    <w:t>16</w:t>
                  </w:r>
                </w:p>
              </w:tc>
              <w:tc>
                <w:tcPr>
                  <w:tcW w:type="dxa" w:w="638"/>
                  <w:vMerge/>
                </w:tcPr>
                <w:p/>
              </w:tc>
              <w:tc>
                <w:tcPr>
                  <w:tcW w:type="dxa" w:w="638"/>
                </w:tcPr>
                <w:p>
                  <w:pPr>
                    <w:pStyle w:val="null3"/>
                  </w:pPr>
                  <w:r>
                    <w:rPr/>
                    <w:t>可溶性铅/（mg/kg）</w:t>
                  </w:r>
                </w:p>
              </w:tc>
              <w:tc>
                <w:tcPr>
                  <w:tcW w:type="dxa" w:w="638"/>
                </w:tcPr>
                <w:p>
                  <w:pPr>
                    <w:pStyle w:val="null3"/>
                  </w:pPr>
                  <w:r>
                    <w:rPr/>
                    <w:t>≤50</w:t>
                  </w:r>
                </w:p>
              </w:tc>
            </w:tr>
            <w:tr>
              <w:tc>
                <w:tcPr>
                  <w:tcW w:type="dxa" w:w="638"/>
                </w:tcPr>
                <w:p>
                  <w:pPr>
                    <w:pStyle w:val="null3"/>
                  </w:pPr>
                  <w:r>
                    <w:rPr/>
                    <w:t>17</w:t>
                  </w:r>
                </w:p>
              </w:tc>
              <w:tc>
                <w:tcPr>
                  <w:tcW w:type="dxa" w:w="638"/>
                  <w:vMerge/>
                </w:tcPr>
                <w:p/>
              </w:tc>
              <w:tc>
                <w:tcPr>
                  <w:tcW w:type="dxa" w:w="638"/>
                </w:tcPr>
                <w:p>
                  <w:pPr>
                    <w:pStyle w:val="null3"/>
                  </w:pPr>
                  <w:r>
                    <w:rPr/>
                    <w:t>可溶性镉/（mg/kg）</w:t>
                  </w:r>
                </w:p>
              </w:tc>
              <w:tc>
                <w:tcPr>
                  <w:tcW w:type="dxa" w:w="638"/>
                </w:tcPr>
                <w:p>
                  <w:pPr>
                    <w:pStyle w:val="null3"/>
                  </w:pPr>
                  <w:r>
                    <w:rPr/>
                    <w:t>≤10</w:t>
                  </w:r>
                </w:p>
              </w:tc>
            </w:tr>
            <w:tr>
              <w:tc>
                <w:tcPr>
                  <w:tcW w:type="dxa" w:w="638"/>
                </w:tcPr>
                <w:p>
                  <w:pPr>
                    <w:pStyle w:val="null3"/>
                  </w:pPr>
                  <w:r>
                    <w:rPr/>
                    <w:t>18</w:t>
                  </w:r>
                </w:p>
              </w:tc>
              <w:tc>
                <w:tcPr>
                  <w:tcW w:type="dxa" w:w="638"/>
                  <w:vMerge/>
                </w:tcPr>
                <w:p/>
              </w:tc>
              <w:tc>
                <w:tcPr>
                  <w:tcW w:type="dxa" w:w="638"/>
                </w:tcPr>
                <w:p>
                  <w:pPr>
                    <w:pStyle w:val="null3"/>
                  </w:pPr>
                  <w:r>
                    <w:rPr/>
                    <w:t>可溶性铬/（mg/kg）</w:t>
                  </w:r>
                </w:p>
              </w:tc>
              <w:tc>
                <w:tcPr>
                  <w:tcW w:type="dxa" w:w="638"/>
                </w:tcPr>
                <w:p>
                  <w:pPr>
                    <w:pStyle w:val="null3"/>
                  </w:pPr>
                  <w:r>
                    <w:rPr/>
                    <w:t>≤10</w:t>
                  </w:r>
                </w:p>
              </w:tc>
            </w:tr>
            <w:tr>
              <w:tc>
                <w:tcPr>
                  <w:tcW w:type="dxa" w:w="638"/>
                </w:tcPr>
                <w:p>
                  <w:pPr>
                    <w:pStyle w:val="null3"/>
                  </w:pPr>
                  <w:r>
                    <w:rPr/>
                    <w:t>19</w:t>
                  </w:r>
                </w:p>
              </w:tc>
              <w:tc>
                <w:tcPr>
                  <w:tcW w:type="dxa" w:w="638"/>
                  <w:vMerge/>
                </w:tcPr>
                <w:p/>
              </w:tc>
              <w:tc>
                <w:tcPr>
                  <w:tcW w:type="dxa" w:w="638"/>
                </w:tcPr>
                <w:p>
                  <w:pPr>
                    <w:pStyle w:val="null3"/>
                  </w:pPr>
                  <w:r>
                    <w:rPr/>
                    <w:t>可溶性汞/（mg/kg）</w:t>
                  </w:r>
                </w:p>
              </w:tc>
              <w:tc>
                <w:tcPr>
                  <w:tcW w:type="dxa" w:w="638"/>
                </w:tcPr>
                <w:p>
                  <w:pPr>
                    <w:pStyle w:val="null3"/>
                  </w:pPr>
                  <w:r>
                    <w:rPr/>
                    <w:t>≤2</w:t>
                  </w:r>
                </w:p>
              </w:tc>
            </w:tr>
            <w:tr>
              <w:tc>
                <w:tcPr>
                  <w:tcW w:type="dxa" w:w="638"/>
                </w:tcPr>
                <w:p>
                  <w:pPr>
                    <w:pStyle w:val="null3"/>
                  </w:pPr>
                  <w:r>
                    <w:rPr/>
                    <w:t>20</w:t>
                  </w:r>
                </w:p>
              </w:tc>
              <w:tc>
                <w:tcPr>
                  <w:tcW w:type="dxa" w:w="638"/>
                  <w:vMerge w:val="restart"/>
                </w:tcPr>
                <w:p>
                  <w:pPr>
                    <w:pStyle w:val="null3"/>
                  </w:pPr>
                  <w:r>
                    <w:rPr/>
                    <w:t>有害物质释放量</w:t>
                  </w:r>
                </w:p>
              </w:tc>
              <w:tc>
                <w:tcPr>
                  <w:tcW w:type="dxa" w:w="638"/>
                </w:tcPr>
                <w:p>
                  <w:pPr>
                    <w:pStyle w:val="null3"/>
                  </w:pPr>
                  <w:r>
                    <w:rPr/>
                    <w:t>总挥发性有机化合物（TVOC）/[mg/（㎡•h）]</w:t>
                  </w:r>
                </w:p>
              </w:tc>
              <w:tc>
                <w:tcPr>
                  <w:tcW w:type="dxa" w:w="638"/>
                </w:tcPr>
                <w:p>
                  <w:pPr>
                    <w:pStyle w:val="null3"/>
                  </w:pPr>
                  <w:r>
                    <w:rPr/>
                    <w:t>≤5.0</w:t>
                  </w:r>
                </w:p>
              </w:tc>
            </w:tr>
            <w:tr>
              <w:tc>
                <w:tcPr>
                  <w:tcW w:type="dxa" w:w="638"/>
                </w:tcPr>
                <w:p>
                  <w:pPr>
                    <w:pStyle w:val="null3"/>
                  </w:pPr>
                  <w:r>
                    <w:rPr/>
                    <w:t>21</w:t>
                  </w:r>
                </w:p>
              </w:tc>
              <w:tc>
                <w:tcPr>
                  <w:tcW w:type="dxa" w:w="638"/>
                  <w:vMerge/>
                </w:tcPr>
                <w:p/>
              </w:tc>
              <w:tc>
                <w:tcPr>
                  <w:tcW w:type="dxa" w:w="638"/>
                </w:tcPr>
                <w:p>
                  <w:pPr>
                    <w:pStyle w:val="null3"/>
                  </w:pPr>
                  <w:r>
                    <w:rPr/>
                    <w:t>苯/[mg/（㎡•h）]</w:t>
                  </w:r>
                </w:p>
              </w:tc>
              <w:tc>
                <w:tcPr>
                  <w:tcW w:type="dxa" w:w="638"/>
                </w:tcPr>
                <w:p>
                  <w:pPr>
                    <w:pStyle w:val="null3"/>
                  </w:pPr>
                  <w:r>
                    <w:rPr/>
                    <w:t>≤0.1</w:t>
                  </w:r>
                </w:p>
              </w:tc>
            </w:tr>
            <w:tr>
              <w:tc>
                <w:tcPr>
                  <w:tcW w:type="dxa" w:w="638"/>
                </w:tcPr>
                <w:p>
                  <w:pPr>
                    <w:pStyle w:val="null3"/>
                  </w:pPr>
                  <w:r>
                    <w:rPr/>
                    <w:t>22</w:t>
                  </w:r>
                </w:p>
              </w:tc>
              <w:tc>
                <w:tcPr>
                  <w:tcW w:type="dxa" w:w="638"/>
                  <w:vMerge/>
                </w:tcPr>
                <w:p/>
              </w:tc>
              <w:tc>
                <w:tcPr>
                  <w:tcW w:type="dxa" w:w="638"/>
                </w:tcPr>
                <w:p>
                  <w:pPr>
                    <w:pStyle w:val="null3"/>
                  </w:pPr>
                  <w:r>
                    <w:rPr/>
                    <w:t>甲苯、二甲苯和乙苯总和/[mg/（㎡•h）]</w:t>
                  </w:r>
                </w:p>
              </w:tc>
              <w:tc>
                <w:tcPr>
                  <w:tcW w:type="dxa" w:w="638"/>
                </w:tcPr>
                <w:p>
                  <w:pPr>
                    <w:pStyle w:val="null3"/>
                  </w:pPr>
                  <w:r>
                    <w:rPr/>
                    <w:t>≤1.0</w:t>
                  </w:r>
                </w:p>
              </w:tc>
            </w:tr>
            <w:tr>
              <w:tc>
                <w:tcPr>
                  <w:tcW w:type="dxa" w:w="638"/>
                </w:tcPr>
                <w:p>
                  <w:pPr>
                    <w:pStyle w:val="null3"/>
                  </w:pPr>
                  <w:r>
                    <w:rPr/>
                    <w:t>23</w:t>
                  </w:r>
                </w:p>
              </w:tc>
              <w:tc>
                <w:tcPr>
                  <w:tcW w:type="dxa" w:w="638"/>
                  <w:vMerge/>
                </w:tcPr>
                <w:p/>
              </w:tc>
              <w:tc>
                <w:tcPr>
                  <w:tcW w:type="dxa" w:w="638"/>
                </w:tcPr>
                <w:p>
                  <w:pPr>
                    <w:pStyle w:val="null3"/>
                  </w:pPr>
                  <w:r>
                    <w:rPr/>
                    <w:t>甲醛/[mg/（㎡•h）]</w:t>
                  </w:r>
                </w:p>
              </w:tc>
              <w:tc>
                <w:tcPr>
                  <w:tcW w:type="dxa" w:w="638"/>
                </w:tcPr>
                <w:p>
                  <w:pPr>
                    <w:pStyle w:val="null3"/>
                  </w:pPr>
                  <w:r>
                    <w:rPr/>
                    <w:t>≤0.4</w:t>
                  </w:r>
                </w:p>
              </w:tc>
            </w:tr>
            <w:tr>
              <w:tc>
                <w:tcPr>
                  <w:tcW w:type="dxa" w:w="638"/>
                </w:tcPr>
                <w:p>
                  <w:pPr>
                    <w:pStyle w:val="null3"/>
                  </w:pPr>
                  <w:r>
                    <w:rPr/>
                    <w:t>24</w:t>
                  </w:r>
                </w:p>
              </w:tc>
              <w:tc>
                <w:tcPr>
                  <w:tcW w:type="dxa" w:w="638"/>
                  <w:vMerge/>
                </w:tcPr>
                <w:p/>
              </w:tc>
              <w:tc>
                <w:tcPr>
                  <w:tcW w:type="dxa" w:w="638"/>
                </w:tcPr>
                <w:p>
                  <w:pPr>
                    <w:pStyle w:val="null3"/>
                  </w:pPr>
                  <w:r>
                    <w:rPr/>
                    <w:t>二硫化碳/[mg/（㎡•h）]</w:t>
                  </w:r>
                </w:p>
              </w:tc>
              <w:tc>
                <w:tcPr>
                  <w:tcW w:type="dxa" w:w="638"/>
                </w:tcPr>
                <w:p>
                  <w:pPr>
                    <w:pStyle w:val="null3"/>
                  </w:pPr>
                  <w:r>
                    <w:rPr/>
                    <w:t>≤7.0</w:t>
                  </w:r>
                </w:p>
              </w:tc>
            </w:tr>
            <w:tr>
              <w:tc>
                <w:tcPr>
                  <w:tcW w:type="dxa" w:w="638"/>
                </w:tcPr>
                <w:p>
                  <w:pPr>
                    <w:pStyle w:val="null3"/>
                  </w:pPr>
                  <w:r>
                    <w:rPr/>
                    <w:t>25</w:t>
                  </w:r>
                </w:p>
              </w:tc>
              <w:tc>
                <w:tcPr>
                  <w:tcW w:type="dxa" w:w="638"/>
                </w:tcPr>
                <w:p>
                  <w:pPr>
                    <w:pStyle w:val="null3"/>
                  </w:pPr>
                  <w:r>
                    <w:rPr/>
                    <w:t>气味</w:t>
                  </w:r>
                </w:p>
              </w:tc>
              <w:tc>
                <w:tcPr>
                  <w:tcW w:type="dxa" w:w="638"/>
                </w:tcPr>
                <w:p>
                  <w:pPr>
                    <w:pStyle w:val="null3"/>
                  </w:pPr>
                  <w:r>
                    <w:rPr/>
                    <w:t>气味等级/级</w:t>
                  </w:r>
                </w:p>
              </w:tc>
              <w:tc>
                <w:tcPr>
                  <w:tcW w:type="dxa" w:w="638"/>
                </w:tcPr>
                <w:p>
                  <w:pPr>
                    <w:pStyle w:val="null3"/>
                  </w:pPr>
                  <w:r>
                    <w:rPr/>
                    <w:t>≤3</w:t>
                  </w:r>
                </w:p>
              </w:tc>
            </w:tr>
          </w:tbl>
          <w:p>
            <w:pPr>
              <w:pStyle w:val="null3"/>
            </w:pPr>
            <w:r>
              <w:rPr/>
              <w:t>2、固体原材料中的有害物质限量及气味需符合国标GB 36246-2018《中小学合成材料面层运动场地》标准要求</w:t>
            </w:r>
          </w:p>
          <w:tbl>
            <w:tblPr>
              <w:tblBorders>
                <w:top w:val="single"/>
                <w:left w:val="single"/>
                <w:bottom w:val="single"/>
                <w:right w:val="single"/>
                <w:insideH w:val="single"/>
                <w:insideV w:val="single"/>
              </w:tblBorders>
            </w:tblPr>
            <w:tblGrid>
              <w:gridCol w:w="851"/>
              <w:gridCol w:w="851"/>
              <w:gridCol w:w="851"/>
            </w:tblGrid>
            <w:tr>
              <w:tc>
                <w:tcPr>
                  <w:tcW w:type="dxa" w:w="851"/>
                </w:tcPr>
                <w:p>
                  <w:pPr>
                    <w:pStyle w:val="null3"/>
                  </w:pPr>
                  <w:r>
                    <w:rPr/>
                    <w:t>序号</w:t>
                  </w:r>
                </w:p>
              </w:tc>
              <w:tc>
                <w:tcPr>
                  <w:tcW w:type="dxa" w:w="851"/>
                </w:tcPr>
                <w:p>
                  <w:pPr>
                    <w:pStyle w:val="null3"/>
                  </w:pPr>
                  <w:r>
                    <w:rPr/>
                    <w:t>检测项目</w:t>
                  </w:r>
                </w:p>
              </w:tc>
              <w:tc>
                <w:tcPr>
                  <w:tcW w:type="dxa" w:w="851"/>
                </w:tcPr>
                <w:p>
                  <w:pPr>
                    <w:pStyle w:val="null3"/>
                  </w:pPr>
                  <w:r>
                    <w:rPr/>
                    <w:t>检测结果</w:t>
                  </w:r>
                </w:p>
              </w:tc>
            </w:tr>
            <w:tr>
              <w:tc>
                <w:tcPr>
                  <w:tcW w:type="dxa" w:w="851"/>
                  <w:vMerge w:val="restart"/>
                </w:tcPr>
                <w:p>
                  <w:pPr>
                    <w:pStyle w:val="null3"/>
                  </w:pPr>
                  <w:r>
                    <w:rPr/>
                    <w:t>1</w:t>
                  </w:r>
                </w:p>
              </w:tc>
              <w:tc>
                <w:tcPr>
                  <w:tcW w:type="dxa" w:w="851"/>
                  <w:vMerge w:val="restart"/>
                </w:tcPr>
                <w:p>
                  <w:pPr>
                    <w:pStyle w:val="null3"/>
                  </w:pPr>
                  <w:r>
                    <w:rPr/>
                    <w:t>18 种多环芳烃总和</w:t>
                  </w:r>
                  <w:r>
                    <w:rPr>
                      <w:vertAlign w:val="superscript"/>
                    </w:rPr>
                    <w:t>a</w:t>
                  </w:r>
                  <w:r>
                    <w:rPr/>
                    <w:t>/（mg/kg）</w:t>
                  </w:r>
                </w:p>
              </w:tc>
              <w:tc>
                <w:tcPr>
                  <w:tcW w:type="dxa" w:w="851"/>
                </w:tcPr>
                <w:p>
                  <w:pPr>
                    <w:pStyle w:val="null3"/>
                  </w:pPr>
                  <w:r>
                    <w:rPr/>
                    <w:t>≤50</w:t>
                  </w:r>
                </w:p>
              </w:tc>
            </w:tr>
            <w:tr>
              <w:tc>
                <w:tcPr>
                  <w:tcW w:type="dxa" w:w="851"/>
                  <w:vMerge/>
                </w:tcPr>
                <w:p/>
              </w:tc>
              <w:tc>
                <w:tcPr>
                  <w:tcW w:type="dxa" w:w="851"/>
                  <w:vMerge/>
                </w:tcPr>
                <w:p/>
              </w:tc>
              <w:tc>
                <w:tcPr>
                  <w:tcW w:type="dxa" w:w="851"/>
                </w:tcPr>
                <w:p>
                  <w:pPr>
                    <w:pStyle w:val="null3"/>
                  </w:pPr>
                  <w:r>
                    <w:rPr/>
                    <w:t>≤20</w:t>
                  </w:r>
                  <w:r>
                    <w:rPr>
                      <w:vertAlign w:val="superscript"/>
                    </w:rPr>
                    <w:t>b</w:t>
                  </w:r>
                </w:p>
              </w:tc>
            </w:tr>
            <w:tr>
              <w:tc>
                <w:tcPr>
                  <w:tcW w:type="dxa" w:w="851"/>
                </w:tcPr>
                <w:p>
                  <w:pPr>
                    <w:pStyle w:val="null3"/>
                  </w:pPr>
                  <w:r>
                    <w:rPr/>
                    <w:t>2</w:t>
                  </w:r>
                </w:p>
              </w:tc>
              <w:tc>
                <w:tcPr>
                  <w:tcW w:type="dxa" w:w="851"/>
                </w:tcPr>
                <w:p>
                  <w:pPr>
                    <w:pStyle w:val="null3"/>
                  </w:pPr>
                  <w:r>
                    <w:rPr/>
                    <w:t>苯并[a]芘/（mg/kg）</w:t>
                  </w:r>
                </w:p>
              </w:tc>
              <w:tc>
                <w:tcPr>
                  <w:tcW w:type="dxa" w:w="851"/>
                </w:tcPr>
                <w:p>
                  <w:pPr>
                    <w:pStyle w:val="null3"/>
                  </w:pPr>
                  <w:r>
                    <w:rPr/>
                    <w:t>≤1.0</w:t>
                  </w:r>
                </w:p>
              </w:tc>
            </w:tr>
            <w:tr>
              <w:tc>
                <w:tcPr>
                  <w:tcW w:type="dxa" w:w="851"/>
                </w:tcPr>
                <w:p>
                  <w:pPr>
                    <w:pStyle w:val="null3"/>
                  </w:pPr>
                  <w:r>
                    <w:rPr/>
                    <w:t>3</w:t>
                  </w:r>
                </w:p>
              </w:tc>
              <w:tc>
                <w:tcPr>
                  <w:tcW w:type="dxa" w:w="851"/>
                </w:tcPr>
                <w:p>
                  <w:pPr>
                    <w:pStyle w:val="null3"/>
                  </w:pPr>
                  <w:r>
                    <w:rPr/>
                    <w:t>可溶性铅/（mg/kg）</w:t>
                  </w:r>
                </w:p>
              </w:tc>
              <w:tc>
                <w:tcPr>
                  <w:tcW w:type="dxa" w:w="851"/>
                </w:tcPr>
                <w:p>
                  <w:pPr>
                    <w:pStyle w:val="null3"/>
                  </w:pPr>
                  <w:r>
                    <w:rPr/>
                    <w:t>≤50</w:t>
                  </w:r>
                </w:p>
              </w:tc>
            </w:tr>
            <w:tr>
              <w:tc>
                <w:tcPr>
                  <w:tcW w:type="dxa" w:w="851"/>
                </w:tcPr>
                <w:p>
                  <w:pPr>
                    <w:pStyle w:val="null3"/>
                  </w:pPr>
                  <w:r>
                    <w:rPr/>
                    <w:t>4</w:t>
                  </w:r>
                </w:p>
              </w:tc>
              <w:tc>
                <w:tcPr>
                  <w:tcW w:type="dxa" w:w="851"/>
                </w:tcPr>
                <w:p>
                  <w:pPr>
                    <w:pStyle w:val="null3"/>
                  </w:pPr>
                  <w:r>
                    <w:rPr/>
                    <w:t>可溶性镉/（mg/kg）</w:t>
                  </w:r>
                </w:p>
              </w:tc>
              <w:tc>
                <w:tcPr>
                  <w:tcW w:type="dxa" w:w="851"/>
                </w:tcPr>
                <w:p>
                  <w:pPr>
                    <w:pStyle w:val="null3"/>
                  </w:pPr>
                  <w:r>
                    <w:rPr/>
                    <w:t>≤10</w:t>
                  </w:r>
                </w:p>
              </w:tc>
            </w:tr>
            <w:tr>
              <w:tc>
                <w:tcPr>
                  <w:tcW w:type="dxa" w:w="851"/>
                </w:tcPr>
                <w:p>
                  <w:pPr>
                    <w:pStyle w:val="null3"/>
                  </w:pPr>
                  <w:r>
                    <w:rPr/>
                    <w:t>5</w:t>
                  </w:r>
                </w:p>
              </w:tc>
              <w:tc>
                <w:tcPr>
                  <w:tcW w:type="dxa" w:w="851"/>
                </w:tcPr>
                <w:p>
                  <w:pPr>
                    <w:pStyle w:val="null3"/>
                  </w:pPr>
                  <w:r>
                    <w:rPr/>
                    <w:t>可溶性铬/（mg/kg）</w:t>
                  </w:r>
                </w:p>
              </w:tc>
              <w:tc>
                <w:tcPr>
                  <w:tcW w:type="dxa" w:w="851"/>
                </w:tcPr>
                <w:p>
                  <w:pPr>
                    <w:pStyle w:val="null3"/>
                  </w:pPr>
                  <w:r>
                    <w:rPr/>
                    <w:t>≤10</w:t>
                  </w:r>
                </w:p>
              </w:tc>
            </w:tr>
            <w:tr>
              <w:tc>
                <w:tcPr>
                  <w:tcW w:type="dxa" w:w="851"/>
                </w:tcPr>
                <w:p>
                  <w:pPr>
                    <w:pStyle w:val="null3"/>
                  </w:pPr>
                  <w:r>
                    <w:rPr/>
                    <w:t>6</w:t>
                  </w:r>
                </w:p>
              </w:tc>
              <w:tc>
                <w:tcPr>
                  <w:tcW w:type="dxa" w:w="851"/>
                </w:tcPr>
                <w:p>
                  <w:pPr>
                    <w:pStyle w:val="null3"/>
                  </w:pPr>
                  <w:r>
                    <w:rPr/>
                    <w:t>可溶性汞/（mg/kg）</w:t>
                  </w:r>
                </w:p>
              </w:tc>
              <w:tc>
                <w:tcPr>
                  <w:tcW w:type="dxa" w:w="851"/>
                </w:tcPr>
                <w:p>
                  <w:pPr>
                    <w:pStyle w:val="null3"/>
                  </w:pPr>
                  <w:r>
                    <w:rPr/>
                    <w:t>≤2</w:t>
                  </w:r>
                </w:p>
              </w:tc>
            </w:tr>
            <w:tr>
              <w:tc>
                <w:tcPr>
                  <w:tcW w:type="dxa" w:w="851"/>
                </w:tcPr>
                <w:p>
                  <w:pPr>
                    <w:pStyle w:val="null3"/>
                  </w:pPr>
                  <w:r>
                    <w:rPr/>
                    <w:t>7</w:t>
                  </w:r>
                </w:p>
              </w:tc>
              <w:tc>
                <w:tcPr>
                  <w:tcW w:type="dxa" w:w="851"/>
                </w:tcPr>
                <w:p>
                  <w:pPr>
                    <w:pStyle w:val="null3"/>
                  </w:pPr>
                  <w:r>
                    <w:rPr/>
                    <w:t>气味等级</w:t>
                  </w:r>
                  <w:r>
                    <w:rPr>
                      <w:vertAlign w:val="superscript"/>
                    </w:rPr>
                    <w:t>b</w:t>
                  </w:r>
                  <w:r>
                    <w:rPr/>
                    <w:t>/级</w:t>
                  </w:r>
                </w:p>
              </w:tc>
              <w:tc>
                <w:tcPr>
                  <w:tcW w:type="dxa" w:w="851"/>
                </w:tcPr>
                <w:p>
                  <w:pPr>
                    <w:pStyle w:val="null3"/>
                  </w:pPr>
                  <w:r>
                    <w:rPr/>
                    <w:t>≤3</w:t>
                  </w:r>
                </w:p>
              </w:tc>
            </w:tr>
          </w:tbl>
          <w:p>
            <w:pPr>
              <w:pStyle w:val="null3"/>
            </w:pPr>
            <w:r>
              <w:rPr/>
              <w:t>3、非固体原材料中的有害物质限量需符合国标GB 36246-2018《中小学合成材料面层运动场地》标准要求</w:t>
            </w:r>
          </w:p>
          <w:tbl>
            <w:tblPr>
              <w:tblBorders>
                <w:top w:val="single"/>
                <w:left w:val="single"/>
                <w:bottom w:val="single"/>
                <w:right w:val="single"/>
                <w:insideH w:val="single"/>
                <w:insideV w:val="single"/>
              </w:tblBorders>
            </w:tblPr>
            <w:tblGrid>
              <w:gridCol w:w="638"/>
              <w:gridCol w:w="638"/>
              <w:gridCol w:w="638"/>
              <w:gridCol w:w="638"/>
            </w:tblGrid>
            <w:tr>
              <w:tc>
                <w:tcPr>
                  <w:tcW w:type="dxa" w:w="638"/>
                </w:tcPr>
                <w:p>
                  <w:pPr>
                    <w:pStyle w:val="null3"/>
                  </w:pPr>
                  <w:r>
                    <w:rPr/>
                    <w:t>序列</w:t>
                  </w:r>
                </w:p>
              </w:tc>
              <w:tc>
                <w:tcPr>
                  <w:tcW w:type="dxa" w:w="1276"/>
                  <w:gridSpan w:val="2"/>
                </w:tcPr>
                <w:p>
                  <w:pPr>
                    <w:pStyle w:val="null3"/>
                  </w:pPr>
                  <w:r>
                    <w:rPr/>
                    <w:t>检测项目</w:t>
                  </w:r>
                </w:p>
              </w:tc>
              <w:tc>
                <w:tcPr>
                  <w:tcW w:type="dxa" w:w="638"/>
                </w:tcPr>
                <w:p>
                  <w:pPr>
                    <w:pStyle w:val="null3"/>
                  </w:pPr>
                  <w:r>
                    <w:rPr/>
                    <w:t>检测结果</w:t>
                  </w:r>
                </w:p>
              </w:tc>
            </w:tr>
            <w:tr>
              <w:tc>
                <w:tcPr>
                  <w:tcW w:type="dxa" w:w="638"/>
                </w:tcPr>
                <w:p>
                  <w:pPr>
                    <w:pStyle w:val="null3"/>
                  </w:pPr>
                  <w:r>
                    <w:rPr/>
                    <w:t>1</w:t>
                  </w:r>
                </w:p>
              </w:tc>
              <w:tc>
                <w:tcPr>
                  <w:tcW w:type="dxa" w:w="638"/>
                  <w:vMerge w:val="restart"/>
                </w:tcPr>
                <w:p>
                  <w:pPr>
                    <w:pStyle w:val="null3"/>
                  </w:pPr>
                  <w:r>
                    <w:rPr/>
                    <w:t>有害物质含量</w:t>
                  </w:r>
                </w:p>
              </w:tc>
              <w:tc>
                <w:tcPr>
                  <w:tcW w:type="dxa" w:w="638"/>
                </w:tcPr>
                <w:p>
                  <w:pPr>
                    <w:pStyle w:val="null3"/>
                  </w:pPr>
                  <w:r>
                    <w:rPr/>
                    <w:t>3 种邻苯二甲酸酯类化合物（DBP、BBP、DEHP）总和</w:t>
                  </w:r>
                  <w:r>
                    <w:rPr>
                      <w:vertAlign w:val="superscript"/>
                    </w:rPr>
                    <w:t>b</w:t>
                  </w:r>
                  <w:r>
                    <w:rPr/>
                    <w:t xml:space="preserve"> /（g/kg）</w:t>
                  </w:r>
                </w:p>
              </w:tc>
              <w:tc>
                <w:tcPr>
                  <w:tcW w:type="dxa" w:w="638"/>
                </w:tcPr>
                <w:p>
                  <w:pPr>
                    <w:pStyle w:val="null3"/>
                  </w:pPr>
                  <w:r>
                    <w:rPr/>
                    <w:t>≤1.0</w:t>
                  </w:r>
                </w:p>
              </w:tc>
            </w:tr>
            <w:tr>
              <w:tc>
                <w:tcPr>
                  <w:tcW w:type="dxa" w:w="638"/>
                </w:tcPr>
                <w:p>
                  <w:pPr>
                    <w:pStyle w:val="null3"/>
                  </w:pPr>
                  <w:r>
                    <w:rPr/>
                    <w:t>2</w:t>
                  </w:r>
                </w:p>
              </w:tc>
              <w:tc>
                <w:tcPr>
                  <w:tcW w:type="dxa" w:w="638"/>
                  <w:vMerge/>
                </w:tcPr>
                <w:p/>
              </w:tc>
              <w:tc>
                <w:tcPr>
                  <w:tcW w:type="dxa" w:w="638"/>
                </w:tcPr>
                <w:p>
                  <w:pPr>
                    <w:pStyle w:val="null3"/>
                  </w:pPr>
                  <w:r>
                    <w:rPr/>
                    <w:t>3 种邻苯二甲酸酯类化合物（DNOP、DINP、DIDP）总和</w:t>
                  </w:r>
                  <w:r>
                    <w:rPr>
                      <w:vertAlign w:val="superscript"/>
                    </w:rPr>
                    <w:t>b</w:t>
                  </w:r>
                  <w:r>
                    <w:rPr/>
                    <w:t>/（g/kg）</w:t>
                  </w:r>
                </w:p>
              </w:tc>
              <w:tc>
                <w:tcPr>
                  <w:tcW w:type="dxa" w:w="638"/>
                </w:tcPr>
                <w:p>
                  <w:pPr>
                    <w:pStyle w:val="null3"/>
                  </w:pPr>
                  <w:r>
                    <w:rPr/>
                    <w:t>≤1.0</w:t>
                  </w:r>
                </w:p>
              </w:tc>
            </w:tr>
            <w:tr>
              <w:tc>
                <w:tcPr>
                  <w:tcW w:type="dxa" w:w="638"/>
                </w:tcPr>
                <w:p>
                  <w:pPr>
                    <w:pStyle w:val="null3"/>
                  </w:pPr>
                  <w:r>
                    <w:rPr/>
                    <w:t>3</w:t>
                  </w:r>
                </w:p>
              </w:tc>
              <w:tc>
                <w:tcPr>
                  <w:tcW w:type="dxa" w:w="638"/>
                  <w:vMerge/>
                </w:tcPr>
                <w:p/>
              </w:tc>
              <w:tc>
                <w:tcPr>
                  <w:tcW w:type="dxa" w:w="638"/>
                </w:tcPr>
                <w:p>
                  <w:pPr>
                    <w:pStyle w:val="null3"/>
                  </w:pPr>
                  <w:r>
                    <w:rPr/>
                    <w:t>短链氯化石蜡（C</w:t>
                  </w:r>
                  <w:r>
                    <w:rPr>
                      <w:vertAlign w:val="subscript"/>
                    </w:rPr>
                    <w:t>10</w:t>
                  </w:r>
                  <w:r>
                    <w:rPr/>
                    <w:t>-C</w:t>
                  </w:r>
                  <w:r>
                    <w:rPr>
                      <w:vertAlign w:val="subscript"/>
                    </w:rPr>
                    <w:t>13</w:t>
                  </w:r>
                  <w:r>
                    <w:rPr/>
                    <w:t>）/（g/kg）</w:t>
                  </w:r>
                </w:p>
              </w:tc>
              <w:tc>
                <w:tcPr>
                  <w:tcW w:type="dxa" w:w="638"/>
                </w:tcPr>
                <w:p>
                  <w:pPr>
                    <w:pStyle w:val="null3"/>
                  </w:pPr>
                  <w:r>
                    <w:rPr/>
                    <w:t>≤1.5</w:t>
                  </w:r>
                </w:p>
              </w:tc>
            </w:tr>
            <w:tr>
              <w:tc>
                <w:tcPr>
                  <w:tcW w:type="dxa" w:w="638"/>
                </w:tcPr>
                <w:p>
                  <w:pPr>
                    <w:pStyle w:val="null3"/>
                  </w:pPr>
                  <w:r>
                    <w:rPr/>
                    <w:t>4</w:t>
                  </w:r>
                </w:p>
              </w:tc>
              <w:tc>
                <w:tcPr>
                  <w:tcW w:type="dxa" w:w="638"/>
                  <w:vMerge/>
                </w:tcPr>
                <w:p/>
              </w:tc>
              <w:tc>
                <w:tcPr>
                  <w:tcW w:type="dxa" w:w="638"/>
                </w:tcPr>
                <w:p>
                  <w:pPr>
                    <w:pStyle w:val="null3"/>
                  </w:pPr>
                  <w:r>
                    <w:rPr/>
                    <w:t>游离甲苯二异氰酸酯（TDI）和游离六亚甲基二异氰酸酯（HDI）总和/（g/kg）</w:t>
                  </w:r>
                </w:p>
              </w:tc>
              <w:tc>
                <w:tcPr>
                  <w:tcW w:type="dxa" w:w="638"/>
                </w:tcPr>
                <w:p>
                  <w:pPr>
                    <w:pStyle w:val="null3"/>
                  </w:pPr>
                  <w:r>
                    <w:rPr/>
                    <w:t>≤10</w:t>
                  </w:r>
                </w:p>
              </w:tc>
            </w:tr>
            <w:tr>
              <w:tc>
                <w:tcPr>
                  <w:tcW w:type="dxa" w:w="638"/>
                </w:tcPr>
                <w:p>
                  <w:pPr>
                    <w:pStyle w:val="null3"/>
                  </w:pPr>
                  <w:r>
                    <w:rPr/>
                    <w:t>5</w:t>
                  </w:r>
                </w:p>
              </w:tc>
              <w:tc>
                <w:tcPr>
                  <w:tcW w:type="dxa" w:w="638"/>
                  <w:vMerge/>
                </w:tcPr>
                <w:p/>
              </w:tc>
              <w:tc>
                <w:tcPr>
                  <w:tcW w:type="dxa" w:w="638"/>
                </w:tcPr>
                <w:p>
                  <w:pPr>
                    <w:pStyle w:val="null3"/>
                  </w:pPr>
                  <w:r>
                    <w:rPr/>
                    <w:t>挥发性有机化合物/（g/L)</w:t>
                  </w:r>
                </w:p>
              </w:tc>
              <w:tc>
                <w:tcPr>
                  <w:tcW w:type="dxa" w:w="638"/>
                </w:tcPr>
                <w:p>
                  <w:pPr>
                    <w:pStyle w:val="null3"/>
                  </w:pPr>
                  <w:r>
                    <w:rPr/>
                    <w:t>≤50</w:t>
                  </w:r>
                </w:p>
              </w:tc>
            </w:tr>
            <w:tr>
              <w:tc>
                <w:tcPr>
                  <w:tcW w:type="dxa" w:w="638"/>
                </w:tcPr>
                <w:p>
                  <w:pPr>
                    <w:pStyle w:val="null3"/>
                  </w:pPr>
                  <w:r>
                    <w:rPr/>
                    <w:t>6</w:t>
                  </w:r>
                </w:p>
              </w:tc>
              <w:tc>
                <w:tcPr>
                  <w:tcW w:type="dxa" w:w="638"/>
                  <w:vMerge/>
                </w:tcPr>
                <w:p/>
              </w:tc>
              <w:tc>
                <w:tcPr>
                  <w:tcW w:type="dxa" w:w="638"/>
                </w:tcPr>
                <w:p>
                  <w:pPr>
                    <w:pStyle w:val="null3"/>
                  </w:pPr>
                  <w:r>
                    <w:rPr/>
                    <w:t>游离甲醛/（g/kg）</w:t>
                  </w:r>
                </w:p>
              </w:tc>
              <w:tc>
                <w:tcPr>
                  <w:tcW w:type="dxa" w:w="638"/>
                </w:tcPr>
                <w:p>
                  <w:pPr>
                    <w:pStyle w:val="null3"/>
                  </w:pPr>
                  <w:r>
                    <w:rPr/>
                    <w:t>≤0.50</w:t>
                  </w:r>
                </w:p>
              </w:tc>
            </w:tr>
            <w:tr>
              <w:tc>
                <w:tcPr>
                  <w:tcW w:type="dxa" w:w="638"/>
                </w:tcPr>
                <w:p>
                  <w:pPr>
                    <w:pStyle w:val="null3"/>
                  </w:pPr>
                  <w:r>
                    <w:rPr/>
                    <w:t>7</w:t>
                  </w:r>
                </w:p>
              </w:tc>
              <w:tc>
                <w:tcPr>
                  <w:tcW w:type="dxa" w:w="638"/>
                  <w:vMerge/>
                </w:tcPr>
                <w:p/>
              </w:tc>
              <w:tc>
                <w:tcPr>
                  <w:tcW w:type="dxa" w:w="638"/>
                </w:tcPr>
                <w:p>
                  <w:pPr>
                    <w:pStyle w:val="null3"/>
                  </w:pPr>
                  <w:r>
                    <w:rPr/>
                    <w:t>苯/（g/kg）</w:t>
                  </w:r>
                </w:p>
              </w:tc>
              <w:tc>
                <w:tcPr>
                  <w:tcW w:type="dxa" w:w="638"/>
                </w:tcPr>
                <w:p>
                  <w:pPr>
                    <w:pStyle w:val="null3"/>
                  </w:pPr>
                  <w:r>
                    <w:rPr/>
                    <w:t>≤0.05</w:t>
                  </w:r>
                </w:p>
              </w:tc>
            </w:tr>
            <w:tr>
              <w:tc>
                <w:tcPr>
                  <w:tcW w:type="dxa" w:w="638"/>
                </w:tcPr>
                <w:p>
                  <w:pPr>
                    <w:pStyle w:val="null3"/>
                  </w:pPr>
                  <w:r>
                    <w:rPr/>
                    <w:t>8</w:t>
                  </w:r>
                </w:p>
              </w:tc>
              <w:tc>
                <w:tcPr>
                  <w:tcW w:type="dxa" w:w="638"/>
                  <w:vMerge/>
                </w:tcPr>
                <w:p/>
              </w:tc>
              <w:tc>
                <w:tcPr>
                  <w:tcW w:type="dxa" w:w="638"/>
                </w:tcPr>
                <w:p>
                  <w:pPr>
                    <w:pStyle w:val="null3"/>
                  </w:pPr>
                  <w:r>
                    <w:rPr/>
                    <w:t>甲苯、二甲苯和乙苯总和/（g/kg）</w:t>
                  </w:r>
                </w:p>
              </w:tc>
              <w:tc>
                <w:tcPr>
                  <w:tcW w:type="dxa" w:w="638"/>
                </w:tcPr>
                <w:p>
                  <w:pPr>
                    <w:pStyle w:val="null3"/>
                  </w:pPr>
                  <w:r>
                    <w:rPr/>
                    <w:t>≤1.0</w:t>
                  </w:r>
                </w:p>
              </w:tc>
            </w:tr>
            <w:tr>
              <w:tc>
                <w:tcPr>
                  <w:tcW w:type="dxa" w:w="638"/>
                </w:tcPr>
                <w:p>
                  <w:pPr>
                    <w:pStyle w:val="null3"/>
                  </w:pPr>
                  <w:r>
                    <w:rPr/>
                    <w:t>9</w:t>
                  </w:r>
                </w:p>
              </w:tc>
              <w:tc>
                <w:tcPr>
                  <w:tcW w:type="dxa" w:w="638"/>
                  <w:vMerge/>
                </w:tcPr>
                <w:p/>
              </w:tc>
              <w:tc>
                <w:tcPr>
                  <w:tcW w:type="dxa" w:w="638"/>
                </w:tcPr>
                <w:p>
                  <w:pPr>
                    <w:pStyle w:val="null3"/>
                  </w:pPr>
                  <w:r>
                    <w:rPr/>
                    <w:t>可溶性铅/（mg/kg）</w:t>
                  </w:r>
                </w:p>
              </w:tc>
              <w:tc>
                <w:tcPr>
                  <w:tcW w:type="dxa" w:w="638"/>
                </w:tcPr>
                <w:p>
                  <w:pPr>
                    <w:pStyle w:val="null3"/>
                  </w:pPr>
                  <w:r>
                    <w:rPr/>
                    <w:t>≤50</w:t>
                  </w:r>
                </w:p>
              </w:tc>
            </w:tr>
            <w:tr>
              <w:tc>
                <w:tcPr>
                  <w:tcW w:type="dxa" w:w="638"/>
                </w:tcPr>
                <w:p>
                  <w:pPr>
                    <w:pStyle w:val="null3"/>
                  </w:pPr>
                  <w:r>
                    <w:rPr/>
                    <w:t>10</w:t>
                  </w:r>
                </w:p>
              </w:tc>
              <w:tc>
                <w:tcPr>
                  <w:tcW w:type="dxa" w:w="638"/>
                  <w:vMerge/>
                </w:tcPr>
                <w:p/>
              </w:tc>
              <w:tc>
                <w:tcPr>
                  <w:tcW w:type="dxa" w:w="638"/>
                </w:tcPr>
                <w:p>
                  <w:pPr>
                    <w:pStyle w:val="null3"/>
                  </w:pPr>
                  <w:r>
                    <w:rPr/>
                    <w:t>可溶性镉/（mg/kg）</w:t>
                  </w:r>
                </w:p>
              </w:tc>
              <w:tc>
                <w:tcPr>
                  <w:tcW w:type="dxa" w:w="638"/>
                </w:tcPr>
                <w:p>
                  <w:pPr>
                    <w:pStyle w:val="null3"/>
                  </w:pPr>
                  <w:r>
                    <w:rPr/>
                    <w:t>≤10</w:t>
                  </w:r>
                </w:p>
              </w:tc>
            </w:tr>
            <w:tr>
              <w:tc>
                <w:tcPr>
                  <w:tcW w:type="dxa" w:w="638"/>
                </w:tcPr>
                <w:p>
                  <w:pPr>
                    <w:pStyle w:val="null3"/>
                  </w:pPr>
                  <w:r>
                    <w:rPr/>
                    <w:t>11</w:t>
                  </w:r>
                </w:p>
              </w:tc>
              <w:tc>
                <w:tcPr>
                  <w:tcW w:type="dxa" w:w="638"/>
                  <w:vMerge/>
                </w:tcPr>
                <w:p/>
              </w:tc>
              <w:tc>
                <w:tcPr>
                  <w:tcW w:type="dxa" w:w="638"/>
                </w:tcPr>
                <w:p>
                  <w:pPr>
                    <w:pStyle w:val="null3"/>
                  </w:pPr>
                  <w:r>
                    <w:rPr/>
                    <w:t>可溶性铬/（mg/kg）</w:t>
                  </w:r>
                </w:p>
              </w:tc>
              <w:tc>
                <w:tcPr>
                  <w:tcW w:type="dxa" w:w="638"/>
                </w:tcPr>
                <w:p>
                  <w:pPr>
                    <w:pStyle w:val="null3"/>
                  </w:pPr>
                  <w:r>
                    <w:rPr/>
                    <w:t>≤10</w:t>
                  </w:r>
                </w:p>
              </w:tc>
            </w:tr>
            <w:tr>
              <w:tc>
                <w:tcPr>
                  <w:tcW w:type="dxa" w:w="638"/>
                </w:tcPr>
                <w:p>
                  <w:pPr>
                    <w:pStyle w:val="null3"/>
                  </w:pPr>
                  <w:r>
                    <w:rPr/>
                    <w:t>12</w:t>
                  </w:r>
                </w:p>
              </w:tc>
              <w:tc>
                <w:tcPr>
                  <w:tcW w:type="dxa" w:w="638"/>
                  <w:vMerge/>
                </w:tcPr>
                <w:p/>
              </w:tc>
              <w:tc>
                <w:tcPr>
                  <w:tcW w:type="dxa" w:w="638"/>
                </w:tcPr>
                <w:p>
                  <w:pPr>
                    <w:pStyle w:val="null3"/>
                  </w:pPr>
                  <w:r>
                    <w:rPr/>
                    <w:t>可溶性汞/（mg/kg）</w:t>
                  </w:r>
                </w:p>
              </w:tc>
              <w:tc>
                <w:tcPr>
                  <w:tcW w:type="dxa" w:w="638"/>
                </w:tcPr>
                <w:p>
                  <w:pPr>
                    <w:pStyle w:val="null3"/>
                  </w:pPr>
                  <w:r>
                    <w:rPr/>
                    <w:t>≤2</w:t>
                  </w:r>
                </w:p>
              </w:tc>
            </w:tr>
          </w:tbl>
          <w:p>
            <w:pPr>
              <w:pStyle w:val="null3"/>
            </w:pPr>
            <w:r>
              <w:rPr/>
              <w:t>4、证明材料要求</w:t>
            </w:r>
          </w:p>
          <w:tbl>
            <w:tblPr>
              <w:tblBorders>
                <w:top w:val="single"/>
                <w:left w:val="single"/>
                <w:bottom w:val="single"/>
                <w:right w:val="single"/>
                <w:insideH w:val="single"/>
                <w:insideV w:val="single"/>
              </w:tblBorders>
            </w:tblPr>
            <w:tblGrid>
              <w:gridCol w:w="1276"/>
              <w:gridCol w:w="1276"/>
            </w:tblGrid>
            <w:tr>
              <w:tc>
                <w:tcPr>
                  <w:tcW w:type="dxa" w:w="1276"/>
                </w:tcPr>
                <w:p>
                  <w:pPr>
                    <w:pStyle w:val="null3"/>
                  </w:pPr>
                  <w:r>
                    <w:rPr/>
                    <w:t>1</w:t>
                  </w:r>
                </w:p>
              </w:tc>
              <w:tc>
                <w:tcPr>
                  <w:tcW w:type="dxa" w:w="1276"/>
                </w:tcPr>
                <w:p>
                  <w:pPr>
                    <w:pStyle w:val="null3"/>
                  </w:pPr>
                  <w:r>
                    <w:rPr/>
                    <w:t>塑胶面层生产企业具备有效期内的ISO 9001：2015质量管理体系认证证书、ISO 14001：2015环境管理体系认证证书、ISO 45001：2018职业健康安全管理体系认证证书</w:t>
                  </w:r>
                </w:p>
              </w:tc>
            </w:tr>
            <w:tr>
              <w:tc>
                <w:tcPr>
                  <w:tcW w:type="dxa" w:w="1276"/>
                </w:tcPr>
                <w:p>
                  <w:pPr>
                    <w:pStyle w:val="null3"/>
                  </w:pPr>
                  <w:r>
                    <w:rPr/>
                    <w:t>2</w:t>
                  </w:r>
                </w:p>
              </w:tc>
              <w:tc>
                <w:tcPr>
                  <w:tcW w:type="dxa" w:w="1276"/>
                </w:tcPr>
                <w:p>
                  <w:pPr>
                    <w:pStyle w:val="null3"/>
                  </w:pPr>
                  <w:r>
                    <w:rPr/>
                    <w:t>硅PU满足招标文件技术参数中对非固体有害物质限量的要求，依据GB36246-2018检测结果全部为合格的。</w:t>
                  </w:r>
                </w:p>
              </w:tc>
            </w:tr>
            <w:tr>
              <w:tc>
                <w:tcPr>
                  <w:tcW w:type="dxa" w:w="1276"/>
                </w:tcPr>
                <w:p>
                  <w:pPr>
                    <w:pStyle w:val="null3"/>
                  </w:pPr>
                  <w:r>
                    <w:rPr/>
                    <w:t>3</w:t>
                  </w:r>
                </w:p>
              </w:tc>
              <w:tc>
                <w:tcPr>
                  <w:tcW w:type="dxa" w:w="1276"/>
                </w:tcPr>
                <w:p>
                  <w:pPr>
                    <w:pStyle w:val="null3"/>
                  </w:pPr>
                  <w:r>
                    <w:rPr/>
                    <w:t>水性面漆有害物质限量满足招标文件技术参数中对非固体有害物质限量的要求，依据GB36246-2018检测结果全部为合格</w:t>
                  </w:r>
                </w:p>
              </w:tc>
            </w:tr>
            <w:tr>
              <w:tc>
                <w:tcPr>
                  <w:tcW w:type="dxa" w:w="1276"/>
                </w:tcPr>
                <w:p>
                  <w:pPr>
                    <w:pStyle w:val="null3"/>
                  </w:pPr>
                  <w:r>
                    <w:rPr/>
                    <w:t>4</w:t>
                  </w:r>
                </w:p>
              </w:tc>
              <w:tc>
                <w:tcPr>
                  <w:tcW w:type="dxa" w:w="1276"/>
                </w:tcPr>
                <w:p>
                  <w:pPr>
                    <w:pStyle w:val="null3"/>
                  </w:pPr>
                  <w:r>
                    <w:rPr/>
                    <w:t>投入施工使用的外加剂（稀释剂、催干剂等）满足招标文件技术参数中对非固体有害物质限量的要求。</w:t>
                  </w:r>
                </w:p>
              </w:tc>
            </w:tr>
            <w:tr>
              <w:tc>
                <w:tcPr>
                  <w:tcW w:type="dxa" w:w="1276"/>
                </w:tcPr>
                <w:p>
                  <w:pPr>
                    <w:pStyle w:val="null3"/>
                  </w:pPr>
                  <w:r>
                    <w:rPr/>
                    <w:t>5</w:t>
                  </w:r>
                </w:p>
              </w:tc>
              <w:tc>
                <w:tcPr>
                  <w:tcW w:type="dxa" w:w="1276"/>
                </w:tcPr>
                <w:p>
                  <w:pPr>
                    <w:pStyle w:val="null3"/>
                  </w:pPr>
                  <w:r>
                    <w:rPr/>
                    <w:t>划线漆满足招标文件技术参数中对非固体有害物质限量的要求，依据GB36246-2018检测结果全部为合格。</w:t>
                  </w:r>
                </w:p>
              </w:tc>
            </w:tr>
            <w:tr>
              <w:tc>
                <w:tcPr>
                  <w:tcW w:type="dxa" w:w="1276"/>
                </w:tcPr>
                <w:p>
                  <w:pPr>
                    <w:pStyle w:val="null3"/>
                  </w:pPr>
                  <w:r>
                    <w:rPr/>
                    <w:t>6</w:t>
                  </w:r>
                </w:p>
              </w:tc>
              <w:tc>
                <w:tcPr>
                  <w:tcW w:type="dxa" w:w="1276"/>
                </w:tcPr>
                <w:p>
                  <w:pPr>
                    <w:pStyle w:val="null3"/>
                  </w:pPr>
                  <w:r>
                    <w:rPr/>
                    <w:t>硅PU面层依据GB36246-2018检测结果全部为合格。</w:t>
                  </w:r>
                </w:p>
              </w:tc>
            </w:tr>
          </w:tbl>
          <w:p>
            <w:pPr>
              <w:pStyle w:val="null3"/>
              <w:numPr>
                <w:ilvl w:val="0"/>
                <w:numId w:val="1"/>
              </w:numPr>
            </w:pPr>
            <w:r>
              <w:rPr/>
              <w:t>其他说明：</w:t>
            </w:r>
          </w:p>
          <w:p>
            <w:pPr>
              <w:pStyle w:val="null3"/>
            </w:pPr>
            <w:r>
              <w:rPr/>
              <w:t>1.以上1-6项要求需提供相应证明文件复印件，各供应商投标时应带上样品（硅PU,数量：1块，尺寸：100CM*100CM，厚度：8MM）。</w:t>
            </w:r>
          </w:p>
          <w:p>
            <w:pPr>
              <w:pStyle w:val="null3"/>
            </w:pPr>
            <w:r>
              <w:rPr/>
              <w:t>2.硅PU篮球场质保期为8年，质保期内需进行维修或更换时，相关费用包含在最终报价中。</w:t>
            </w:r>
          </w:p>
          <w:p>
            <w:pPr>
              <w:pStyle w:val="null3"/>
            </w:pPr>
            <w:r>
              <w:rPr/>
              <w:t>3.西安科技大学临潼校区秦汉校园场地的整平修复费用应包含在报价中。</w:t>
            </w:r>
          </w:p>
          <w:p>
            <w:pPr>
              <w:pStyle w:val="null3"/>
            </w:pPr>
            <w:r>
              <w:rPr/>
              <w:t>4.检测报告：检测报告送检机构应和分项报价表中产品厂家一致，否则视为负偏离。</w:t>
            </w:r>
          </w:p>
          <w:p>
            <w:pPr>
              <w:pStyle w:val="null3"/>
            </w:pPr>
            <w:r>
              <w:rPr/>
              <w:t>二、器材技术参数及要求</w:t>
            </w:r>
          </w:p>
          <w:p>
            <w:pPr>
              <w:pStyle w:val="null3"/>
            </w:pPr>
            <w:r>
              <w:rPr/>
              <w:t>篮球架技术参数及要求</w:t>
            </w:r>
          </w:p>
          <w:p>
            <w:pPr>
              <w:pStyle w:val="null3"/>
            </w:pPr>
            <w:r>
              <w:rPr/>
              <w:t>1、地埋篮球架，下立柱尺寸≥200x250mm，钢材厚度≥4.0mm，篮球架伸臂长≥1.8m，篮圈上沿离地面3.05m。篮架立柱需带有室外抗老化、耐腐蚀、耐磨型防护软包，篮架需提供产品彩色图片。</w:t>
            </w:r>
          </w:p>
          <w:p>
            <w:pPr>
              <w:pStyle w:val="null3"/>
            </w:pPr>
            <w:r>
              <w:rPr/>
              <w:t>2、篮板规格：1800x1050（mm），配用国际通用的高强度安全钢化玻璃篮板，具有透明度高、不易模糊等特点，篮球板玻璃达到3C认证标准。</w:t>
            </w:r>
          </w:p>
          <w:p>
            <w:pPr>
              <w:pStyle w:val="null3"/>
            </w:pPr>
            <w:r>
              <w:rPr/>
              <w:t>3、篮板外围边框采用金属材质模具压制而成，内置筋板结构，使用强度高，国标安装孔距。</w:t>
            </w:r>
          </w:p>
          <w:p>
            <w:pPr>
              <w:pStyle w:val="null3"/>
            </w:pPr>
            <w:r>
              <w:rPr/>
              <w:t>4、篮筐：新国标篮筐，篮筐采用≥φ18实心圆钢制作。配带尼龙篮球网，篮筐抗弯性能好。</w:t>
            </w:r>
          </w:p>
          <w:p>
            <w:pPr>
              <w:pStyle w:val="null3"/>
            </w:pPr>
            <w:r>
              <w:rPr/>
              <w:t>5、品牌为国际或国内一线品牌，所投篮球架生产厂家须通过NSCC认证和FIBA国际篮联认证；（需提供证明文件复印件）。</w:t>
            </w:r>
          </w:p>
          <w:p>
            <w:pPr>
              <w:pStyle w:val="null3"/>
            </w:pPr>
            <w:r>
              <w:rPr/>
              <w:t>6、提供所投篮球架产品责任保险、产品质量保险、公众责任保险和团体意外伤害险，投保时间须在招标信息公布之前，并出具有效期内的产品保险承诺。</w:t>
            </w:r>
          </w:p>
          <w:p>
            <w:pPr>
              <w:pStyle w:val="null3"/>
            </w:pPr>
            <w:r>
              <w:rPr/>
              <w:t>三、照明技术参数及要求</w:t>
            </w:r>
          </w:p>
          <w:p>
            <w:pPr>
              <w:pStyle w:val="null3"/>
            </w:pPr>
            <w:r>
              <w:rPr/>
              <w:t>球场照明灯具技术参数：</w:t>
            </w:r>
          </w:p>
          <w:p>
            <w:pPr>
              <w:pStyle w:val="null3"/>
            </w:pPr>
            <w:r>
              <w:rPr/>
              <w:t>1、额定电压：AC220V</w:t>
            </w:r>
          </w:p>
          <w:p>
            <w:pPr>
              <w:pStyle w:val="null3"/>
            </w:pPr>
            <w:r>
              <w:rPr/>
              <w:t>2、额定功率：≥500W</w:t>
            </w:r>
          </w:p>
          <w:p>
            <w:pPr>
              <w:pStyle w:val="null3"/>
            </w:pPr>
            <w:r>
              <w:rPr/>
              <w:t>3、使用环境温度：-20℃~+45℃</w:t>
            </w:r>
          </w:p>
          <w:p>
            <w:pPr>
              <w:pStyle w:val="null3"/>
            </w:pPr>
            <w:r>
              <w:rPr/>
              <w:t>4、外壳防护等级：IP65</w:t>
            </w:r>
          </w:p>
          <w:p>
            <w:pPr>
              <w:pStyle w:val="null3"/>
            </w:pPr>
            <w:r>
              <w:rPr/>
              <w:t>球场灯杆技术参数：</w:t>
            </w:r>
          </w:p>
          <w:p>
            <w:pPr>
              <w:pStyle w:val="null3"/>
              <w:numPr>
                <w:ilvl w:val="0"/>
                <w:numId w:val="1"/>
              </w:numPr>
            </w:pPr>
            <w:r>
              <w:rPr/>
              <w:t>灯杆地面高度10米</w:t>
            </w:r>
          </w:p>
          <w:p>
            <w:pPr>
              <w:pStyle w:val="null3"/>
              <w:numPr>
                <w:ilvl w:val="0"/>
                <w:numId w:val="1"/>
              </w:numPr>
            </w:pPr>
            <w:r>
              <w:rPr/>
              <w:t>灯杆下口径≥φ175mm，上口径≥φ70mm，壁厚≥3.5mm</w:t>
            </w:r>
          </w:p>
          <w:p>
            <w:pPr>
              <w:pStyle w:val="null3"/>
            </w:pPr>
            <w:r>
              <w:rPr/>
              <w:t xml:space="preserve"> </w:t>
            </w:r>
          </w:p>
        </w:tc>
      </w:tr>
    </w:tbl>
    <w:p>
      <w:pPr>
        <w:pStyle w:val="null3"/>
        <w:ind w:firstLine="480"/>
      </w:pPr>
      <w:r>
        <w:rPr/>
        <w:t>二、供应商针对本项目的施工，必须达到国家及行业现行技术规范标准，符合国家及行业验收合格标准：</w:t>
      </w:r>
    </w:p>
    <w:p>
      <w:pPr>
        <w:pStyle w:val="null3"/>
      </w:pPr>
      <w:r>
        <w:rPr/>
        <w:t>采购包1：</w:t>
      </w:r>
    </w:p>
    <w:p>
      <w:pPr>
        <w:pStyle w:val="null3"/>
      </w:pPr>
      <w:r>
        <w:rPr/>
        <w:t>质量标准执行国家、陕西省、西安市现行工程质量验评标准</w:t>
      </w:r>
    </w:p>
    <w:p>
      <w:pPr>
        <w:pStyle w:val="null3"/>
        <w:ind w:firstLine="480"/>
      </w:pPr>
      <w:r>
        <w:rPr/>
        <w:t>三、针对本项目的其他技术服务要求：</w:t>
      </w:r>
    </w:p>
    <w:p>
      <w:pPr>
        <w:pStyle w:val="null3"/>
      </w:pPr>
      <w:r>
        <w:rPr/>
        <w:t>1.工期要求：70日历日。 2.施工地点：西安科技大学指定地点。 3.质保期：项目整体质保2年，其中硅PU面层为8年。 4.工程质量：合格。 5.采购资金的支付方式及时间：（1）合同签订后，达到付款条件起 14日内，支付合同总金额的40.00%。 （2）工程完工经学校验收合格后，达到付款条件起14日内，支付合同总金额的 20.00%。 （3）经工程审计后，达到付款条件起14日内，支付至审定总价97%。 （4）剩余合同总价的3%，待项目整体质保期满后无息退还。</w:t>
      </w:r>
    </w:p>
    <w:p>
      <w:pPr>
        <w:pStyle w:val="null3"/>
        <w:ind w:firstLine="480"/>
      </w:pPr>
      <w:r>
        <w:rPr/>
        <w:t>四、工程量清单（详见附件）</w:t>
      </w:r>
    </w:p>
    <w:p>
      <w:pPr>
        <w:pStyle w:val="null3"/>
        <w:ind w:firstLine="480"/>
      </w:pPr>
      <w:r>
        <w:rPr/>
        <w:t xml:space="preserve"> （说明：工程量清单应当结合《政府采购需求管理办法》（财库〔2021〕22号）第六条第二款规定，明确相关性能、材料、结构、外观、安全、标准等。）</w:t>
      </w:r>
    </w:p>
    <w:p>
      <w:pPr>
        <w:pStyle w:val="null3"/>
        <w:outlineLvl w:val="2"/>
      </w:pPr>
      <w:r>
        <w:rPr>
          <w:b/>
          <w:sz w:val="28"/>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序号</w:t>
            </w:r>
          </w:p>
        </w:tc>
        <w:tc>
          <w:tcPr>
            <w:tcW w:type="dxa" w:w="2769"/>
          </w:tcPr>
          <w:p>
            <w:pPr>
              <w:pStyle w:val="null3"/>
            </w:pPr>
            <w:r>
              <w:rPr/>
              <w:t>项目</w:t>
            </w:r>
          </w:p>
        </w:tc>
        <w:tc>
          <w:tcPr>
            <w:tcW w:type="dxa" w:w="2769"/>
          </w:tcPr>
          <w:p>
            <w:pPr>
              <w:pStyle w:val="null3"/>
            </w:pPr>
            <w:r>
              <w:rPr/>
              <w:t>要求</w:t>
            </w:r>
          </w:p>
        </w:tc>
      </w:tr>
      <w:tr>
        <w:tc>
          <w:tcPr>
            <w:tcW w:type="dxa" w:w="2769"/>
          </w:tcPr>
          <w:p>
            <w:pPr>
              <w:pStyle w:val="null3"/>
            </w:pPr>
            <w:r>
              <w:rPr/>
              <w:t>1</w:t>
            </w:r>
          </w:p>
        </w:tc>
        <w:tc>
          <w:tcPr>
            <w:tcW w:type="dxa" w:w="2769"/>
          </w:tcPr>
          <w:p>
            <w:pPr>
              <w:pStyle w:val="null3"/>
            </w:pPr>
            <w:r>
              <w:rPr/>
              <w:t>项目负责人（项目经理）</w:t>
            </w:r>
          </w:p>
        </w:tc>
        <w:tc>
          <w:tcPr>
            <w:tcW w:type="dxa" w:w="2769"/>
          </w:tcPr>
          <w:p>
            <w:pPr>
              <w:pStyle w:val="null3"/>
            </w:pPr>
            <w:r>
              <w:rPr/>
              <w:t>具体要求详见资格审查条款</w:t>
            </w:r>
          </w:p>
        </w:tc>
      </w:tr>
    </w:tbl>
    <w:p>
      <w:pPr>
        <w:pStyle w:val="null3"/>
        <w:outlineLvl w:val="3"/>
      </w:pPr>
      <w:r>
        <w:rPr>
          <w:b/>
          <w:sz w:val="24"/>
        </w:rPr>
        <w:t>说明：</w:t>
      </w:r>
    </w:p>
    <w:p>
      <w:pPr>
        <w:pStyle w:val="null3"/>
        <w:ind w:firstLine="480"/>
      </w:pPr>
      <w:r>
        <w:rPr/>
        <w:t>1.对于不允许偏离的实质性要求和条件，采购人或者代理机构应当在磋商文件中规定，并以醒目的方式标明。</w:t>
      </w:r>
    </w:p>
    <w:p>
      <w:pPr>
        <w:pStyle w:val="null3"/>
        <w:ind w:firstLine="480"/>
      </w:pPr>
      <w:r>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b/>
          <w:sz w:val="28"/>
        </w:rPr>
        <w:t>3.3其他要求</w:t>
      </w:r>
    </w:p>
    <w:p>
      <w:pPr>
        <w:pStyle w:val="null3"/>
      </w:pPr>
      <w:r>
        <w:rPr/>
        <w:t>1、为顺利推进政府采购电子化交易平台应用工作，供应商需要在线提交所有通过电子化交易平台实施的政府采购项目的响应文件，同时，线下提交纸质版响应文件，正本壹份、副本贰份、电子版壹份（U盘一份标明供应商名称，随正本密封）。若线上电子响应文件与纸质响应文件不一致的，以线上电子响应文件为准；若正本和副本不符，以正本为准。 线下递交文件时间：详见本项目磋商公告提交响应文件截止时间；线下递交文件地点：陕西省西安市碑林区红缨路南口6号均明拍卖广场3层 。2、磋商保证金注意事项：（1）磋商保证金须从供应商户名支付，如从个人户名或非供应商户名支付，将被拒绝，视为自动放弃投标权利（该个人是供应商的情形除外）；以保函形式交纳磋商保证金的，供应商应在磋商截止时间前将保函扫描成清晰的PDF文件，发送至邮箱2559647209@qq.com（邮件命名：项目编号、包号），并将保函原件单独递交至代理机构财务；供应商应在响应文件中附保函复印件。保函必须由具有开具投标保函资格的单位开具；若供应商违约，开具保函单位承担 连带责任； （2）磋商保证金的提交金额、时间不满足磋商文件要求的，响应无效； （3）磋商保证金以采购代理机构到账凭证为准，供应商无需更换交纳凭证，由采购代理机构统一提供。 （4）未按指定账户提交的，我公司将退回，供应商须在文件递交截止时间前按照指定账户再次提交。 3、 清单报价编制要求：（1）按照最新发布的《陕西省建设工程工程量清单计价规则》、《陕西省建筑装饰工程消耗量定额》、《陕西省安装工程消耗量定额》、《陕西省建设工程消耗量定额勘误及补充定额》、《陕西省建筑装饰安装工程价目表》计价及其配套文件等编制。（2）供应商应充分考虑磋商文件的各项要求和本工程的实际情况，根据自身实力，充分考虑材料价格、人工费、物价上涨等市场变化的风险，自主报价，风险自担。（3）不可竞争的规费、税金、安全文明施工费按计价规则的规定计取，营改增按陕建发调整陕西省建设工程计价依据的通知执行，磋商报价中包含所有费用。（4）本工程材料采购需采购人进行认质。 4、工程量清单及图纸详见附件</w:t>
      </w:r>
    </w:p>
    <w:p>
      <w:pPr>
        <w:pStyle w:val="null3"/>
      </w:pPr>
      <w:r>
        <w:rPr/>
        <w:t xml:space="preserve"> </w:t>
        <w:br/>
        <w:br w:type="page"/>
      </w:r>
    </w:p>
    <w:p>
      <w:pPr>
        <w:pStyle w:val="null3"/>
        <w:jc w:val="center"/>
        <w:outlineLvl w:val="1"/>
      </w:pPr>
      <w:r>
        <w:rPr>
          <w:b/>
          <w:sz w:val="36"/>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b/>
          <w:sz w:val="24"/>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 ①具有独立承担民事责任能力的法人、其他组织或自然人，提供合法有效的统一社会信用代码营业执照（事业单位法人证书/专业服务机构执业许可证/民办非企业单位登记证书，自然人提供身份证） ②法人提供自2023年3月1日以来至少一个月的纳税证明或完税证明，纳税证明或完税证明上应有代收机构或税务机关的公章或业务专用章；其他组织和自然人提供自2023年3月1日以来至少一个月缴纳税收的凭据；依法免税的投标人应提供相关文件证明 ③提供自2023年3月1日以来至少一个月已缴纳的社会保障资金的证明（社会保障资金缴存单据或社保机构开具的社会保险参保缴费情况证明等）；依法不需要缴纳社会保障资金的投标人应提供相关文件证明 ④提供具有履行本合同所必需的设备和专业技术能力的声明 ⑤参加本次政府采购活动前3年内在经营活动中没有重大违纪，以及未被列入失信被执行人、重大税收违法案件当事人名单、政府采购严重违法失信行为记录名单的书面声明 注:1、以上②-③项，提供“陕西省政府采购供应商信用承诺书”的，可不再提供其他证明文件2、供应商需在项目电子化交易系统中上传相关证明文件并进行电子签章。</w:t>
            </w:r>
          </w:p>
        </w:tc>
        <w:tc>
          <w:tcPr>
            <w:tcW w:type="dxa" w:w="1661"/>
          </w:tcPr>
          <w:p>
            <w:pPr>
              <w:pStyle w:val="null3"/>
            </w:pPr>
            <w:r>
              <w:rPr/>
              <w:t>响应函 5供应商资格证明文件</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财务状况报告 ：法人提供会计师事务所出具的有效的2022年度或2023年度审计报告（成立时间至提交投标文件截止时间不足一年的可提供成立后任意时段的资产负债表），或提交自2023年8月1日以来银行出具的资信证明，或信用担保机构出具的投标担保函（以上三种形式的资料提供任何一种即可）；其他组织和自然人提供银行出具的资信证明或财务报表。 注:1、此项，提供“陕西省政府采购供应商信用承诺书”的，可不再提供其他证明文件 2、供应商需在项目电子化交易系统中上传相关证明文件并进行电子签章。</w:t>
            </w:r>
          </w:p>
        </w:tc>
        <w:tc>
          <w:tcPr>
            <w:tcW w:type="dxa" w:w="1661"/>
          </w:tcPr>
          <w:p>
            <w:pPr>
              <w:pStyle w:val="null3"/>
            </w:pPr>
            <w:r>
              <w:rPr/>
              <w:t>5供应商资格证明文件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t>供应商需在项目电子化交易系统中按要求填写《响应函》 完成承诺并进行电子签章。</w:t>
            </w:r>
          </w:p>
        </w:tc>
        <w:tc>
          <w:tcPr>
            <w:tcW w:type="dxa" w:w="1661"/>
          </w:tcPr>
          <w:p>
            <w:pPr>
              <w:pStyle w:val="null3"/>
            </w:pPr>
            <w:r>
              <w:rPr/>
              <w:t>响应函 5供应商资格证明文件</w:t>
            </w:r>
          </w:p>
        </w:tc>
      </w:tr>
    </w:tbl>
    <w:p>
      <w:pPr>
        <w:pStyle w:val="null3"/>
        <w:outlineLvl w:val="3"/>
      </w:pPr>
      <w:r>
        <w:rPr>
          <w:b/>
          <w:sz w:val="24"/>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参与的供应商（联合体）工程的施工单位全部为符合政策要求的中小企业。</w:t>
            </w:r>
          </w:p>
        </w:tc>
        <w:tc>
          <w:tcPr>
            <w:tcW w:type="dxa" w:w="1661"/>
          </w:tcPr>
          <w:p>
            <w:pPr>
              <w:pStyle w:val="null3"/>
            </w:pPr>
            <w:r>
              <w:rPr/>
              <w:t>中小企业声明函 残疾人福利性单位声明函 监狱企业的证明文件</w:t>
            </w:r>
          </w:p>
        </w:tc>
      </w:tr>
    </w:tbl>
    <w:p>
      <w:pPr>
        <w:pStyle w:val="null3"/>
        <w:outlineLvl w:val="3"/>
      </w:pPr>
      <w:r>
        <w:rPr>
          <w:b/>
          <w:sz w:val="24"/>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法定代表人授权委托书</w:t>
            </w:r>
          </w:p>
        </w:tc>
        <w:tc>
          <w:tcPr>
            <w:tcW w:type="dxa" w:w="3322"/>
          </w:tcPr>
          <w:p>
            <w:pPr>
              <w:pStyle w:val="null3"/>
            </w:pPr>
            <w:r>
              <w:rPr/>
              <w:t>法定代表人授权委托书：法定代表人参加磋商的，须出示身份证；法定代表人授权他人参加磋商的，须提供法定代表人授权委托书、被授权人提交连续三个月（2024年1月-2024年3月）社会保障资金（养老保险或医疗保险）的缴纳证明及被授权人身份证。供应商需在项目电子化交易系统中按要求上传相应证明文件并进行电子签章。</w:t>
            </w:r>
          </w:p>
        </w:tc>
        <w:tc>
          <w:tcPr>
            <w:tcW w:type="dxa" w:w="1661"/>
          </w:tcPr>
          <w:p>
            <w:pPr>
              <w:pStyle w:val="null3"/>
            </w:pPr>
            <w:r>
              <w:rPr/>
              <w:t>5供应商资格证明文件</w:t>
            </w:r>
          </w:p>
        </w:tc>
      </w:tr>
      <w:tr>
        <w:tc>
          <w:tcPr>
            <w:tcW w:type="dxa" w:w="831"/>
          </w:tcPr>
          <w:p>
            <w:pPr>
              <w:pStyle w:val="null3"/>
            </w:pPr>
            <w:r>
              <w:rPr/>
              <w:t>2</w:t>
            </w:r>
          </w:p>
        </w:tc>
        <w:tc>
          <w:tcPr>
            <w:tcW w:type="dxa" w:w="2492"/>
          </w:tcPr>
          <w:p>
            <w:pPr>
              <w:pStyle w:val="null3"/>
            </w:pPr>
            <w:r>
              <w:rPr/>
              <w:t>施工资质</w:t>
            </w:r>
          </w:p>
        </w:tc>
        <w:tc>
          <w:tcPr>
            <w:tcW w:type="dxa" w:w="3322"/>
          </w:tcPr>
          <w:p>
            <w:pPr>
              <w:pStyle w:val="null3"/>
            </w:pPr>
            <w:r>
              <w:rPr/>
              <w:t>供应商应具有建设行政主管部门核发的建筑工程施工总承包三级及以上或市政公用工程施工总承包三级及以上资质。供应商需在项目电子化交易系统中按要求上传相应证明文件并进行电子签章。</w:t>
            </w:r>
          </w:p>
        </w:tc>
        <w:tc>
          <w:tcPr>
            <w:tcW w:type="dxa" w:w="1661"/>
          </w:tcPr>
          <w:p>
            <w:pPr>
              <w:pStyle w:val="null3"/>
            </w:pPr>
            <w:r>
              <w:rPr/>
              <w:t>5供应商资格证明文件</w:t>
            </w:r>
          </w:p>
        </w:tc>
      </w:tr>
      <w:tr>
        <w:tc>
          <w:tcPr>
            <w:tcW w:type="dxa" w:w="831"/>
          </w:tcPr>
          <w:p>
            <w:pPr>
              <w:pStyle w:val="null3"/>
            </w:pPr>
            <w:r>
              <w:rPr/>
              <w:t>3</w:t>
            </w:r>
          </w:p>
        </w:tc>
        <w:tc>
          <w:tcPr>
            <w:tcW w:type="dxa" w:w="2492"/>
          </w:tcPr>
          <w:p>
            <w:pPr>
              <w:pStyle w:val="null3"/>
            </w:pPr>
            <w:r>
              <w:rPr/>
              <w:t>施工资质</w:t>
            </w:r>
          </w:p>
        </w:tc>
        <w:tc>
          <w:tcPr>
            <w:tcW w:type="dxa" w:w="3322"/>
          </w:tcPr>
          <w:p>
            <w:pPr>
              <w:pStyle w:val="null3"/>
            </w:pPr>
            <w:r>
              <w:rPr/>
              <w:t>供应商应具有建设行政主管部门颁发的安全生产许可证。供应商需在项目电子化交易系统中按要求上传相应证明文件并进行电子签章。</w:t>
            </w:r>
          </w:p>
        </w:tc>
        <w:tc>
          <w:tcPr>
            <w:tcW w:type="dxa" w:w="1661"/>
          </w:tcPr>
          <w:p>
            <w:pPr>
              <w:pStyle w:val="null3"/>
            </w:pPr>
            <w:r>
              <w:rPr/>
              <w:t>5供应商资格证明文件</w:t>
            </w:r>
          </w:p>
        </w:tc>
      </w:tr>
      <w:tr>
        <w:tc>
          <w:tcPr>
            <w:tcW w:type="dxa" w:w="831"/>
          </w:tcPr>
          <w:p>
            <w:pPr>
              <w:pStyle w:val="null3"/>
            </w:pPr>
            <w:r>
              <w:rPr/>
              <w:t>4</w:t>
            </w:r>
          </w:p>
        </w:tc>
        <w:tc>
          <w:tcPr>
            <w:tcW w:type="dxa" w:w="2492"/>
          </w:tcPr>
          <w:p>
            <w:pPr>
              <w:pStyle w:val="null3"/>
            </w:pPr>
            <w:r>
              <w:rPr/>
              <w:t>拟派项目负责人资质和专业要求</w:t>
            </w:r>
          </w:p>
        </w:tc>
        <w:tc>
          <w:tcPr>
            <w:tcW w:type="dxa" w:w="3322"/>
          </w:tcPr>
          <w:p>
            <w:pPr>
              <w:pStyle w:val="null3"/>
            </w:pPr>
            <w:r>
              <w:rPr/>
              <w:t>拟派项目经理须具备相关专业二级注册建造师资质，同时具有安全生产考核合格证（B证），提供无在建工程承诺。供应商需在项目电子化交易系统中按要求上传相应证明文件并进行电子签章。</w:t>
            </w:r>
          </w:p>
        </w:tc>
        <w:tc>
          <w:tcPr>
            <w:tcW w:type="dxa" w:w="1661"/>
          </w:tcPr>
          <w:p>
            <w:pPr>
              <w:pStyle w:val="null3"/>
            </w:pPr>
            <w:r>
              <w:rPr/>
              <w:t>5供应商资格证明文件</w:t>
            </w:r>
          </w:p>
        </w:tc>
      </w:tr>
      <w:tr>
        <w:tc>
          <w:tcPr>
            <w:tcW w:type="dxa" w:w="831"/>
          </w:tcPr>
          <w:p>
            <w:pPr>
              <w:pStyle w:val="null3"/>
            </w:pPr>
            <w:r>
              <w:rPr/>
              <w:t>5</w:t>
            </w:r>
          </w:p>
        </w:tc>
        <w:tc>
          <w:tcPr>
            <w:tcW w:type="dxa" w:w="2492"/>
          </w:tcPr>
          <w:p>
            <w:pPr>
              <w:pStyle w:val="null3"/>
            </w:pPr>
            <w:r>
              <w:rPr/>
              <w:t>陕西省建筑市场一体化平台</w:t>
            </w:r>
          </w:p>
        </w:tc>
        <w:tc>
          <w:tcPr>
            <w:tcW w:type="dxa" w:w="3322"/>
          </w:tcPr>
          <w:p>
            <w:pPr>
              <w:pStyle w:val="null3"/>
            </w:pPr>
            <w:r>
              <w:rPr/>
              <w:t>省外企业须在陕西省建筑市场一体化平台（陕西建设网）企业库可查询。供应商需在项目电子化交易系统中按要求上传相应证明文件并进行电子签章。</w:t>
            </w:r>
          </w:p>
        </w:tc>
        <w:tc>
          <w:tcPr>
            <w:tcW w:type="dxa" w:w="1661"/>
          </w:tcPr>
          <w:p>
            <w:pPr>
              <w:pStyle w:val="null3"/>
            </w:pPr>
            <w:r>
              <w:rPr/>
              <w:t>5供应商资格证明文件</w:t>
            </w:r>
          </w:p>
        </w:tc>
      </w:tr>
    </w:tbl>
    <w:p>
      <w:pPr>
        <w:pStyle w:val="null3"/>
      </w:pPr>
      <w:r>
        <w:rPr/>
        <w:t xml:space="preserve"> </w:t>
        <w:br/>
        <w:br w:type="page"/>
      </w:r>
    </w:p>
    <w:p>
      <w:pPr>
        <w:pStyle w:val="null3"/>
        <w:jc w:val="center"/>
        <w:outlineLvl w:val="1"/>
      </w:pPr>
      <w:r>
        <w:rPr>
          <w:b/>
          <w:sz w:val="36"/>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t>注：工程量清单不属于磋商过程中可以实质性变动的内容。</w:t>
      </w:r>
    </w:p>
    <w:p>
      <w:pPr>
        <w:pStyle w:val="null3"/>
        <w:jc w:val="center"/>
        <w:outlineLvl w:val="1"/>
      </w:pPr>
      <w:r>
        <w:rPr>
          <w:b/>
          <w:sz w:val="36"/>
        </w:rPr>
        <w:t>第六章 磋商办法</w:t>
      </w:r>
    </w:p>
    <w:p>
      <w:pPr>
        <w:pStyle w:val="null3"/>
        <w:outlineLvl w:val="2"/>
      </w:pPr>
      <w:r>
        <w:rPr>
          <w:b/>
          <w:sz w:val="28"/>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b/>
          <w:sz w:val="28"/>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三、磋商小组按照磋商文件规定的磋商程序、评审方法和标准进行评审，并独立履行下列职责：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b/>
          <w:sz w:val="28"/>
        </w:rPr>
        <w:t>6.3评审程序</w:t>
      </w:r>
    </w:p>
    <w:p>
      <w:pPr>
        <w:pStyle w:val="null3"/>
        <w:outlineLvl w:val="3"/>
      </w:pPr>
      <w:r>
        <w:rPr>
          <w:b/>
          <w:sz w:val="24"/>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（一）磋商文件的规定存在歧义、重大缺陷，导致评审无法进行的；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b/>
          <w:sz w:val="24"/>
        </w:rPr>
        <w:t>6.3.2符合性审查</w:t>
      </w:r>
    </w:p>
    <w:p>
      <w:pPr>
        <w:pStyle w:val="null3"/>
        <w:ind w:firstLine="480"/>
      </w:pPr>
      <w:r>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t>二、磋商小组对供应商已标价工程量清单进行算术性复核，如果出现下列不一致的，按以下原则进行修正：</w:t>
      </w:r>
    </w:p>
    <w:p>
      <w:pPr>
        <w:pStyle w:val="null3"/>
        <w:ind w:firstLine="480"/>
      </w:pPr>
      <w:r>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t xml:space="preserve"> 三、在符合性审查过程中，如果出现磋商小组成员意见不一致的情况，按照少数服从多数的原则确定，但不得违背政府采购基本原则和磋商文件规定。</w:t>
      </w:r>
    </w:p>
    <w:p>
      <w:pPr>
        <w:pStyle w:val="null3"/>
        <w:ind w:firstLine="480"/>
      </w:pPr>
      <w:r>
        <w:rPr/>
        <w:t>四、磋商小组对所有响应文件进行审查后，确定参加磋商的供应商名单。</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注：供应商报价低于采购预算85%或者低于其他有效供应商报价算术平均价90%的，磋商小组可以认为该供应商“报价明显低于其他实质性响应的供应商报价”。） 2.供应商通过项目电子化交易系统在磋商小组要求的合理时间内提交说明，否则无效。</w:t>
            </w:r>
          </w:p>
        </w:tc>
        <w:tc>
          <w:tcPr>
            <w:tcW w:type="dxa" w:w="1661"/>
          </w:tcPr>
          <w:p>
            <w:pPr>
              <w:pStyle w:val="null3"/>
            </w:pPr>
            <w:r>
              <w:rPr/>
              <w:t>报价函 标的清单</w:t>
            </w:r>
          </w:p>
        </w:tc>
      </w:tr>
      <w:tr>
        <w:tc>
          <w:tcPr>
            <w:tcW w:type="dxa" w:w="831"/>
          </w:tcPr>
          <w:p>
            <w:pPr>
              <w:pStyle w:val="null3"/>
            </w:pPr>
            <w:r>
              <w:rPr/>
              <w:t>2</w:t>
            </w:r>
          </w:p>
        </w:tc>
        <w:tc>
          <w:tcPr>
            <w:tcW w:type="dxa" w:w="2492"/>
          </w:tcPr>
          <w:p>
            <w:pPr>
              <w:pStyle w:val="null3"/>
            </w:pPr>
            <w:r>
              <w:rPr/>
              <w:t>响应文件的初步审查</w:t>
            </w:r>
          </w:p>
        </w:tc>
        <w:tc>
          <w:tcPr>
            <w:tcW w:type="dxa" w:w="3322"/>
          </w:tcPr>
          <w:p>
            <w:pPr>
              <w:pStyle w:val="null3"/>
            </w:pPr>
            <w:r>
              <w:rPr/>
              <w:t>磋商小组应当对供应商提交的响应文件进行初步审查，包括响应文件的有效性、完整性、符合性。除可变动的技术、服务要求以及合同草案条款外，首次提交的响应文件有下列情况之一，其响应文件无效。 (1)未按照磋商文件规定要求签署、盖章的； (2)响应有效期不足的或无有效期的； (3)报价超过磋商文件中规定的预算金额或最高限价的； (4)不满足本磋商文件中第三章“三、针对本项目的其他技术服务要求”条款内容的； (5)法律、规章、规范性文件和磋商文件规定的其他无效情形。</w:t>
            </w:r>
          </w:p>
        </w:tc>
        <w:tc>
          <w:tcPr>
            <w:tcW w:type="dxa" w:w="1661"/>
          </w:tcPr>
          <w:p>
            <w:pPr>
              <w:pStyle w:val="null3"/>
            </w:pPr>
            <w:r>
              <w:rPr/>
              <w:t>响应文件封面 1报价一览表 2工程量清单计价表 4承诺书 3商务部分偏离表</w:t>
            </w:r>
          </w:p>
        </w:tc>
      </w:tr>
    </w:tbl>
    <w:p>
      <w:pPr>
        <w:pStyle w:val="null3"/>
        <w:outlineLvl w:val="3"/>
      </w:pPr>
      <w:r>
        <w:rPr>
          <w:b/>
          <w:sz w:val="24"/>
        </w:rPr>
        <w:t xml:space="preserve"> 6.3.3磋商</w:t>
      </w:r>
    </w:p>
    <w:p>
      <w:pPr>
        <w:pStyle w:val="null3"/>
        <w:ind w:firstLine="480"/>
      </w:pPr>
      <w:r>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t>二、每轮磋商开始前，磋商小组应根据磋商文件的规定，并结合各供应商的响应文件拟定磋商内容。</w:t>
      </w:r>
    </w:p>
    <w:p>
      <w:pPr>
        <w:pStyle w:val="null3"/>
        <w:ind w:firstLine="480"/>
      </w:pPr>
      <w:r>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t xml:space="preserve"> 四、对磋商文件作出的实质性变动是磋商文件的有效组成部分，磋商小组应通过项目电子化交易系统，将变动情况同时通知所有参加磋商的供应商。</w:t>
      </w:r>
    </w:p>
    <w:p>
      <w:pPr>
        <w:pStyle w:val="null3"/>
        <w:ind w:firstLine="480"/>
      </w:pPr>
      <w:r>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六、经最终磋商后，响应文件仍有下列情况之一的，应按照无效响应文件处理：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b/>
          <w:sz w:val="24"/>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二、磋商小组开启报价后，供应商应随时关注项目电子化交易系统信息或短信提醒，登录项目电子化交易系统，通过“等候大厅”进行报价并签章后提交。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 xml:space="preserve"> （五）若采用项目包干价的，供应商直接给出其完成本项目全部工作内容所需的总价，不再提供已标价工程量清单（报价格式要求见第七章）。</w:t>
      </w:r>
    </w:p>
    <w:p>
      <w:pPr>
        <w:pStyle w:val="null3"/>
        <w:ind w:firstLine="480"/>
      </w:pPr>
      <w:r>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b/>
          <w:sz w:val="24"/>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b/>
          <w:sz w:val="24"/>
        </w:rPr>
        <w:t>6.3.6比较与评价</w:t>
      </w:r>
    </w:p>
    <w:p>
      <w:pPr>
        <w:pStyle w:val="null3"/>
        <w:ind w:firstLine="480"/>
      </w:pPr>
      <w:r>
        <w:rPr/>
        <w:t xml:space="preserve"> 由磋商小组采用综合评分法对提交最后报价的供应商的响应文件和最后报价进行综合评分，具体要求详见本章评审办法及标准部分。</w:t>
      </w:r>
    </w:p>
    <w:p>
      <w:pPr>
        <w:pStyle w:val="null3"/>
        <w:outlineLvl w:val="3"/>
      </w:pPr>
      <w:r>
        <w:rPr>
          <w:b/>
          <w:sz w:val="24"/>
        </w:rPr>
        <w:t xml:space="preserve"> 6.3.7推荐成交候选供应商</w:t>
      </w:r>
    </w:p>
    <w:p>
      <w:pPr>
        <w:pStyle w:val="null3"/>
        <w:ind w:firstLine="480"/>
      </w:pPr>
      <w:r>
        <w:rPr/>
        <w:t>磋商小组应当根据综合评分情况，按照评审得分由高到低顺序推荐如下家数的成交候选供应商，并编写磋商报告。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b/>
          <w:sz w:val="24"/>
        </w:rPr>
        <w:t>6.3.8磋商小组复核</w:t>
      </w:r>
    </w:p>
    <w:p>
      <w:pPr>
        <w:pStyle w:val="null3"/>
        <w:ind w:firstLine="480"/>
      </w:pPr>
      <w:r>
        <w:rPr/>
        <w:t xml:space="preserve"> 磋商小组评分汇总结束后，磋商小组应当进行评审复核，对拟推荐为成交候选供应商的、报价最低的、供应商响应文件作无效处理的重点复核。</w:t>
      </w:r>
    </w:p>
    <w:p>
      <w:pPr>
        <w:pStyle w:val="null3"/>
        <w:outlineLvl w:val="3"/>
      </w:pPr>
      <w:r>
        <w:rPr>
          <w:b/>
          <w:sz w:val="24"/>
        </w:rPr>
        <w:t>6.3.9代理机构现场复核评审结果</w:t>
      </w:r>
    </w:p>
    <w:p>
      <w:pPr>
        <w:pStyle w:val="null3"/>
        <w:ind w:firstLine="480"/>
      </w:pPr>
      <w:r>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t>三、代理机构复核过程中，磋商小组成员不得离开评审现场。</w:t>
      </w:r>
    </w:p>
    <w:p>
      <w:pPr>
        <w:pStyle w:val="null3"/>
        <w:outlineLvl w:val="3"/>
      </w:pPr>
      <w:r>
        <w:rPr>
          <w:b/>
          <w:sz w:val="24"/>
        </w:rPr>
        <w:t>6.3.10编写磋商报告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b/>
          <w:sz w:val="24"/>
        </w:rPr>
        <w:t>6.3.11评审争议处理规则</w:t>
      </w:r>
    </w:p>
    <w:p>
      <w:pPr>
        <w:pStyle w:val="null3"/>
        <w:ind w:firstLine="480"/>
      </w:pPr>
      <w:r>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b/>
          <w:sz w:val="24"/>
        </w:rPr>
        <w:t>6.3.12终止磋商采购活动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三、在采购过程中符合要求的供应商或者报价未超过采购预算及最高限价的供应商不足3家的；</w:t>
      </w:r>
    </w:p>
    <w:p>
      <w:pPr>
        <w:pStyle w:val="null3"/>
        <w:ind w:firstLine="480"/>
      </w:pPr>
      <w:r>
        <w:rPr/>
        <w:t>四、法律法规规定的其他情形。</w:t>
      </w:r>
    </w:p>
    <w:p>
      <w:pPr>
        <w:pStyle w:val="null3"/>
        <w:outlineLvl w:val="2"/>
      </w:pPr>
      <w:r>
        <w:rPr>
          <w:b/>
          <w:sz w:val="28"/>
        </w:rPr>
        <w:t>6.4评审办法及标准</w:t>
      </w:r>
    </w:p>
    <w:p>
      <w:pPr>
        <w:pStyle w:val="null3"/>
        <w:ind w:firstLine="480"/>
      </w:pPr>
      <w:r>
        <w:rPr/>
        <w:t>一、磋商小组根据磋商文件的要求采用相同的评审程序、评分办法及标准进行评价和比较。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b/>
          <w:sz w:val="24"/>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b/>
          <w:sz w:val="24"/>
        </w:rPr>
        <w:t>6.4.2评分标准</w:t>
      </w:r>
    </w:p>
    <w:p>
      <w:pPr>
        <w:pStyle w:val="null3"/>
        <w:ind w:firstLine="480"/>
      </w:pPr>
      <w:r>
        <w:rPr/>
        <w:t>一、本次综合评分的因素详见综合评分明细表。</w:t>
      </w:r>
    </w:p>
    <w:p>
      <w:pPr>
        <w:pStyle w:val="null3"/>
        <w:ind w:firstLine="480"/>
      </w:pPr>
      <w:r>
        <w:rPr/>
        <w:t>二、综合评分明细表</w:t>
      </w:r>
    </w:p>
    <w:p>
      <w:pPr>
        <w:pStyle w:val="null3"/>
        <w:ind w:firstLine="480"/>
      </w:pPr>
      <w:r>
        <w:rPr/>
        <w:t>（一）综合评分明细表的制定以科学合理、降低磋商小组自由裁量权为原则。</w:t>
      </w:r>
    </w:p>
    <w:p>
      <w:pPr>
        <w:pStyle w:val="null3"/>
        <w:ind w:firstLine="480"/>
      </w:pPr>
      <w:r>
        <w:rPr/>
        <w:t>（二）综合评分明细表中的报价应先按供应商须知附表中的相关要求进行价格调整，再进行报价评分。</w:t>
      </w:r>
    </w:p>
    <w:p>
      <w:pPr>
        <w:pStyle w:val="null3"/>
        <w:ind w:firstLine="480"/>
      </w:pPr>
      <w:r>
        <w:rPr/>
        <w:t>（三）综合评分明细表：</w:t>
      </w:r>
    </w:p>
    <w:p>
      <w:pPr>
        <w:pStyle w:val="null3"/>
        <w:ind w:firstLine="480"/>
      </w:pPr>
      <w:r>
        <w:rPr/>
        <w:t xml:space="preserve"> （说明：采购人根据项目实际需要设置评审因素和标准，评审标准中的分值设置应当与评审因素的量化指标相对应。）</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详细评审70.00分</w:t>
            </w:r>
          </w:p>
          <w:p>
            <w:pPr>
              <w:pStyle w:val="null3"/>
            </w:pPr>
            <w:r>
              <w:rPr/>
              <w:t>报价得分30.00分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技术响应评审</w:t>
            </w:r>
          </w:p>
        </w:tc>
        <w:tc>
          <w:tcPr>
            <w:tcW w:type="dxa" w:w="2492"/>
          </w:tcPr>
          <w:p>
            <w:pPr>
              <w:pStyle w:val="null3"/>
            </w:pPr>
            <w:r>
              <w:rPr/>
              <w:t>所投产品在满足国标要求的基础上，全部硅PU面层、器材、照明技术等参数完全符合、响应磋商文件要求，没有负偏离计25分；参数每负偏离一项扣1分。所有指标必须提供证明材料，证明材料不限于检测报告、产品技术说明书等。</w:t>
            </w:r>
          </w:p>
        </w:tc>
        <w:tc>
          <w:tcPr>
            <w:tcW w:type="dxa" w:w="831"/>
          </w:tcPr>
          <w:p>
            <w:pPr>
              <w:pStyle w:val="null3"/>
              <w:jc w:val="right"/>
            </w:pPr>
            <w:r>
              <w:rPr/>
              <w:t>25.00</w:t>
            </w:r>
          </w:p>
        </w:tc>
        <w:tc>
          <w:tcPr>
            <w:tcW w:type="dxa" w:w="831"/>
          </w:tcPr>
          <w:p>
            <w:pPr>
              <w:pStyle w:val="null3"/>
            </w:pPr>
            <w:r>
              <w:rPr/>
              <w:t>客观</w:t>
            </w:r>
          </w:p>
        </w:tc>
        <w:tc>
          <w:tcPr>
            <w:tcW w:type="dxa" w:w="1661"/>
          </w:tcPr>
          <w:p>
            <w:pPr>
              <w:pStyle w:val="null3"/>
            </w:pPr>
            <w:r>
              <w:rPr/>
              <w:t>6技术响应偏离表</w:t>
            </w:r>
          </w:p>
        </w:tc>
      </w:tr>
      <w:tr>
        <w:tc>
          <w:tcPr>
            <w:tcW w:type="dxa" w:w="831"/>
            <w:vMerge/>
          </w:tcPr>
          <w:p/>
        </w:tc>
        <w:tc>
          <w:tcPr>
            <w:tcW w:type="dxa" w:w="1661"/>
          </w:tcPr>
          <w:p>
            <w:pPr>
              <w:pStyle w:val="null3"/>
            </w:pPr>
            <w:r>
              <w:rPr/>
              <w:t>施工方案</w:t>
            </w:r>
          </w:p>
        </w:tc>
        <w:tc>
          <w:tcPr>
            <w:tcW w:type="dxa" w:w="2492"/>
          </w:tcPr>
          <w:p>
            <w:pPr>
              <w:pStyle w:val="null3"/>
            </w:pPr>
            <w:r>
              <w:rPr/>
              <w:t>提供的方案贴合本项目特征，完全满足采购需求要求，具有可行性，计6分； 提供的方案非专门针对本项目或不适用本项目特性、套用其他项目内容，可行性一般，计4分； 提供的方案存在逻辑漏洞、科学原理或常识错误，计2分。 未提供不得分。</w:t>
            </w:r>
          </w:p>
        </w:tc>
        <w:tc>
          <w:tcPr>
            <w:tcW w:type="dxa" w:w="831"/>
          </w:tcPr>
          <w:p>
            <w:pPr>
              <w:pStyle w:val="null3"/>
              <w:jc w:val="right"/>
            </w:pPr>
            <w:r>
              <w:rPr/>
              <w:t>6.00</w:t>
            </w:r>
          </w:p>
        </w:tc>
        <w:tc>
          <w:tcPr>
            <w:tcW w:type="dxa" w:w="831"/>
          </w:tcPr>
          <w:p>
            <w:pPr>
              <w:pStyle w:val="null3"/>
            </w:pPr>
            <w:r>
              <w:rPr/>
              <w:t>主观</w:t>
            </w:r>
          </w:p>
        </w:tc>
        <w:tc>
          <w:tcPr>
            <w:tcW w:type="dxa" w:w="1661"/>
          </w:tcPr>
          <w:p>
            <w:pPr>
              <w:pStyle w:val="null3"/>
            </w:pPr>
            <w:r>
              <w:rPr/>
              <w:t>7施工方案</w:t>
            </w:r>
          </w:p>
        </w:tc>
      </w:tr>
      <w:tr>
        <w:tc>
          <w:tcPr>
            <w:tcW w:type="dxa" w:w="831"/>
            <w:vMerge/>
          </w:tcPr>
          <w:p/>
        </w:tc>
        <w:tc>
          <w:tcPr>
            <w:tcW w:type="dxa" w:w="1661"/>
          </w:tcPr>
          <w:p>
            <w:pPr>
              <w:pStyle w:val="null3"/>
            </w:pPr>
            <w:r>
              <w:rPr/>
              <w:t>确保工期的技术组织措施</w:t>
            </w:r>
          </w:p>
        </w:tc>
        <w:tc>
          <w:tcPr>
            <w:tcW w:type="dxa" w:w="2492"/>
          </w:tcPr>
          <w:p>
            <w:pPr>
              <w:pStyle w:val="null3"/>
            </w:pPr>
            <w:r>
              <w:rPr/>
              <w:t>提供的措施贴合本项目特征，完全满足采购需求要求，具有可行性，计5分； 提供的措施非专门针对本项目或不适用本项目特性、套用其他项目内容，可行性一般，计3分； 提供的措施存在逻辑漏洞、科学原理或常识错误，计1分。 未提供不得分。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8确保工期的技术组织措施</w:t>
            </w:r>
          </w:p>
        </w:tc>
      </w:tr>
      <w:tr>
        <w:tc>
          <w:tcPr>
            <w:tcW w:type="dxa" w:w="831"/>
            <w:vMerge/>
          </w:tcPr>
          <w:p/>
        </w:tc>
        <w:tc>
          <w:tcPr>
            <w:tcW w:type="dxa" w:w="1661"/>
          </w:tcPr>
          <w:p>
            <w:pPr>
              <w:pStyle w:val="null3"/>
            </w:pPr>
            <w:r>
              <w:rPr/>
              <w:t>施工进度表或施工网络图</w:t>
            </w:r>
          </w:p>
        </w:tc>
        <w:tc>
          <w:tcPr>
            <w:tcW w:type="dxa" w:w="2492"/>
          </w:tcPr>
          <w:p>
            <w:pPr>
              <w:pStyle w:val="null3"/>
            </w:pPr>
            <w:r>
              <w:rPr/>
              <w:t>提供的施工进度表或施工网络图贴合本项目特征，完全满足采购需求要求，具有可行性，计5分； 提供的施工进度表或施工网络图非专门针对本项目或不适用本项目特性、套用其他项目内容，可行性一般，计3分； 提供的施工进度表或施工网络图存在逻辑漏洞、科学原理或常识错误，计1分。 未提供不得分。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9施工进度表或施工网络图</w:t>
            </w:r>
          </w:p>
        </w:tc>
      </w:tr>
      <w:tr>
        <w:tc>
          <w:tcPr>
            <w:tcW w:type="dxa" w:w="831"/>
            <w:vMerge/>
          </w:tcPr>
          <w:p/>
        </w:tc>
        <w:tc>
          <w:tcPr>
            <w:tcW w:type="dxa" w:w="1661"/>
          </w:tcPr>
          <w:p>
            <w:pPr>
              <w:pStyle w:val="null3"/>
            </w:pPr>
            <w:r>
              <w:rPr/>
              <w:t>质量技术组织措施和安全生产技术组织措施</w:t>
            </w:r>
          </w:p>
        </w:tc>
        <w:tc>
          <w:tcPr>
            <w:tcW w:type="dxa" w:w="2492"/>
          </w:tcPr>
          <w:p>
            <w:pPr>
              <w:pStyle w:val="null3"/>
            </w:pPr>
            <w:r>
              <w:rPr/>
              <w:t>提供的措施贴合本项目特征，完全满足采购需求要求，具有可行性，计5分； 提供的措施非专门针对本项目或不适用本项目特性、套用其他项目内容，可行性一般，计3分； 提供的措施存在逻辑漏洞、科学原理或常识错误，计1分。 未提供不得分。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10质量技术组织措施和安全生产技术组织措施</w:t>
            </w:r>
          </w:p>
        </w:tc>
      </w:tr>
      <w:tr>
        <w:tc>
          <w:tcPr>
            <w:tcW w:type="dxa" w:w="831"/>
            <w:vMerge/>
          </w:tcPr>
          <w:p/>
        </w:tc>
        <w:tc>
          <w:tcPr>
            <w:tcW w:type="dxa" w:w="1661"/>
          </w:tcPr>
          <w:p>
            <w:pPr>
              <w:pStyle w:val="null3"/>
            </w:pPr>
            <w:r>
              <w:rPr/>
              <w:t>施工机械配备和材料投入计划</w:t>
            </w:r>
          </w:p>
        </w:tc>
        <w:tc>
          <w:tcPr>
            <w:tcW w:type="dxa" w:w="2492"/>
          </w:tcPr>
          <w:p>
            <w:pPr>
              <w:pStyle w:val="null3"/>
            </w:pPr>
            <w:r>
              <w:rPr/>
              <w:t>提供的计划贴合本项目特征，完全满足采购需求要求，具有可行性，计5分； 提供的计划非专门针对本项目或不适用本项目特性、套用其他项目内容，可行性一般，计3分； 提供的计划存在逻辑漏洞、科学原理或常识错误，计1分。 未提供不得分。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11施工机械配备和材料投入计划</w:t>
            </w:r>
          </w:p>
        </w:tc>
      </w:tr>
      <w:tr>
        <w:tc>
          <w:tcPr>
            <w:tcW w:type="dxa" w:w="831"/>
            <w:vMerge/>
          </w:tcPr>
          <w:p/>
        </w:tc>
        <w:tc>
          <w:tcPr>
            <w:tcW w:type="dxa" w:w="1661"/>
          </w:tcPr>
          <w:p>
            <w:pPr>
              <w:pStyle w:val="null3"/>
            </w:pPr>
            <w:r>
              <w:rPr/>
              <w:t>项目经理部组成</w:t>
            </w:r>
          </w:p>
        </w:tc>
        <w:tc>
          <w:tcPr>
            <w:tcW w:type="dxa" w:w="2492"/>
          </w:tcPr>
          <w:p>
            <w:pPr>
              <w:pStyle w:val="null3"/>
            </w:pPr>
            <w:r>
              <w:rPr/>
              <w:t>提供的项目经理部组成贴合本项目特征，完全满足采购需求要求，具有可行性，计4分； 提供的项目经理部组成非专门针对本项目或不适用本项目特性、套用其他项目内容，可行性一般，计2分； 提供的项目经理部组成存在逻辑漏洞、科学原理或常识错误，计1分。 未提供不得分。</w:t>
            </w:r>
          </w:p>
        </w:tc>
        <w:tc>
          <w:tcPr>
            <w:tcW w:type="dxa" w:w="831"/>
          </w:tcPr>
          <w:p>
            <w:pPr>
              <w:pStyle w:val="null3"/>
              <w:jc w:val="right"/>
            </w:pPr>
            <w:r>
              <w:rPr/>
              <w:t>4.00</w:t>
            </w:r>
          </w:p>
        </w:tc>
        <w:tc>
          <w:tcPr>
            <w:tcW w:type="dxa" w:w="831"/>
          </w:tcPr>
          <w:p>
            <w:pPr>
              <w:pStyle w:val="null3"/>
            </w:pPr>
            <w:r>
              <w:rPr/>
              <w:t>主观</w:t>
            </w:r>
          </w:p>
        </w:tc>
        <w:tc>
          <w:tcPr>
            <w:tcW w:type="dxa" w:w="1661"/>
          </w:tcPr>
          <w:p>
            <w:pPr>
              <w:pStyle w:val="null3"/>
            </w:pPr>
            <w:r>
              <w:rPr/>
              <w:t>12项目经理部组成</w:t>
            </w:r>
          </w:p>
          <w:p>
            <w:pPr>
              <w:pStyle w:val="null3"/>
            </w:pPr>
            <w:r>
              <w:rPr/>
              <w:t>主要人员简历表</w:t>
            </w:r>
          </w:p>
        </w:tc>
      </w:tr>
      <w:tr>
        <w:tc>
          <w:tcPr>
            <w:tcW w:type="dxa" w:w="831"/>
            <w:vMerge/>
          </w:tcPr>
          <w:p/>
        </w:tc>
        <w:tc>
          <w:tcPr>
            <w:tcW w:type="dxa" w:w="1661"/>
          </w:tcPr>
          <w:p>
            <w:pPr>
              <w:pStyle w:val="null3"/>
            </w:pPr>
            <w:r>
              <w:rPr/>
              <w:t>业绩</w:t>
            </w:r>
          </w:p>
        </w:tc>
        <w:tc>
          <w:tcPr>
            <w:tcW w:type="dxa" w:w="2492"/>
          </w:tcPr>
          <w:p>
            <w:pPr>
              <w:pStyle w:val="null3"/>
            </w:pPr>
            <w:r>
              <w:rPr/>
              <w:t>提供供应商2021年1月1日至今同类项目施工业绩（已完工），每提供1份得1分，最高得6分。（以合同签订日期为准）。 注： 1、一份业绩需同时包含合同、中标公告、验收报告，方视为有效业绩； 2、合同中包含“硅PU改造”的业绩属于同类业绩。</w:t>
            </w:r>
          </w:p>
        </w:tc>
        <w:tc>
          <w:tcPr>
            <w:tcW w:type="dxa" w:w="831"/>
          </w:tcPr>
          <w:p>
            <w:pPr>
              <w:pStyle w:val="null3"/>
              <w:jc w:val="right"/>
            </w:pPr>
            <w:r>
              <w:rPr/>
              <w:t>6.00</w:t>
            </w:r>
          </w:p>
        </w:tc>
        <w:tc>
          <w:tcPr>
            <w:tcW w:type="dxa" w:w="831"/>
          </w:tcPr>
          <w:p>
            <w:pPr>
              <w:pStyle w:val="null3"/>
            </w:pPr>
            <w:r>
              <w:rPr/>
              <w:t>客观</w:t>
            </w:r>
          </w:p>
        </w:tc>
        <w:tc>
          <w:tcPr>
            <w:tcW w:type="dxa" w:w="1661"/>
          </w:tcPr>
          <w:p>
            <w:pPr>
              <w:pStyle w:val="null3"/>
            </w:pPr>
            <w:r>
              <w:rPr/>
              <w:t>13业绩</w:t>
            </w:r>
          </w:p>
        </w:tc>
      </w:tr>
      <w:tr>
        <w:tc>
          <w:tcPr>
            <w:tcW w:type="dxa" w:w="831"/>
            <w:vMerge/>
          </w:tcPr>
          <w:p/>
        </w:tc>
        <w:tc>
          <w:tcPr>
            <w:tcW w:type="dxa" w:w="1661"/>
          </w:tcPr>
          <w:p>
            <w:pPr>
              <w:pStyle w:val="null3"/>
            </w:pPr>
            <w:r>
              <w:rPr/>
              <w:t>保修承诺书</w:t>
            </w:r>
          </w:p>
        </w:tc>
        <w:tc>
          <w:tcPr>
            <w:tcW w:type="dxa" w:w="2492"/>
          </w:tcPr>
          <w:p>
            <w:pPr>
              <w:pStyle w:val="null3"/>
            </w:pPr>
            <w:r>
              <w:rPr/>
              <w:t>提供的承诺书贴合本项目特征，完全满足采购需求要求，具有可行性，计5分； 提供的承诺书非专门针对本项目或不适用本项目特性、套用其他项目内容，可行性一般，计3分； 提供的承诺书存在逻辑漏洞、科学原理或常识错误，计1分。 未提供不得分。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14保修承诺书</w:t>
            </w:r>
          </w:p>
        </w:tc>
      </w:tr>
      <w:tr>
        <w:tc>
          <w:tcPr>
            <w:tcW w:type="dxa" w:w="831"/>
            <w:vMerge/>
          </w:tcPr>
          <w:p/>
        </w:tc>
        <w:tc>
          <w:tcPr>
            <w:tcW w:type="dxa" w:w="1661"/>
          </w:tcPr>
          <w:p>
            <w:pPr>
              <w:pStyle w:val="null3"/>
            </w:pPr>
            <w:r>
              <w:rPr/>
              <w:t>节能环保</w:t>
            </w:r>
          </w:p>
        </w:tc>
        <w:tc>
          <w:tcPr>
            <w:tcW w:type="dxa" w:w="2492"/>
          </w:tcPr>
          <w:p>
            <w:pPr>
              <w:pStyle w:val="null3"/>
            </w:pPr>
            <w:r>
              <w:rPr/>
              <w:t>供应商磋商产品中每有一项为节能产品经国家认证的得0.5分，每有一项为环境标志产品经国家认证的得0.5分，最多得1分。（以经国家确定的认证机构出具的、处于有效期内的节能产品、环境标志产品认证证书为准。）</w:t>
            </w:r>
          </w:p>
        </w:tc>
        <w:tc>
          <w:tcPr>
            <w:tcW w:type="dxa" w:w="831"/>
          </w:tcPr>
          <w:p>
            <w:pPr>
              <w:pStyle w:val="null3"/>
              <w:jc w:val="right"/>
            </w:pPr>
            <w:r>
              <w:rPr/>
              <w:t>1.00</w:t>
            </w:r>
          </w:p>
        </w:tc>
        <w:tc>
          <w:tcPr>
            <w:tcW w:type="dxa" w:w="831"/>
          </w:tcPr>
          <w:p>
            <w:pPr>
              <w:pStyle w:val="null3"/>
            </w:pPr>
            <w:r>
              <w:rPr/>
              <w:t>客观</w:t>
            </w:r>
          </w:p>
        </w:tc>
        <w:tc>
          <w:tcPr>
            <w:tcW w:type="dxa" w:w="1661"/>
          </w:tcPr>
          <w:p>
            <w:pPr>
              <w:pStyle w:val="null3"/>
            </w:pPr>
            <w:r>
              <w:rPr/>
              <w:t>15节能环保</w:t>
            </w:r>
          </w:p>
        </w:tc>
      </w:tr>
      <w:tr>
        <w:tc>
          <w:tcPr>
            <w:tcW w:type="dxa" w:w="831"/>
            <w:vMerge/>
          </w:tcPr>
          <w:p/>
        </w:tc>
        <w:tc>
          <w:tcPr>
            <w:tcW w:type="dxa" w:w="1661"/>
          </w:tcPr>
          <w:p>
            <w:pPr>
              <w:pStyle w:val="null3"/>
            </w:pPr>
            <w:r>
              <w:rPr/>
              <w:t>样品</w:t>
            </w:r>
          </w:p>
        </w:tc>
        <w:tc>
          <w:tcPr>
            <w:tcW w:type="dxa" w:w="2492"/>
          </w:tcPr>
          <w:p>
            <w:pPr>
              <w:pStyle w:val="null3"/>
            </w:pPr>
            <w:r>
              <w:rPr/>
              <w:t>供应商提供硅PU面层一块。 提供样品尺寸、数量、厚度符合要求、无异味得3分； 尺寸不足或厚度不足或有异味1分； 未提供不得分。（成交后样品进行封存，待货到现场验证品牌和参数规格与样品一致后方可施工）</w:t>
            </w:r>
          </w:p>
        </w:tc>
        <w:tc>
          <w:tcPr>
            <w:tcW w:type="dxa" w:w="831"/>
          </w:tcPr>
          <w:p>
            <w:pPr>
              <w:pStyle w:val="null3"/>
              <w:jc w:val="right"/>
            </w:pPr>
            <w:r>
              <w:rPr/>
              <w:t>3.00</w:t>
            </w:r>
          </w:p>
        </w:tc>
        <w:tc>
          <w:tcPr>
            <w:tcW w:type="dxa" w:w="831"/>
          </w:tcPr>
          <w:p>
            <w:pPr>
              <w:pStyle w:val="null3"/>
            </w:pPr>
            <w:r>
              <w:rPr/>
              <w:t>客观</w:t>
            </w:r>
          </w:p>
        </w:tc>
        <w:tc>
          <w:tcPr>
            <w:tcW w:type="dxa" w:w="1661"/>
          </w:tcPr>
          <w:p>
            <w:pPr>
              <w:pStyle w:val="null3"/>
            </w:pPr>
            <w:r>
              <w:rPr/>
              <w:t>16样品</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价格分统一采用低价优先法计算，即满足磋商文件要求且响应价格最低的响应报价为评标基准价，其价格分为满分。其他供应商的价格分统一按照下列公式计算： 价格分=(评标基准价／响应报价)×报价分值 注：计算分数时四舍五入取小数点后两位。</w:t>
            </w:r>
          </w:p>
        </w:tc>
        <w:tc>
          <w:tcPr>
            <w:tcW w:type="dxa" w:w="831"/>
          </w:tcPr>
          <w:p>
            <w:pPr>
              <w:pStyle w:val="null3"/>
              <w:jc w:val="right"/>
            </w:pPr>
            <w:r>
              <w:rPr/>
              <w:t>30.00</w:t>
            </w:r>
          </w:p>
        </w:tc>
        <w:tc>
          <w:tcPr>
            <w:tcW w:type="dxa" w:w="831"/>
          </w:tcPr>
          <w:p>
            <w:pPr>
              <w:pStyle w:val="null3"/>
            </w:pPr>
            <w:r>
              <w:rPr/>
              <w:t>客观</w:t>
            </w:r>
          </w:p>
        </w:tc>
        <w:tc>
          <w:tcPr>
            <w:tcW w:type="dxa" w:w="1661"/>
          </w:tcPr>
          <w:p>
            <w:pPr>
              <w:pStyle w:val="null3"/>
            </w:pPr>
            <w:r>
              <w:rPr/>
              <w:t>报价函</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b/>
          <w:sz w:val="28"/>
        </w:rPr>
        <w:t>6.5确定成交供应商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b/>
          <w:sz w:val="28"/>
        </w:rPr>
        <w:t>6.6评审专家在政府采购活动中承担以下义务</w:t>
      </w:r>
    </w:p>
    <w:p>
      <w:pPr>
        <w:pStyle w:val="null3"/>
        <w:ind w:firstLine="480"/>
      </w:pPr>
      <w:r>
        <w:rPr/>
        <w:t>（一）遵守评审工作纪律；</w:t>
      </w:r>
    </w:p>
    <w:p>
      <w:pPr>
        <w:pStyle w:val="null3"/>
        <w:ind w:firstLine="480"/>
      </w:pPr>
      <w:r>
        <w:rPr/>
        <w:t xml:space="preserve"> （二）按照客观、公正、审慎的原则，根据采购文件规定的评审程序、评审方法和评审标准进行独立评审；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b/>
          <w:sz w:val="28"/>
        </w:rPr>
        <w:t xml:space="preserve"> 6.7评审专家在政府采购活动中应当遵守以下工作纪律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 xml:space="preserve"> （二）评审前，应当将通讯工具或者相关电子设备交由采购组织单位统一保管。</w:t>
      </w:r>
    </w:p>
    <w:p>
      <w:pPr>
        <w:pStyle w:val="null3"/>
        <w:ind w:firstLine="480"/>
      </w:pPr>
      <w:r>
        <w:rPr/>
        <w:t xml:space="preserve"> （三）评审过程中，不得与外界联系，因发生不可预见情况，确实需要与外界联系的， 应当在监督人员监督之下办理。</w:t>
      </w:r>
    </w:p>
    <w:p>
      <w:pPr>
        <w:pStyle w:val="null3"/>
        <w:ind w:firstLine="480"/>
      </w:pPr>
      <w:r>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 xml:space="preserve"> （六）服从评审现场采购组织单位的现场秩序管理，接受评审现场监督人员的合法监督。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b/>
          <w:sz w:val="36"/>
        </w:rPr>
        <w:t>第七章 响应文件格式</w:t>
      </w:r>
    </w:p>
    <w:p>
      <w:pPr>
        <w:pStyle w:val="null3"/>
        <w:ind w:firstLine="480"/>
      </w:pPr>
      <w:r>
        <w:rPr/>
        <w:t>一、本章所制响应文件格式，除格式中明确将该格式作为实质性要求的，不具有强制性。</w:t>
      </w:r>
    </w:p>
    <w:p>
      <w:pPr>
        <w:pStyle w:val="null3"/>
        <w:ind w:firstLine="480"/>
      </w:pPr>
      <w:r>
        <w:rPr/>
        <w:t>二、本章所制响应文件格式有关表格中的备注栏，由供应商根据自身响应情况作解释性说明，不作为必填项。</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详见附件：报价函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详见附件：主要人员简历表</w:t>
      </w:r>
    </w:p>
    <w:p>
      <w:pPr>
        <w:pStyle w:val="null3"/>
        <w:ind w:firstLine="960"/>
      </w:pPr>
      <w:r>
        <w:rPr/>
        <w:t>详见附件：标的清单</w:t>
      </w:r>
    </w:p>
    <w:p>
      <w:pPr>
        <w:pStyle w:val="null3"/>
        <w:ind w:firstLine="960"/>
      </w:pPr>
      <w:r>
        <w:rPr/>
        <w:t>详见附件：1报价一览表</w:t>
      </w:r>
    </w:p>
    <w:p>
      <w:pPr>
        <w:pStyle w:val="null3"/>
        <w:ind w:firstLine="960"/>
      </w:pPr>
      <w:r>
        <w:rPr/>
        <w:t>详见附件：3商务部分偏离表</w:t>
      </w:r>
    </w:p>
    <w:p>
      <w:pPr>
        <w:pStyle w:val="null3"/>
        <w:ind w:firstLine="960"/>
      </w:pPr>
      <w:r>
        <w:rPr/>
        <w:t>详见附件：4承诺书</w:t>
      </w:r>
    </w:p>
    <w:p>
      <w:pPr>
        <w:pStyle w:val="null3"/>
        <w:ind w:firstLine="960"/>
      </w:pPr>
      <w:r>
        <w:rPr/>
        <w:t>详见附件：5供应商资格证明文件</w:t>
      </w:r>
    </w:p>
    <w:p>
      <w:pPr>
        <w:pStyle w:val="null3"/>
        <w:ind w:firstLine="960"/>
      </w:pPr>
      <w:r>
        <w:rPr/>
        <w:t>详见附件：6技术响应偏离表</w:t>
      </w:r>
    </w:p>
    <w:p>
      <w:pPr>
        <w:pStyle w:val="null3"/>
        <w:ind w:firstLine="960"/>
      </w:pPr>
      <w:r>
        <w:rPr/>
        <w:t>详见附件：7施工方案</w:t>
      </w:r>
    </w:p>
    <w:p>
      <w:pPr>
        <w:pStyle w:val="null3"/>
        <w:ind w:firstLine="960"/>
      </w:pPr>
      <w:r>
        <w:rPr/>
        <w:t>详见附件：8确保工期的技术组织措施</w:t>
      </w:r>
    </w:p>
    <w:p>
      <w:pPr>
        <w:pStyle w:val="null3"/>
        <w:ind w:firstLine="960"/>
      </w:pPr>
      <w:r>
        <w:rPr/>
        <w:t>详见附件：9施工进度表或施工网络图</w:t>
      </w:r>
    </w:p>
    <w:p>
      <w:pPr>
        <w:pStyle w:val="null3"/>
        <w:ind w:firstLine="960"/>
      </w:pPr>
      <w:r>
        <w:rPr/>
        <w:t>详见附件：10质量技术组织措施和安全生产技术组织措施</w:t>
      </w:r>
    </w:p>
    <w:p>
      <w:pPr>
        <w:pStyle w:val="null3"/>
        <w:ind w:firstLine="960"/>
      </w:pPr>
      <w:r>
        <w:rPr/>
        <w:t>详见附件：11施工机械配备和材料投入计划</w:t>
      </w:r>
    </w:p>
    <w:p>
      <w:pPr>
        <w:pStyle w:val="null3"/>
        <w:ind w:firstLine="960"/>
      </w:pPr>
      <w:r>
        <w:rPr/>
        <w:t>详见附件：12项目经理部组成</w:t>
      </w:r>
    </w:p>
    <w:p>
      <w:pPr>
        <w:pStyle w:val="null3"/>
        <w:ind w:firstLine="960"/>
      </w:pPr>
      <w:r>
        <w:rPr/>
        <w:t>详见附件：13业绩</w:t>
      </w:r>
    </w:p>
    <w:p>
      <w:pPr>
        <w:pStyle w:val="null3"/>
        <w:ind w:firstLine="960"/>
      </w:pPr>
      <w:r>
        <w:rPr/>
        <w:t>详见附件：14保修承诺书</w:t>
      </w:r>
    </w:p>
    <w:p>
      <w:pPr>
        <w:pStyle w:val="null3"/>
        <w:ind w:firstLine="960"/>
      </w:pPr>
      <w:r>
        <w:rPr/>
        <w:t>详见附件：16样品</w:t>
      </w:r>
    </w:p>
    <w:p>
      <w:pPr>
        <w:pStyle w:val="null3"/>
        <w:ind w:firstLine="960"/>
      </w:pPr>
      <w:r>
        <w:rPr/>
        <w:t>详见附件：15节能环保</w:t>
      </w:r>
    </w:p>
    <w:p>
      <w:pPr>
        <w:pStyle w:val="null3"/>
        <w:ind w:firstLine="960"/>
      </w:pPr>
      <w:r>
        <w:rPr/>
        <w:t>详见附件：2工程量清单计价表</w:t>
      </w:r>
    </w:p>
    <w:p>
      <w:pPr>
        <w:pStyle w:val="null3"/>
      </w:pPr>
      <w:r>
        <w:rPr/>
        <w:t xml:space="preserve"> </w:t>
        <w:br/>
        <w:br w:type="page"/>
      </w:r>
    </w:p>
    <w:p>
      <w:pPr>
        <w:pStyle w:val="null3"/>
        <w:jc w:val="center"/>
        <w:outlineLvl w:val="1"/>
      </w:pPr>
      <w:r>
        <w:rPr>
          <w:b/>
          <w:sz w:val="36"/>
        </w:rPr>
        <w:t>第八章 拟签订采购合同文本</w:t>
      </w:r>
    </w:p>
    <w:p>
      <w:pPr>
        <w:pStyle w:val="null3"/>
      </w:pPr>
      <w:r>
        <w:rPr/>
        <w:t>详见附件：合同文本.docx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