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采购需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1.项目名称：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</w:rPr>
        <w:t>陕西省档案馆后库2024年数字化加工项目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  <w:t>2.预算：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</w:rPr>
        <w:t>3,310,000.00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  <w:t>3.数量：1项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/>
        </w:rPr>
        <w:t>4.采购需求：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</w:rPr>
        <w:t>预计完成馆藏档案资料全文扫描图像约480万画幅，目录著录43万条，进一步加快档案资源转化为数字化档案信息，拓宽惠民利民渠道，实现信息化与档案 事业各项工作深度融合，持续提升为公众提供档案信息化服务水平和质量。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GVmMzUxZWE5ZjgxYmUzYzNkYTkzOWQxMjdjOTUifQ=="/>
  </w:docVars>
  <w:rsids>
    <w:rsidRoot w:val="16AB407A"/>
    <w:rsid w:val="16AB4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2024-04-28T11:05:00Z</dcterms:created>
  <dc:creator>c</dc:creator>
  <cp:lastModifiedBy>c</cp:lastModifiedBy>
  <dcterms:modified xsi:type="dcterms:W3CDTF">2024-04-28T11:09:39Z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E8C1BD2052B740DCB982CE88CA67E58E_11</vt:lpwstr>
  </property>
</Properties>
</file>