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新城大院9号、10号楼消防系统维修改造项目</w:t>
      </w:r>
    </w:p>
    <w:p>
      <w:pPr>
        <w:pStyle w:val="null3"/>
        <w:jc w:val="center"/>
        <w:outlineLvl w:val="2"/>
      </w:pPr>
      <w:r>
        <w:rPr>
          <w:b/>
          <w:sz w:val="28"/>
        </w:rPr>
        <w:t>采购项目编号：</w:t>
      </w:r>
      <w:r>
        <w:rPr>
          <w:b/>
          <w:sz w:val="28"/>
        </w:rPr>
        <w:t>SZT2024-SN-SC-ZC-GC-0020.</w:t>
      </w:r>
      <w:r>
        <w:br/>
      </w:r>
      <w:r>
        <w:br/>
      </w:r>
      <w:r>
        <w:br/>
      </w:r>
    </w:p>
    <w:p>
      <w:pPr>
        <w:pStyle w:val="null3"/>
        <w:jc w:val="center"/>
        <w:outlineLvl w:val="2"/>
      </w:pPr>
      <w:r>
        <w:rPr>
          <w:b/>
          <w:sz w:val="28"/>
        </w:rPr>
        <w:t>陕西省人民政府机关新城管理中心</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2024年04月18日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陕西省人民政府机关新城管理中心</w:t>
      </w:r>
      <w:r>
        <w:rPr/>
        <w:t>委托，拟对</w:t>
      </w:r>
      <w:r>
        <w:rPr/>
        <w:t>新城大院9号、10号楼消防系统维修改造项目</w:t>
      </w:r>
      <w:r>
        <w:rPr/>
        <w:t>采用竞争性磋商采购方式进行采购，兹邀请供应商参加本项目的竞争性磋商。</w:t>
      </w:r>
    </w:p>
    <w:p>
      <w:pPr>
        <w:pStyle w:val="null3"/>
        <w:outlineLvl w:val="2"/>
      </w:pPr>
      <w:r>
        <w:rPr>
          <w:b/>
          <w:sz w:val="28"/>
        </w:rPr>
        <w:t>一、采购项目编号：</w:t>
      </w:r>
      <w:r>
        <w:rPr>
          <w:b/>
          <w:sz w:val="28"/>
        </w:rPr>
        <w:t>SZT2024-SN-SC-ZC-GC-0020.</w:t>
      </w:r>
    </w:p>
    <w:p>
      <w:pPr>
        <w:pStyle w:val="null3"/>
        <w:outlineLvl w:val="2"/>
      </w:pPr>
      <w:r>
        <w:rPr>
          <w:b/>
          <w:sz w:val="28"/>
        </w:rPr>
        <w:t>二、采购项目名称：</w:t>
      </w:r>
      <w:r>
        <w:rPr>
          <w:b/>
          <w:sz w:val="28"/>
        </w:rPr>
        <w:t>新城大院9号、10号楼消防系统维修改造项目</w:t>
      </w:r>
    </w:p>
    <w:p>
      <w:pPr>
        <w:pStyle w:val="null3"/>
        <w:outlineLvl w:val="2"/>
      </w:pPr>
      <w:r>
        <w:rPr>
          <w:b/>
          <w:sz w:val="28"/>
        </w:rPr>
        <w:t>三、磋商项目简介</w:t>
      </w:r>
    </w:p>
    <w:p>
      <w:pPr>
        <w:pStyle w:val="null3"/>
        <w:ind w:firstLine="480"/>
      </w:pPr>
      <w:r>
        <w:rPr/>
        <w:t>9号楼、10号楼、黄楼、东窑洞、西窑洞（省政府历史沿革展室）、车队的所有消防系统等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采购包1（9号楼、10号楼消防系统维修改造）：属于专门面向小微企业采购。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1、法定代表人授权书：法定代表人授权书（附法定代表人、被授权人身份证复印件）及被授权人身份证（法定代表人直接参加磋商，须提供法定代表人身份证明及身份证原件）</w:t>
      </w:r>
    </w:p>
    <w:p>
      <w:pPr>
        <w:pStyle w:val="null3"/>
      </w:pPr>
      <w:r>
        <w:rPr/>
        <w:t>2、消防设施工程专业承包二级及以上资质：具有建设部门颁发的消防设施工程专业承包二级及以上资质</w:t>
      </w:r>
    </w:p>
    <w:p>
      <w:pPr>
        <w:pStyle w:val="null3"/>
      </w:pPr>
      <w:r>
        <w:rPr/>
        <w:t>3、具有国家建设行政主管部门颁发的有效的安全生产许可证：具有国家建设行政主管部门颁发的有效的安全生产许可证</w:t>
      </w:r>
    </w:p>
    <w:p>
      <w:pPr>
        <w:pStyle w:val="null3"/>
      </w:pPr>
      <w:r>
        <w:rPr/>
        <w:t>4、外地企业提供在“陕西省建筑市场监管与诚信信息一体化平台”上登记的基本信息界面截图：外地企业提供在“陕西省建筑市场监管与诚信信息一体化平台”上登记的基本信息界面截图</w:t>
      </w:r>
    </w:p>
    <w:p>
      <w:pPr>
        <w:pStyle w:val="null3"/>
      </w:pPr>
      <w:r>
        <w:rPr/>
        <w:t>5、项目经理资质要求：拟派项目经理需提供机电工程专业二级以上（含二级）建造师证书及安全生产考核合格 B证或具备二级以上（含二级）注册消防工程师证书且在本单位注册；并无其他在建项目（提供无在建工程的承诺函）</w:t>
      </w:r>
    </w:p>
    <w:p>
      <w:pPr>
        <w:pStyle w:val="null3"/>
      </w:pPr>
      <w:r>
        <w:rPr/>
        <w:t>6、本项目不接受联合体投标：本项目不接受联合体投标，（投标主体为单一供应商，无需提供声明函）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陕西省人民政府机关新城管理中心</w:t>
      </w:r>
    </w:p>
    <w:p>
      <w:pPr>
        <w:pStyle w:val="null3"/>
      </w:pPr>
      <w:r>
        <w:rPr/>
        <w:t xml:space="preserve"> 地址： </w:t>
      </w:r>
      <w:r>
        <w:rPr/>
        <w:t>省政府新城大院5号楼</w:t>
      </w:r>
    </w:p>
    <w:p>
      <w:pPr>
        <w:pStyle w:val="null3"/>
      </w:pPr>
      <w:r>
        <w:rPr/>
        <w:t xml:space="preserve"> 邮编： </w:t>
      </w:r>
      <w:r>
        <w:rPr/>
        <w:t>710000</w:t>
      </w:r>
    </w:p>
    <w:p>
      <w:pPr>
        <w:pStyle w:val="null3"/>
      </w:pPr>
      <w:r>
        <w:rPr/>
        <w:t xml:space="preserve"> 联系人： </w:t>
      </w:r>
      <w:r>
        <w:rPr/>
        <w:t>新城管理中心</w:t>
      </w:r>
    </w:p>
    <w:p>
      <w:pPr>
        <w:pStyle w:val="null3"/>
      </w:pPr>
      <w:r>
        <w:rPr/>
        <w:t xml:space="preserve"> 联系电话： </w:t>
      </w:r>
      <w:r>
        <w:rPr/>
        <w:t>029-63912981</w:t>
      </w:r>
    </w:p>
    <w:p>
      <w:pPr>
        <w:pStyle w:val="null3"/>
        <w:outlineLvl w:val="3"/>
      </w:pPr>
      <w:r>
        <w:rPr>
          <w:b/>
          <w:sz w:val="24"/>
        </w:rPr>
        <w:t>代理机构：</w:t>
      </w:r>
      <w:r>
        <w:rPr>
          <w:b/>
          <w:sz w:val="24"/>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招标代理服务费的收取参见国家计委颁布的《招标代理服务收费管理暂行办法》（计价格[2002]1980号）和（发改办价格[2003]857号）收费标准，按照预算金额差额定率累进法计算后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踏勘时间：2024-05-22 10:00:00</w:t>
            </w:r>
          </w:p>
          <w:p>
            <w:pPr>
              <w:pStyle w:val="null3"/>
              <w:ind w:firstLine="975"/>
            </w:pPr>
            <w:r>
              <w:rPr/>
              <w:t>踏勘地点：新城大院</w:t>
            </w:r>
          </w:p>
          <w:p>
            <w:pPr>
              <w:pStyle w:val="null3"/>
              <w:ind w:firstLine="975"/>
            </w:pPr>
            <w:r>
              <w:rPr/>
              <w:t>联系人：高拥</w:t>
            </w:r>
          </w:p>
          <w:p>
            <w:pPr>
              <w:pStyle w:val="null3"/>
              <w:ind w:firstLine="975"/>
            </w:pPr>
            <w:r>
              <w:rPr/>
              <w:t>联系电话号码：63912989</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陕西省人民政府机关新城管理中心</w:t>
      </w:r>
      <w:r>
        <w:rPr/>
        <w:t>和</w:t>
      </w:r>
      <w:r>
        <w:rPr/>
        <w:t>陕西中技招标有限公司</w:t>
      </w:r>
      <w:r>
        <w:rPr/>
        <w:t>享有。对磋商文件中供应商参加本次政府采购活动应当具备的条件，磋商项目技术、服务、商务及其他要求，评审细则及标准由</w:t>
      </w:r>
      <w:r>
        <w:rPr/>
        <w:t>陕西省人民政府机关新城管理中心</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陕西省人民政府机关新城管理中心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合同文本，磋商文件，响应文件，国内相应的标准、规范等。</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地址：西安市高新区高新四路1号高科广场A1001室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1,400,000.00</w:t>
      </w:r>
    </w:p>
    <w:p>
      <w:pPr>
        <w:pStyle w:val="null3"/>
      </w:pPr>
      <w:r>
        <w:rPr/>
        <w:t>采购包最高限价（元）: 1,300,000.00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1400000</w:t>
            </w:r>
          </w:p>
        </w:tc>
        <w:tc>
          <w:tcPr>
            <w:tcW w:type="dxa" w:w="1384"/>
          </w:tcPr>
          <w:p>
            <w:pPr>
              <w:pStyle w:val="null3"/>
              <w:jc w:val="right"/>
            </w:pPr>
            <w:r>
              <w:rPr/>
              <w:t>1.00</w:t>
            </w:r>
          </w:p>
        </w:tc>
        <w:tc>
          <w:tcPr>
            <w:tcW w:type="dxa" w:w="1384"/>
          </w:tcPr>
          <w:p>
            <w:pPr>
              <w:pStyle w:val="null3"/>
              <w:jc w:val="right"/>
            </w:pPr>
            <w:r>
              <w:rPr/>
              <w:t>1,400,000.00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、付款方式：合同签订后</w:t>
            </w:r>
            <w:r>
              <w:rPr>
                <w:rFonts w:ascii="calibri" w:hAnsi="calibri" w:cs="calibri" w:eastAsia="calibri"/>
                <w:sz w:val="21"/>
              </w:rPr>
              <w:t>30</w:t>
            </w:r>
            <w:r>
              <w:rPr>
                <w:rFonts w:ascii="宋体" w:hAnsi="宋体" w:cs="宋体" w:eastAsia="宋体"/>
                <w:sz w:val="21"/>
              </w:rPr>
              <w:t>天内支付预付款</w:t>
            </w:r>
            <w:r>
              <w:rPr>
                <w:rFonts w:ascii="calibri" w:hAnsi="calibri" w:cs="calibri" w:eastAsia="calibri"/>
                <w:sz w:val="21"/>
              </w:rPr>
              <w:t>40</w:t>
            </w:r>
            <w:r>
              <w:rPr>
                <w:rFonts w:ascii="宋体" w:hAnsi="宋体" w:cs="宋体" w:eastAsia="宋体"/>
                <w:sz w:val="21"/>
              </w:rPr>
              <w:t>％，工程竣工验收合格并审计后</w:t>
            </w:r>
            <w:r>
              <w:rPr>
                <w:rFonts w:ascii="calibri" w:hAnsi="calibri" w:cs="calibri" w:eastAsia="calibri"/>
                <w:sz w:val="21"/>
              </w:rPr>
              <w:t>30</w:t>
            </w:r>
            <w:r>
              <w:rPr>
                <w:rFonts w:ascii="宋体" w:hAnsi="宋体" w:cs="宋体" w:eastAsia="宋体"/>
                <w:sz w:val="21"/>
              </w:rPr>
              <w:t>天内支付至审定</w:t>
            </w:r>
          </w:p>
          <w:p>
            <w:pPr>
              <w:pStyle w:val="null3"/>
              <w:jc w:val="both"/>
            </w:pPr>
            <w:r>
              <w:rPr>
                <w:rFonts w:ascii="宋体" w:hAnsi="宋体" w:cs="宋体" w:eastAsia="宋体"/>
                <w:sz w:val="21"/>
              </w:rPr>
              <w:t>价的</w:t>
            </w:r>
            <w:r>
              <w:rPr>
                <w:rFonts w:ascii="calibri" w:hAnsi="calibri" w:cs="calibri" w:eastAsia="calibri"/>
                <w:sz w:val="21"/>
              </w:rPr>
              <w:t>97%</w:t>
            </w:r>
            <w:r>
              <w:rPr>
                <w:rFonts w:ascii="宋体" w:hAnsi="宋体" w:cs="宋体" w:eastAsia="宋体"/>
                <w:sz w:val="21"/>
              </w:rPr>
              <w:t>，剩余</w:t>
            </w:r>
            <w:r>
              <w:rPr>
                <w:rFonts w:ascii="calibri" w:hAnsi="calibri" w:cs="calibri" w:eastAsia="calibri"/>
                <w:sz w:val="21"/>
              </w:rPr>
              <w:t>3%</w:t>
            </w:r>
            <w:r>
              <w:rPr>
                <w:rFonts w:ascii="宋体" w:hAnsi="宋体" w:cs="宋体" w:eastAsia="宋体"/>
                <w:sz w:val="21"/>
              </w:rPr>
              <w:t>工程款，质保期到后无质量问题</w:t>
            </w:r>
            <w:r>
              <w:rPr>
                <w:rFonts w:ascii="calibri" w:hAnsi="calibri" w:cs="calibri" w:eastAsia="calibri"/>
                <w:sz w:val="21"/>
              </w:rPr>
              <w:t>30</w:t>
            </w:r>
            <w:r>
              <w:rPr>
                <w:rFonts w:ascii="宋体" w:hAnsi="宋体" w:cs="宋体" w:eastAsia="宋体"/>
                <w:sz w:val="21"/>
              </w:rPr>
              <w:t>天内一次性无息支付。</w:t>
            </w:r>
          </w:p>
          <w:p>
            <w:pPr>
              <w:pStyle w:val="null3"/>
              <w:jc w:val="both"/>
            </w:pPr>
            <w:r>
              <w:rPr>
                <w:rFonts w:ascii="calibri" w:hAnsi="calibri" w:cs="calibri" w:eastAsia="calibri"/>
                <w:sz w:val="21"/>
              </w:rPr>
              <w:t>2</w:t>
            </w:r>
            <w:r>
              <w:rPr>
                <w:rFonts w:ascii="宋体" w:hAnsi="宋体" w:cs="宋体" w:eastAsia="宋体"/>
                <w:sz w:val="21"/>
              </w:rPr>
              <w:t>、质保期：三年，从竣工验收结束后开始计算</w:t>
            </w:r>
          </w:p>
          <w:p>
            <w:pPr>
              <w:pStyle w:val="null3"/>
              <w:jc w:val="both"/>
            </w:pPr>
            <w:r>
              <w:rPr>
                <w:rFonts w:ascii="calibri" w:hAnsi="calibri" w:cs="calibri" w:eastAsia="calibri"/>
                <w:sz w:val="21"/>
              </w:rPr>
              <w:t>3</w:t>
            </w:r>
            <w:r>
              <w:rPr>
                <w:rFonts w:ascii="宋体" w:hAnsi="宋体" w:cs="宋体" w:eastAsia="宋体"/>
                <w:sz w:val="21"/>
              </w:rPr>
              <w:t>、工期：</w:t>
            </w:r>
            <w:r>
              <w:rPr>
                <w:rFonts w:ascii="calibri" w:hAnsi="calibri" w:cs="calibri" w:eastAsia="calibri"/>
                <w:sz w:val="21"/>
              </w:rPr>
              <w:t>50</w:t>
            </w:r>
            <w:r>
              <w:rPr>
                <w:rFonts w:ascii="宋体" w:hAnsi="宋体" w:cs="宋体" w:eastAsia="宋体"/>
                <w:sz w:val="21"/>
              </w:rPr>
              <w:t>日历日</w:t>
            </w:r>
          </w:p>
          <w:p>
            <w:pPr>
              <w:pStyle w:val="null3"/>
              <w:jc w:val="both"/>
            </w:pPr>
            <w:r>
              <w:rPr>
                <w:rFonts w:ascii="calibri" w:hAnsi="calibri" w:cs="calibri" w:eastAsia="calibri"/>
                <w:sz w:val="21"/>
              </w:rPr>
              <w:t>4</w:t>
            </w:r>
            <w:r>
              <w:rPr>
                <w:rFonts w:ascii="宋体" w:hAnsi="宋体" w:cs="宋体" w:eastAsia="宋体"/>
                <w:sz w:val="21"/>
              </w:rPr>
              <w:t>、配合采购人恢复、完善整个消防系统功能，配合协调消防验收事宜。</w:t>
            </w:r>
          </w:p>
          <w:p>
            <w:pPr>
              <w:pStyle w:val="null3"/>
              <w:jc w:val="both"/>
            </w:pPr>
            <w:r>
              <w:rPr>
                <w:rFonts w:ascii="calibri" w:hAnsi="calibri" w:cs="calibri" w:eastAsia="calibri"/>
                <w:sz w:val="21"/>
              </w:rPr>
              <w:t>5</w:t>
            </w:r>
            <w:r>
              <w:rPr>
                <w:rFonts w:ascii="宋体" w:hAnsi="宋体" w:cs="宋体" w:eastAsia="宋体"/>
                <w:sz w:val="21"/>
              </w:rPr>
              <w:t>、本项目为交钥匙工程，执行合同总价包死价。工程量清单仅作参考，供应商根据现场踏勘的情况</w:t>
            </w:r>
          </w:p>
          <w:p>
            <w:pPr>
              <w:pStyle w:val="null3"/>
              <w:jc w:val="both"/>
            </w:pPr>
            <w:r>
              <w:rPr>
                <w:rFonts w:ascii="宋体" w:hAnsi="宋体" w:cs="宋体" w:eastAsia="宋体"/>
                <w:sz w:val="21"/>
              </w:rPr>
              <w:t>自行考虑施工过程中可能出现的风险。</w:t>
            </w:r>
          </w:p>
          <w:p>
            <w:pPr>
              <w:pStyle w:val="null3"/>
              <w:jc w:val="both"/>
            </w:pPr>
            <w:r>
              <w:rPr>
                <w:rFonts w:ascii="calibri" w:hAnsi="calibri" w:cs="calibri" w:eastAsia="calibri"/>
                <w:sz w:val="21"/>
              </w:rPr>
              <w:t>6</w:t>
            </w:r>
            <w:r>
              <w:rPr>
                <w:rFonts w:ascii="宋体" w:hAnsi="宋体" w:cs="宋体" w:eastAsia="宋体"/>
                <w:sz w:val="21"/>
              </w:rPr>
              <w:t>、范围：</w:t>
            </w:r>
            <w:r>
              <w:rPr>
                <w:rFonts w:ascii="calibri" w:hAnsi="calibri" w:cs="calibri" w:eastAsia="calibri"/>
                <w:sz w:val="21"/>
              </w:rPr>
              <w:t>9</w:t>
            </w:r>
            <w:r>
              <w:rPr>
                <w:rFonts w:ascii="宋体" w:hAnsi="宋体" w:cs="宋体" w:eastAsia="宋体"/>
                <w:sz w:val="21"/>
              </w:rPr>
              <w:t>号楼、</w:t>
            </w:r>
            <w:r>
              <w:rPr>
                <w:rFonts w:ascii="calibri" w:hAnsi="calibri" w:cs="calibri" w:eastAsia="calibri"/>
                <w:sz w:val="21"/>
              </w:rPr>
              <w:t>10</w:t>
            </w:r>
            <w:r>
              <w:rPr>
                <w:rFonts w:ascii="宋体" w:hAnsi="宋体" w:cs="宋体" w:eastAsia="宋体"/>
                <w:sz w:val="21"/>
              </w:rPr>
              <w:t>号楼、黄楼、东窑洞、西窑洞（省政府历史沿革展室）、车队的所有消防系统等</w:t>
            </w:r>
          </w:p>
          <w:p>
            <w:pPr>
              <w:pStyle w:val="null3"/>
              <w:jc w:val="both"/>
            </w:pPr>
            <w:r>
              <w:rPr>
                <w:rFonts w:ascii="宋体" w:hAnsi="宋体" w:cs="宋体" w:eastAsia="宋体"/>
                <w:sz w:val="21"/>
              </w:rPr>
              <w:t>（一）拆除更换</w:t>
            </w:r>
            <w:r>
              <w:rPr>
                <w:rFonts w:ascii="calibri" w:hAnsi="calibri" w:cs="calibri" w:eastAsia="calibri"/>
                <w:sz w:val="21"/>
              </w:rPr>
              <w:t>9</w:t>
            </w:r>
            <w:r>
              <w:rPr>
                <w:rFonts w:ascii="宋体" w:hAnsi="宋体" w:cs="宋体" w:eastAsia="宋体"/>
                <w:sz w:val="21"/>
              </w:rPr>
              <w:t>号楼、</w:t>
            </w:r>
            <w:r>
              <w:rPr>
                <w:rFonts w:ascii="calibri" w:hAnsi="calibri" w:cs="calibri" w:eastAsia="calibri"/>
                <w:sz w:val="21"/>
              </w:rPr>
              <w:t>10</w:t>
            </w:r>
            <w:r>
              <w:rPr>
                <w:rFonts w:ascii="宋体" w:hAnsi="宋体" w:cs="宋体" w:eastAsia="宋体"/>
                <w:sz w:val="21"/>
              </w:rPr>
              <w:t>号楼、新城黄楼、省政府历史沿革展室报警主机、报警设备、应急照</w:t>
            </w:r>
          </w:p>
          <w:p>
            <w:pPr>
              <w:pStyle w:val="null3"/>
              <w:jc w:val="both"/>
            </w:pPr>
            <w:r>
              <w:rPr>
                <w:rFonts w:ascii="宋体" w:hAnsi="宋体" w:cs="宋体" w:eastAsia="宋体"/>
                <w:sz w:val="21"/>
              </w:rPr>
              <w:t>明以及疏散指示。</w:t>
            </w:r>
          </w:p>
          <w:p>
            <w:pPr>
              <w:pStyle w:val="null3"/>
              <w:jc w:val="both"/>
            </w:pPr>
            <w:r>
              <w:rPr>
                <w:rFonts w:ascii="宋体" w:hAnsi="宋体" w:cs="宋体" w:eastAsia="宋体"/>
                <w:sz w:val="21"/>
              </w:rPr>
              <w:t>（二）</w:t>
            </w:r>
            <w:r>
              <w:rPr>
                <w:rFonts w:ascii="宋体" w:hAnsi="宋体" w:cs="宋体" w:eastAsia="宋体"/>
                <w:sz w:val="21"/>
              </w:rPr>
              <w:t>检修9号、10 号楼消防给水及灭火系统、防排烟系统、消防广播及声光报警系统、消防通信系统</w:t>
            </w:r>
            <w:r>
              <w:rPr>
                <w:rFonts w:ascii="宋体" w:hAnsi="宋体" w:cs="宋体" w:eastAsia="宋体"/>
                <w:sz w:val="21"/>
              </w:rPr>
              <w:t>。</w:t>
            </w:r>
          </w:p>
          <w:p>
            <w:pPr>
              <w:pStyle w:val="null3"/>
              <w:jc w:val="both"/>
            </w:pPr>
            <w:r>
              <w:rPr>
                <w:rFonts w:ascii="宋体" w:hAnsi="宋体" w:cs="宋体" w:eastAsia="宋体"/>
                <w:sz w:val="21"/>
              </w:rPr>
              <w:t>（三）</w:t>
            </w:r>
            <w:r>
              <w:rPr>
                <w:rFonts w:ascii="calibri" w:hAnsi="calibri" w:cs="calibri" w:eastAsia="calibri"/>
                <w:sz w:val="21"/>
              </w:rPr>
              <w:t>9</w:t>
            </w:r>
            <w:r>
              <w:rPr>
                <w:rFonts w:ascii="宋体" w:hAnsi="宋体" w:cs="宋体" w:eastAsia="宋体"/>
                <w:sz w:val="21"/>
              </w:rPr>
              <w:t>号、</w:t>
            </w:r>
            <w:r>
              <w:rPr>
                <w:rFonts w:ascii="calibri" w:hAnsi="calibri" w:cs="calibri" w:eastAsia="calibri"/>
                <w:sz w:val="21"/>
              </w:rPr>
              <w:t>10</w:t>
            </w:r>
            <w:r>
              <w:rPr>
                <w:rFonts w:ascii="宋体" w:hAnsi="宋体" w:cs="宋体" w:eastAsia="宋体"/>
                <w:sz w:val="21"/>
              </w:rPr>
              <w:t>号楼</w:t>
            </w:r>
            <w:r>
              <w:rPr>
                <w:rFonts w:ascii="calibri" w:hAnsi="calibri" w:cs="calibri" w:eastAsia="calibri"/>
                <w:sz w:val="21"/>
              </w:rPr>
              <w:t>UPS</w:t>
            </w:r>
            <w:r>
              <w:rPr>
                <w:rFonts w:ascii="宋体" w:hAnsi="宋体" w:cs="宋体" w:eastAsia="宋体"/>
                <w:sz w:val="21"/>
              </w:rPr>
              <w:t>机房分别加装</w:t>
            </w:r>
            <w:r>
              <w:rPr>
                <w:rFonts w:ascii="calibri" w:hAnsi="calibri" w:cs="calibri" w:eastAsia="calibri"/>
                <w:sz w:val="21"/>
              </w:rPr>
              <w:t>1</w:t>
            </w:r>
            <w:r>
              <w:rPr>
                <w:rFonts w:ascii="宋体" w:hAnsi="宋体" w:cs="宋体" w:eastAsia="宋体"/>
                <w:sz w:val="21"/>
              </w:rPr>
              <w:t>套气体灭火系统。</w:t>
            </w:r>
          </w:p>
          <w:p>
            <w:pPr>
              <w:pStyle w:val="null3"/>
              <w:jc w:val="both"/>
            </w:pPr>
            <w:r>
              <w:rPr>
                <w:rFonts w:ascii="calibri" w:hAnsi="calibri" w:cs="calibri" w:eastAsia="calibri"/>
                <w:sz w:val="21"/>
              </w:rPr>
              <w:t>7、更新和维修的系统设备要与原系统设备无缝对接。</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详见采购内容及要求</w:t>
      </w:r>
    </w:p>
    <w:p>
      <w:pPr>
        <w:pStyle w:val="null3"/>
        <w:ind w:firstLine="480"/>
      </w:pPr>
      <w:r>
        <w:rPr/>
        <w:t>三、针对本项目的其他技术服务要求：</w:t>
      </w:r>
    </w:p>
    <w:p>
      <w:pPr>
        <w:pStyle w:val="null3"/>
      </w:pPr>
      <w:r>
        <w:rPr/>
        <w:t>详见采购内容及要求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份、副本壹套、电子版壹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 3、纸质版投标文件双面打印。</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1、供应商为企业的，提供2022年或2023年度经审计的财务报告或在磋商日期前12个月内任意时段银行出具的资信证明。 2、部分其他组织和自然人，没有经审计的财务报告，可以提供银行出具的资信证明等。 3、供应商提供了财政部门认可的政府采购专业担保机构出具的投标担保函，则不需要提供上述财务状况报告。</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残疾人福利性单位声明函 小微企业声明函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t>资格响应表(1)</w:t>
            </w:r>
          </w:p>
        </w:tc>
      </w:tr>
      <w:tr>
        <w:tc>
          <w:tcPr>
            <w:tcW w:type="dxa" w:w="831"/>
          </w:tcPr>
          <w:p>
            <w:pPr>
              <w:pStyle w:val="null3"/>
            </w:pPr>
            <w:r>
              <w:rPr/>
              <w:t>2</w:t>
            </w:r>
          </w:p>
        </w:tc>
        <w:tc>
          <w:tcPr>
            <w:tcW w:type="dxa" w:w="2492"/>
          </w:tcPr>
          <w:p>
            <w:pPr>
              <w:pStyle w:val="null3"/>
            </w:pPr>
            <w:r>
              <w:rPr/>
              <w:t>消防设施工程专业承包二级及以上资质</w:t>
            </w:r>
          </w:p>
        </w:tc>
        <w:tc>
          <w:tcPr>
            <w:tcW w:type="dxa" w:w="3322"/>
          </w:tcPr>
          <w:p>
            <w:pPr>
              <w:pStyle w:val="null3"/>
            </w:pPr>
            <w:r>
              <w:rPr/>
              <w:t>具有建设部门颁发的消防设施工程专业承包二级及以上资质</w:t>
            </w:r>
          </w:p>
        </w:tc>
        <w:tc>
          <w:tcPr>
            <w:tcW w:type="dxa" w:w="1661"/>
          </w:tcPr>
          <w:p>
            <w:pPr>
              <w:pStyle w:val="null3"/>
            </w:pPr>
            <w:r>
              <w:rPr/>
              <w:t>资格响应表(1)</w:t>
            </w:r>
          </w:p>
        </w:tc>
      </w:tr>
      <w:tr>
        <w:tc>
          <w:tcPr>
            <w:tcW w:type="dxa" w:w="831"/>
          </w:tcPr>
          <w:p>
            <w:pPr>
              <w:pStyle w:val="null3"/>
            </w:pPr>
            <w:r>
              <w:rPr/>
              <w:t>3</w:t>
            </w:r>
          </w:p>
        </w:tc>
        <w:tc>
          <w:tcPr>
            <w:tcW w:type="dxa" w:w="2492"/>
          </w:tcPr>
          <w:p>
            <w:pPr>
              <w:pStyle w:val="null3"/>
            </w:pPr>
            <w:r>
              <w:rPr/>
              <w:t>具有国家建设行政主管部门颁发的有效的安全生产许可证</w:t>
            </w:r>
          </w:p>
        </w:tc>
        <w:tc>
          <w:tcPr>
            <w:tcW w:type="dxa" w:w="3322"/>
          </w:tcPr>
          <w:p>
            <w:pPr>
              <w:pStyle w:val="null3"/>
            </w:pPr>
            <w:r>
              <w:rPr/>
              <w:t>具有国家建设行政主管部门颁发的有效的安全生产许可证</w:t>
            </w:r>
          </w:p>
        </w:tc>
        <w:tc>
          <w:tcPr>
            <w:tcW w:type="dxa" w:w="1661"/>
          </w:tcPr>
          <w:p>
            <w:pPr>
              <w:pStyle w:val="null3"/>
            </w:pPr>
            <w:r>
              <w:rPr/>
              <w:t>资格响应表(1)</w:t>
            </w:r>
          </w:p>
        </w:tc>
      </w:tr>
      <w:tr>
        <w:tc>
          <w:tcPr>
            <w:tcW w:type="dxa" w:w="831"/>
          </w:tcPr>
          <w:p>
            <w:pPr>
              <w:pStyle w:val="null3"/>
            </w:pPr>
            <w:r>
              <w:rPr/>
              <w:t>4</w:t>
            </w:r>
          </w:p>
        </w:tc>
        <w:tc>
          <w:tcPr>
            <w:tcW w:type="dxa" w:w="2492"/>
          </w:tcPr>
          <w:p>
            <w:pPr>
              <w:pStyle w:val="null3"/>
            </w:pPr>
            <w:r>
              <w:rPr/>
              <w:t>外地企业提供在“陕西省建筑市场监管与诚信信息一体化平台”上登记的基本信息界面截图</w:t>
            </w:r>
          </w:p>
        </w:tc>
        <w:tc>
          <w:tcPr>
            <w:tcW w:type="dxa" w:w="3322"/>
          </w:tcPr>
          <w:p>
            <w:pPr>
              <w:pStyle w:val="null3"/>
            </w:pPr>
            <w:r>
              <w:rPr/>
              <w:t>外地企业提供在“陕西省建筑市场监管与诚信信息一体化平台”上登记的基本信息界面截图</w:t>
            </w:r>
          </w:p>
        </w:tc>
        <w:tc>
          <w:tcPr>
            <w:tcW w:type="dxa" w:w="1661"/>
          </w:tcPr>
          <w:p>
            <w:pPr>
              <w:pStyle w:val="null3"/>
            </w:pPr>
            <w:r>
              <w:rPr/>
              <w:t>资格响应表(1)</w:t>
            </w:r>
          </w:p>
        </w:tc>
      </w:tr>
      <w:tr>
        <w:tc>
          <w:tcPr>
            <w:tcW w:type="dxa" w:w="831"/>
          </w:tcPr>
          <w:p>
            <w:pPr>
              <w:pStyle w:val="null3"/>
            </w:pPr>
            <w:r>
              <w:rPr/>
              <w:t>5</w:t>
            </w:r>
          </w:p>
        </w:tc>
        <w:tc>
          <w:tcPr>
            <w:tcW w:type="dxa" w:w="2492"/>
          </w:tcPr>
          <w:p>
            <w:pPr>
              <w:pStyle w:val="null3"/>
            </w:pPr>
            <w:r>
              <w:rPr/>
              <w:t>项目经理资质要求</w:t>
            </w:r>
          </w:p>
        </w:tc>
        <w:tc>
          <w:tcPr>
            <w:tcW w:type="dxa" w:w="3322"/>
          </w:tcPr>
          <w:p>
            <w:pPr>
              <w:pStyle w:val="null3"/>
            </w:pPr>
            <w:r>
              <w:rPr/>
              <w:t>拟派项目经理需提供机电工程专业二级以上（含二级）建造师证书及安全生产考核合格 B证或具备二级以上（含二级）注册消防工程师证书且在本单位注册；并无其他在建项目（提供无在建工程的承诺函）</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商务偏离表 报价函 标的清单 工程量清单 磋商报价表</w:t>
            </w:r>
          </w:p>
        </w:tc>
      </w:tr>
      <w:tr>
        <w:tc>
          <w:tcPr>
            <w:tcW w:type="dxa" w:w="831"/>
          </w:tcPr>
          <w:p>
            <w:pPr>
              <w:pStyle w:val="null3"/>
            </w:pPr>
            <w:r>
              <w:rPr/>
              <w:t>2</w:t>
            </w:r>
          </w:p>
        </w:tc>
        <w:tc>
          <w:tcPr>
            <w:tcW w:type="dxa" w:w="2492"/>
          </w:tcPr>
          <w:p>
            <w:pPr>
              <w:pStyle w:val="null3"/>
            </w:pPr>
            <w:r>
              <w:rPr/>
              <w:t>付款方式</w:t>
            </w:r>
          </w:p>
        </w:tc>
        <w:tc>
          <w:tcPr>
            <w:tcW w:type="dxa" w:w="3322"/>
          </w:tcPr>
          <w:p>
            <w:pPr>
              <w:pStyle w:val="null3"/>
            </w:pPr>
            <w:r>
              <w:rPr/>
              <w:t>合同签订后30天内支付预付款40％，工程竣工验收合格并审计后30天内支付至审定价的97%，剩余3%工程款，质保期到后无质量问题30天内一次性无息支付。</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工期</w:t>
            </w:r>
          </w:p>
        </w:tc>
        <w:tc>
          <w:tcPr>
            <w:tcW w:type="dxa" w:w="3322"/>
          </w:tcPr>
          <w:p>
            <w:pPr>
              <w:pStyle w:val="null3"/>
            </w:pPr>
            <w:r>
              <w:rPr/>
              <w:t>50日历日</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三年，从竣工验收结束后开始计算</w:t>
            </w:r>
          </w:p>
        </w:tc>
        <w:tc>
          <w:tcPr>
            <w:tcW w:type="dxa" w:w="1661"/>
          </w:tcPr>
          <w:p>
            <w:pPr>
              <w:pStyle w:val="null3"/>
            </w:pPr>
            <w:r>
              <w:rPr/>
              <w:t>商务偏离表</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项目实施方案（10分） A.实施方案完整详细、有针对性，点型探测器、火灾声光警报器、气体灭火报警控制器等设备的拆旧换新、安装调试内容与整体项目协调，完全满足项目实施，具有优化建议的得10分； B.实施方案完整，可行，有针对性，能满足项目实施的全部要求的得8分； C.实施方案非专门针对本项目，存在逻辑漏洞或前后内容不一致的得5分； D.实施方案有较大缺陷，或完全套用其他项目且内容较少的得2分;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强制优先采购产品承诺函</w:t>
            </w:r>
          </w:p>
          <w:p>
            <w:pPr>
              <w:pStyle w:val="null3"/>
            </w:pPr>
            <w:r>
              <w:rPr/>
              <w:t>施工方案、人员表、业绩一览表及供应商认为有必要提供的其他内容(1)</w:t>
            </w:r>
          </w:p>
        </w:tc>
      </w:tr>
      <w:tr>
        <w:tc>
          <w:tcPr>
            <w:tcW w:type="dxa" w:w="831"/>
            <w:vMerge/>
          </w:tcPr>
          <w:p/>
        </w:tc>
        <w:tc>
          <w:tcPr>
            <w:tcW w:type="dxa" w:w="1661"/>
          </w:tcPr>
          <w:p>
            <w:pPr>
              <w:pStyle w:val="null3"/>
            </w:pPr>
            <w:r>
              <w:rPr/>
              <w:t>安全作业管理</w:t>
            </w:r>
          </w:p>
        </w:tc>
        <w:tc>
          <w:tcPr>
            <w:tcW w:type="dxa" w:w="2492"/>
          </w:tcPr>
          <w:p>
            <w:pPr>
              <w:pStyle w:val="null3"/>
            </w:pPr>
            <w:r>
              <w:rPr/>
              <w:t>安全作业管理（10分） 针对本项目提供具体的安全作业方案及安全配套措施进行综合评审。 A.提供具体详细、有针对性的安全作业方案及安全配套措施，完全符合采购人安全作业要求且具有优化建议的，得10分； B.提供安全作业方案及安全配套措施，符合采购人安全作业的要求，得8分； C.提供的安全作业方案及安全配套措施非专门针对本项目，套用其他项目内容，存在逻辑漏洞或前后内容不一致的得5分； D.提供的安全作业方案及安全配套措施简陋，存在不利于采购人安全作业要求实现的，得2分。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文明施工措施计划</w:t>
            </w:r>
          </w:p>
        </w:tc>
        <w:tc>
          <w:tcPr>
            <w:tcW w:type="dxa" w:w="2492"/>
          </w:tcPr>
          <w:p>
            <w:pPr>
              <w:pStyle w:val="null3"/>
            </w:pPr>
            <w:r>
              <w:rPr/>
              <w:t>文明施工措施计划（10分） 针对本项目提供的文明施工措施计划进行综合评审。 A.措施计划详细齐全、合理且切实可行，完全满足采购人需求，具有优化建议的得10分； B.措施计划齐全、合理、切实可行，满足采购人需求得8分； C.措施计划非专门针对本项目，存在逻辑漏洞或前后内容不一致的得5分； D.措施计划有较大缺陷，或完全套用其他项目且内容较少的得2分；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技术组织措施</w:t>
            </w:r>
          </w:p>
        </w:tc>
        <w:tc>
          <w:tcPr>
            <w:tcW w:type="dxa" w:w="2492"/>
          </w:tcPr>
          <w:p>
            <w:pPr>
              <w:pStyle w:val="null3"/>
            </w:pPr>
            <w:r>
              <w:rPr/>
              <w:t>技术组织措施（10分） 根据供应商制定的确保工程质量、改造内容、设备维修或更换、工期的技术组织措施进行综合评审。 A.措施计划详细齐全、合理且切实可行，完全满足采购人需求，具有优化建议的得10分； B.措施计划齐全、合理、切实可行，满足采购人需求得8分； C.措施计划非专门针对本项目，存在逻辑漏洞或前后内容不一致的得5分； D.措施计划有较大缺陷，或完全套用其他项目且内容较少的得2分；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项目组织管理机构（10分） 针对本项目的项目组织管理机构配备。 A.机构设置合理完善，人员配备齐全，技术经验丰富，人员专业性强，完全满足项目需求得10分； B.机构设置合理，人员配备齐全，且具备从业经验，满足项目需求得8分； C.机构设置非专门针对本项目，人员配备、技术经验有缺陷的得5分； D.机构设置、人员配备不完整，或无相关经验的得2分；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施工机械配备和材料投入计划（7分） 根据供应商投入的施工机械配备和材料投入计划等进行评审。 A.施工机械配备合理并提供设备来源证明材料，证明材料齐全且投入材料环保性优于国家标准的得7分； B.施工机械配备合理和材料环保性较好，提供了设备来源证明材料的得4分； C.施工机械配备和材料投入计划基本合理、可行，但未提供其他证明材料的得3分； D.施工机械配备和材料投入计划较差，不利于本项目实施的得1分； E.未提供得0分。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业绩</w:t>
            </w:r>
          </w:p>
        </w:tc>
        <w:tc>
          <w:tcPr>
            <w:tcW w:type="dxa" w:w="2492"/>
          </w:tcPr>
          <w:p>
            <w:pPr>
              <w:pStyle w:val="null3"/>
            </w:pPr>
            <w:r>
              <w:rPr/>
              <w:t>供应商提供2021年1月至截标时间前同类施工项目业绩；每提供1份计1分，最高得5分。业绩证明材料提供合同及项目验收单（以合同签订时间为准，须在磋商响应文件中附以上证明材料的扫描件加盖单位公章），提供不完整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合理化建议</w:t>
            </w:r>
          </w:p>
        </w:tc>
        <w:tc>
          <w:tcPr>
            <w:tcW w:type="dxa" w:w="2492"/>
          </w:tcPr>
          <w:p>
            <w:pPr>
              <w:pStyle w:val="null3"/>
            </w:pPr>
            <w:r>
              <w:rPr/>
              <w:t>对改造内容、设备保留或更换、产品方案和施工组织的优化建议。 A.内容详细、科学、有利于项目实施得3分； B.内容未贴合项目实际情况进行论述得1分； C.未提供不得分。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实质性满足磋商文件要求且磋商价格最低的投标报价为评标基准价，其报价分为满分30分。 其它投标报价得分=（评标基准价/投标报价）*30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详见附件：磋商报价表</w:t>
      </w:r>
    </w:p>
    <w:p>
      <w:pPr>
        <w:pStyle w:val="null3"/>
        <w:ind w:firstLine="960"/>
      </w:pPr>
      <w:r>
        <w:rPr/>
        <w:t>详见附件：商务偏离表</w:t>
      </w:r>
    </w:p>
    <w:p>
      <w:pPr>
        <w:pStyle w:val="null3"/>
        <w:ind w:firstLine="960"/>
      </w:pPr>
      <w:r>
        <w:rPr/>
        <w:t>详见附件：小微企业声明函</w:t>
      </w:r>
    </w:p>
    <w:p>
      <w:pPr>
        <w:pStyle w:val="null3"/>
        <w:ind w:firstLine="960"/>
      </w:pPr>
      <w:r>
        <w:rPr/>
        <w:t>详见附件：资格响应表(1)</w:t>
      </w:r>
    </w:p>
    <w:p>
      <w:pPr>
        <w:pStyle w:val="null3"/>
        <w:ind w:firstLine="960"/>
      </w:pPr>
      <w:r>
        <w:rPr/>
        <w:t>详见附件：施工方案、人员表、业绩一览表及供应商认为有必要提供的其他内容(1)</w:t>
      </w:r>
    </w:p>
    <w:p>
      <w:pPr>
        <w:pStyle w:val="null3"/>
        <w:ind w:firstLine="960"/>
      </w:pPr>
      <w:r>
        <w:rPr/>
        <w:t>详见附件：工程量清单</w:t>
      </w:r>
    </w:p>
    <w:p>
      <w:pPr>
        <w:pStyle w:val="null3"/>
        <w:ind w:firstLine="960"/>
      </w:pPr>
      <w:r>
        <w:rPr/>
        <w:t>详见附件：合理化建议</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