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6625"/>
      <w:bookmarkStart w:id="3" w:name="_Toc2004"/>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或2023年</w:t>
      </w:r>
      <w:r>
        <w:rPr>
          <w:rFonts w:hint="eastAsia" w:ascii="仿宋" w:hAnsi="仿宋" w:eastAsia="仿宋" w:cs="仿宋"/>
          <w:sz w:val="24"/>
          <w:highlight w:val="none"/>
        </w:rPr>
        <w:t>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eastAsia="zh-CN"/>
        </w:rPr>
        <w:t>谈判</w:t>
      </w:r>
      <w:r>
        <w:rPr>
          <w:rFonts w:hint="eastAsia" w:ascii="仿宋" w:hAnsi="仿宋" w:eastAsia="仿宋" w:cs="仿宋"/>
          <w:b/>
          <w:bCs/>
          <w:sz w:val="24"/>
          <w:highlight w:val="none"/>
        </w:rPr>
        <w:t>文件要求的其他证明文件</w:t>
      </w:r>
    </w:p>
    <w:p>
      <w:pPr>
        <w:pStyle w:val="2"/>
        <w:numPr>
          <w:ilvl w:val="0"/>
          <w:numId w:val="0"/>
        </w:numPr>
        <w:rPr>
          <w:rFonts w:hint="eastAsia" w:ascii="仿宋" w:hAnsi="仿宋" w:eastAsia="仿宋" w:cs="仿宋"/>
          <w:b w:val="0"/>
          <w:color w:val="36363D"/>
          <w:spacing w:val="4"/>
          <w:kern w:val="0"/>
          <w:sz w:val="24"/>
          <w:szCs w:val="24"/>
          <w:highlight w:val="none"/>
          <w:lang w:val="en-US" w:eastAsia="zh-CN" w:bidi="ar-SA"/>
        </w:rPr>
      </w:pPr>
    </w:p>
    <w:p>
      <w:pPr>
        <w:pStyle w:val="2"/>
        <w:numPr>
          <w:ilvl w:val="0"/>
          <w:numId w:val="0"/>
        </w:numPr>
        <w:spacing w:line="360" w:lineRule="auto"/>
        <w:rPr>
          <w:rFonts w:hint="eastAsia" w:ascii="仿宋" w:hAnsi="仿宋" w:eastAsia="仿宋" w:cs="仿宋"/>
          <w:b w:val="0"/>
          <w:color w:val="36363D"/>
          <w:spacing w:val="4"/>
          <w:kern w:val="0"/>
          <w:sz w:val="24"/>
          <w:szCs w:val="24"/>
          <w:highlight w:val="none"/>
          <w:lang w:val="en-US" w:eastAsia="zh-CN" w:bidi="ar-SA"/>
        </w:rPr>
      </w:pPr>
      <w:r>
        <w:rPr>
          <w:rFonts w:hint="eastAsia" w:ascii="仿宋" w:hAnsi="仿宋" w:eastAsia="仿宋" w:cs="仿宋"/>
          <w:b w:val="0"/>
          <w:color w:val="36363D"/>
          <w:spacing w:val="4"/>
          <w:kern w:val="0"/>
          <w:sz w:val="24"/>
          <w:szCs w:val="24"/>
          <w:highlight w:val="none"/>
          <w:lang w:val="en-US" w:eastAsia="zh-CN" w:bidi="ar-SA"/>
        </w:rPr>
        <w:t>1）具有建设部门颁发的消防设施工程专业承包二级及以上资质</w:t>
      </w:r>
    </w:p>
    <w:p>
      <w:pPr>
        <w:pStyle w:val="2"/>
        <w:numPr>
          <w:ilvl w:val="0"/>
          <w:numId w:val="0"/>
        </w:numPr>
        <w:spacing w:line="360" w:lineRule="auto"/>
        <w:rPr>
          <w:rFonts w:hint="default"/>
          <w:lang w:val="en-US" w:eastAsia="zh-CN"/>
        </w:rPr>
      </w:pPr>
      <w:r>
        <w:rPr>
          <w:rFonts w:hint="eastAsia" w:ascii="仿宋" w:hAnsi="仿宋" w:eastAsia="仿宋" w:cs="仿宋"/>
          <w:b w:val="0"/>
          <w:color w:val="36363D"/>
          <w:spacing w:val="4"/>
          <w:kern w:val="0"/>
          <w:sz w:val="24"/>
          <w:szCs w:val="24"/>
          <w:highlight w:val="none"/>
          <w:lang w:val="en-US" w:eastAsia="zh-CN" w:bidi="ar-SA"/>
        </w:rPr>
        <w:t>2）具有国家建设行政主管部门颁发的有效的安全生产许可证</w:t>
      </w:r>
    </w:p>
    <w:p>
      <w:pPr>
        <w:pStyle w:val="2"/>
        <w:numPr>
          <w:ilvl w:val="0"/>
          <w:numId w:val="0"/>
        </w:numPr>
        <w:spacing w:line="360" w:lineRule="auto"/>
        <w:rPr>
          <w:rFonts w:hint="eastAsia" w:ascii="仿宋" w:hAnsi="仿宋" w:eastAsia="仿宋" w:cs="仿宋"/>
          <w:b w:val="0"/>
          <w:color w:val="36363D"/>
          <w:spacing w:val="4"/>
          <w:kern w:val="0"/>
          <w:sz w:val="24"/>
          <w:szCs w:val="24"/>
          <w:highlight w:val="none"/>
          <w:lang w:val="en-US" w:eastAsia="zh-CN" w:bidi="ar-SA"/>
        </w:rPr>
      </w:pPr>
      <w:r>
        <w:rPr>
          <w:rFonts w:hint="eastAsia" w:ascii="仿宋" w:hAnsi="仿宋" w:eastAsia="仿宋" w:cs="仿宋"/>
          <w:b w:val="0"/>
          <w:color w:val="36363D"/>
          <w:spacing w:val="4"/>
          <w:kern w:val="0"/>
          <w:sz w:val="24"/>
          <w:szCs w:val="24"/>
          <w:highlight w:val="none"/>
          <w:lang w:val="en-US" w:eastAsia="zh-CN" w:bidi="ar-SA"/>
        </w:rPr>
        <w:t>3）拟派项目经理需提供机电工程专业二级以上（含二级）建造师证书及安全生产考核合格 B证或具备二级以上（含二级）注册消防工程师证书且在本单位注册；并无其他在建项目（提供无在建工程的承诺函）</w:t>
      </w:r>
      <w:bookmarkStart w:id="13" w:name="_GoBack"/>
      <w:bookmarkEnd w:id="13"/>
    </w:p>
    <w:p>
      <w:pPr>
        <w:pStyle w:val="2"/>
        <w:numPr>
          <w:ilvl w:val="0"/>
          <w:numId w:val="0"/>
        </w:numPr>
        <w:spacing w:line="360" w:lineRule="auto"/>
        <w:rPr>
          <w:rFonts w:hint="default"/>
          <w:lang w:val="en-US" w:eastAsia="zh-CN"/>
        </w:rPr>
      </w:pPr>
      <w:r>
        <w:rPr>
          <w:rFonts w:hint="eastAsia" w:ascii="仿宋" w:hAnsi="仿宋" w:eastAsia="仿宋" w:cs="仿宋"/>
          <w:b w:val="0"/>
          <w:color w:val="36363D"/>
          <w:spacing w:val="4"/>
          <w:kern w:val="0"/>
          <w:sz w:val="24"/>
          <w:szCs w:val="24"/>
          <w:highlight w:val="none"/>
          <w:lang w:val="en-US" w:eastAsia="zh-CN" w:bidi="ar-SA"/>
        </w:rPr>
        <w:t>4）外地企业提供在“陕西省建筑市场监管与诚信信息一体化平台”上登记的基本信息界面截图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jNWM4Yjg5OWUyOTZiY2M1NDQ0MzY2ZTQzMTZmM2IifQ=="/>
  </w:docVars>
  <w:rsids>
    <w:rsidRoot w:val="00000000"/>
    <w:rsid w:val="282C0D83"/>
    <w:rsid w:val="32041BC3"/>
    <w:rsid w:val="32E04647"/>
    <w:rsid w:val="4AD53716"/>
    <w:rsid w:val="4D063525"/>
    <w:rsid w:val="607067EA"/>
    <w:rsid w:val="636E16E6"/>
    <w:rsid w:val="689F7AFD"/>
    <w:rsid w:val="69A73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1369</Words>
  <Characters>1376</Characters>
  <Lines>0</Lines>
  <Paragraphs>0</Paragraphs>
  <TotalTime>2</TotalTime>
  <ScaleCrop>false</ScaleCrop>
  <LinksUpToDate>false</LinksUpToDate>
  <CharactersWithSpaces>1809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2024-04-18T03:03:04Z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0B00296F1C964EC9879F512CE2B1AC2D_12</vt:lpwstr>
  </property>
</Properties>
</file>