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陕西省社保税务统一征缴模式信息系统升级改造项目</w:t>
      </w:r>
    </w:p>
    <w:p>
      <w:pPr>
        <w:pStyle w:val="null3"/>
        <w:jc w:val="center"/>
        <w:outlineLvl w:val="2"/>
      </w:pPr>
      <w:r>
        <w:rPr>
          <w:b/>
          <w:sz w:val="28"/>
        </w:rPr>
        <w:t>采购项目编号：</w:t>
      </w:r>
      <w:r>
        <w:rPr>
          <w:b/>
          <w:sz w:val="28"/>
        </w:rPr>
        <w:t>KY2024-1-028</w:t>
      </w:r>
      <w:r>
        <w:br/>
      </w:r>
      <w:r>
        <w:br/>
      </w:r>
      <w:r>
        <w:br/>
      </w:r>
    </w:p>
    <w:p>
      <w:pPr>
        <w:pStyle w:val="null3"/>
        <w:jc w:val="center"/>
        <w:outlineLvl w:val="2"/>
      </w:pPr>
      <w:r>
        <w:rPr>
          <w:b/>
          <w:sz w:val="28"/>
        </w:rPr>
        <w:t>陕西省人力资源和社会保障厅机关</w:t>
      </w:r>
    </w:p>
    <w:p>
      <w:pPr>
        <w:pStyle w:val="null3"/>
        <w:jc w:val="center"/>
        <w:outlineLvl w:val="2"/>
      </w:pPr>
      <w:r>
        <w:rPr>
          <w:b/>
          <w:sz w:val="28"/>
        </w:rPr>
        <w:t>陕西开源招标有限公司</w:t>
      </w:r>
      <w:r>
        <w:rPr>
          <w:b/>
          <w:sz w:val="28"/>
        </w:rPr>
        <w:t>共同编制</w:t>
      </w:r>
    </w:p>
    <w:p>
      <w:pPr>
        <w:pStyle w:val="null3"/>
        <w:jc w:val="center"/>
        <w:outlineLvl w:val="2"/>
      </w:pPr>
      <w:r>
        <w:rPr>
          <w:b/>
          <w:sz w:val="28"/>
        </w:rPr>
        <w:t>2024年04月18日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陕西开源招标有限公司</w:t>
      </w:r>
      <w:r>
        <w:rPr/>
        <w:t>（以下简称“代理机构”）受</w:t>
      </w:r>
      <w:r>
        <w:rPr/>
        <w:t>陕西省人力资源和社会保障厅机关</w:t>
      </w:r>
      <w:r>
        <w:rPr/>
        <w:t>委托，拟对</w:t>
      </w:r>
      <w:r>
        <w:rPr/>
        <w:t>陕西省社保税务统一征缴模式信息系统升级改造项目</w:t>
      </w:r>
      <w:r>
        <w:rPr/>
        <w:t>进行国内公开招标，兹邀请符合本次招标要求的供应商参加投标。</w:t>
      </w:r>
    </w:p>
    <w:p>
      <w:pPr>
        <w:pStyle w:val="null3"/>
        <w:outlineLvl w:val="2"/>
      </w:pPr>
      <w:r>
        <w:rPr>
          <w:b/>
          <w:sz w:val="28"/>
        </w:rPr>
        <w:t>一、采购项目编号：</w:t>
      </w:r>
      <w:r>
        <w:rPr>
          <w:b/>
          <w:sz w:val="28"/>
        </w:rPr>
        <w:t>KY2024-1-028</w:t>
      </w:r>
    </w:p>
    <w:p>
      <w:pPr>
        <w:pStyle w:val="null3"/>
        <w:outlineLvl w:val="2"/>
      </w:pPr>
      <w:r>
        <w:rPr>
          <w:b/>
          <w:sz w:val="28"/>
        </w:rPr>
        <w:t>二、采购项目名称：</w:t>
      </w:r>
      <w:r>
        <w:rPr>
          <w:b/>
          <w:sz w:val="28"/>
        </w:rPr>
        <w:t>陕西省社保税务统一征缴模式信息系统升级改造项目</w:t>
      </w:r>
    </w:p>
    <w:p>
      <w:pPr>
        <w:pStyle w:val="null3"/>
        <w:outlineLvl w:val="2"/>
      </w:pPr>
      <w:r>
        <w:rPr>
          <w:b/>
          <w:sz w:val="28"/>
        </w:rPr>
        <w:t>三、招标项目简介</w:t>
      </w:r>
    </w:p>
    <w:p>
      <w:pPr>
        <w:pStyle w:val="null3"/>
        <w:ind w:firstLine="480"/>
      </w:pPr>
      <w:r>
        <w:rPr/>
        <w:t>陕西省人力资源和社会保障厅陕西省社保税务统一征缴模式信息系统升级改造项目分为：1包：应用系统开发；2包：密码应用评估、等保测评服务。</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4、社会保障资金缴存证明：提供2023年1月至今已缴存的至少一个月的社会保障资金缴存单据或社保机构开具的社会保险参保缴费情况证明，依法不需要缴纳社会保障资金的单位应提供相关证明材料。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7、法定代表人授权书：法定代表人授权书及被授权人身份证。（法定代表人直接投标只须提供其身份证明）</w:t>
      </w:r>
    </w:p>
    <w:p>
      <w:pPr>
        <w:pStyle w:val="null3"/>
      </w:pPr>
      <w:r>
        <w:rPr/>
        <w:t>采购包2：</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4、社会保障资金缴存证明：提供2023年1月至今已缴存的至少一个月的社会保障资金缴存单据或社保机构开具的社会保险参保缴费情况证明，依法不需要缴纳社会保障资金的单位应提供相关证明材料。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7、法定代表人授权书：法定代表人授权书及被授权人身份证。（法定代表人直接投标只须提供其身份证明）</w:t>
      </w:r>
    </w:p>
    <w:p>
      <w:pPr>
        <w:pStyle w:val="null3"/>
      </w:pPr>
      <w:r>
        <w:rPr/>
        <w:t>8、《商用密码应用安全性评估试点机构目录》：投标人须为《商用密码应用安全性评估试点机构目录》（国家密码管理局第42号公告）中的机构。（如为联合体参与，不需同时具备此资格条件。）</w:t>
      </w:r>
    </w:p>
    <w:p>
      <w:pPr>
        <w:pStyle w:val="null3"/>
      </w:pPr>
      <w:r>
        <w:rPr/>
        <w:t>9、《网络安全等级测评与检测评估机构服务认证证书》：投标人具有有效期内的《网络安全等级测评与检测评估机构服务认证证书》。（如为联合体参与，不需同时具备此资格条件。）</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陕西省人力资源和社会保障厅机关</w:t>
      </w:r>
    </w:p>
    <w:p>
      <w:pPr>
        <w:pStyle w:val="null3"/>
      </w:pPr>
      <w:r>
        <w:rPr/>
        <w:t xml:space="preserve"> 地址： </w:t>
      </w:r>
      <w:r>
        <w:rPr/>
        <w:t>西安市碑林区建设东路3号</w:t>
      </w:r>
    </w:p>
    <w:p>
      <w:pPr>
        <w:pStyle w:val="null3"/>
      </w:pPr>
      <w:r>
        <w:rPr/>
        <w:t xml:space="preserve"> 邮编： </w:t>
      </w:r>
      <w:r>
        <w:rPr/>
        <w:t>710048</w:t>
      </w:r>
    </w:p>
    <w:p>
      <w:pPr>
        <w:pStyle w:val="null3"/>
      </w:pPr>
      <w:r>
        <w:rPr/>
        <w:t xml:space="preserve"> 联系人： </w:t>
      </w:r>
      <w:r>
        <w:rPr/>
        <w:t>杨老师</w:t>
      </w:r>
    </w:p>
    <w:p>
      <w:pPr>
        <w:pStyle w:val="null3"/>
      </w:pPr>
      <w:r>
        <w:rPr/>
        <w:t xml:space="preserve"> 联系电话： </w:t>
      </w:r>
      <w:r>
        <w:rPr/>
        <w:t>029-85531215</w:t>
      </w:r>
    </w:p>
    <w:p>
      <w:pPr>
        <w:pStyle w:val="null3"/>
        <w:outlineLvl w:val="2"/>
      </w:pPr>
      <w:r>
        <w:rPr>
          <w:b/>
          <w:sz w:val="28"/>
        </w:rPr>
        <w:t>代理机构：</w:t>
      </w:r>
      <w:r>
        <w:rPr>
          <w:b/>
          <w:sz w:val="28"/>
        </w:rPr>
        <w:t>陕西开源招标有限公司</w:t>
      </w:r>
    </w:p>
    <w:p>
      <w:pPr>
        <w:pStyle w:val="null3"/>
      </w:pPr>
      <w:r>
        <w:rPr/>
        <w:t xml:space="preserve"> 地址： </w:t>
      </w:r>
      <w:r>
        <w:rPr/>
        <w:t>西安市雁展路1111号莱安中心T6-15层</w:t>
      </w:r>
    </w:p>
    <w:p>
      <w:pPr>
        <w:pStyle w:val="null3"/>
      </w:pPr>
      <w:r>
        <w:rPr/>
        <w:t xml:space="preserve"> 邮编： </w:t>
      </w:r>
      <w:r>
        <w:rPr/>
        <w:t>710061</w:t>
      </w:r>
    </w:p>
    <w:p>
      <w:pPr>
        <w:pStyle w:val="null3"/>
      </w:pPr>
      <w:r>
        <w:rPr/>
        <w:t xml:space="preserve"> 联系人： </w:t>
      </w:r>
      <w:r>
        <w:rPr/>
        <w:t>杭琨、韩婷、刘金柯、卢韶华</w:t>
      </w:r>
    </w:p>
    <w:p>
      <w:pPr>
        <w:pStyle w:val="null3"/>
      </w:pPr>
      <w:r>
        <w:rPr/>
        <w:t xml:space="preserve"> 联系电话： </w:t>
      </w:r>
      <w:r>
        <w:rPr/>
        <w:t>029-81206622-825</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采购包1：3,544,600.00元</w:t>
            </w:r>
          </w:p>
          <w:p>
            <w:pPr>
              <w:pStyle w:val="null3"/>
            </w:pPr>
            <w:r>
              <w:rPr/>
              <w:t>采购包2：560,000.00元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采购包1保证金金额：60,000.00元</w:t>
            </w:r>
          </w:p>
          <w:p>
            <w:pPr>
              <w:pStyle w:val="null3"/>
            </w:pPr>
            <w:r>
              <w:rPr/>
              <w:t>采购包2保证金金额：10,000.00元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银行账号：86113010750181501002952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代理服务费用收取对象：采购人</w:t>
            </w:r>
          </w:p>
          <w:p>
            <w:pPr>
              <w:pStyle w:val="null3"/>
            </w:pPr>
            <w:r>
              <w:rPr/>
              <w:t>代理服务费收费标准：定额收取人民币叁万伍仟叁佰元整（¥35300.00元）</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陕西省人力资源和社会保障厅机关</w:t>
      </w:r>
      <w:r>
        <w:rPr/>
        <w:t>和</w:t>
      </w:r>
      <w:r>
        <w:rPr/>
        <w:t>陕西开源招标有限公司</w:t>
      </w:r>
      <w:r>
        <w:rPr/>
        <w:t>享有。对招标文件中供应商参加本次政府采购活动应当具备的条件，招标项目技术、服务、商务及其他要求，评标细则及标准由</w:t>
      </w:r>
      <w:r>
        <w:rPr/>
        <w:t>陕西省人力资源和社会保障厅机关</w:t>
      </w:r>
      <w:r>
        <w:rPr/>
        <w:t>负责解释。除上述招标文件内容，其他内容由</w:t>
      </w:r>
      <w:r>
        <w:rPr/>
        <w:t>陕西开源招标有限公司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陕西省人力资源和社会保障厅机关</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b/>
          <w:sz w:val="24"/>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b/>
          <w:sz w:val="24"/>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根据招标文件及合同约定执行。</w:t>
      </w:r>
    </w:p>
    <w:p>
      <w:pPr>
        <w:pStyle w:val="null3"/>
      </w:pPr>
      <w:r>
        <w:rPr/>
        <w:t>采购包2：</w:t>
      </w:r>
    </w:p>
    <w:p>
      <w:pPr>
        <w:pStyle w:val="null3"/>
      </w:pPr>
      <w:r>
        <w:rPr/>
        <w:t>根据招标文件及合同约定执行。</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b/>
          <w:sz w:val="24"/>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b/>
          <w:sz w:val="24"/>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联系人：杭琨、韩婷、刘金柯、卢韶华</w:t>
      </w:r>
    </w:p>
    <w:p>
      <w:pPr>
        <w:pStyle w:val="null3"/>
      </w:pPr>
      <w:r>
        <w:rPr/>
        <w:t>联系电话：029-81206622-825</w:t>
      </w:r>
    </w:p>
    <w:p>
      <w:pPr>
        <w:pStyle w:val="null3"/>
      </w:pPr>
      <w:r>
        <w:rPr/>
        <w:t>地址：西安市雁展路1111号莱安中心T6-15层</w:t>
      </w:r>
    </w:p>
    <w:p>
      <w:pPr>
        <w:pStyle w:val="null3"/>
      </w:pPr>
      <w:r>
        <w:rPr/>
        <w:t>邮编：710061</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陕西省人力资源和社会保障厅陕西省社保税务统一征缴模式信息系统升级改造项目分为：1包：应用系统开发；2包：密码应用评估、等保测评服务，具体内容详见项目需求。</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3,544,600.00</w:t>
      </w:r>
    </w:p>
    <w:p>
      <w:pPr>
        <w:pStyle w:val="null3"/>
      </w:pPr>
      <w:r>
        <w:rPr/>
        <w:t>采购包最高限价（元）: 3,544,600.00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3544600</w:t>
            </w:r>
          </w:p>
        </w:tc>
        <w:tc>
          <w:tcPr>
            <w:tcW w:type="dxa" w:w="831"/>
          </w:tcPr>
          <w:p>
            <w:pPr>
              <w:pStyle w:val="null3"/>
              <w:jc w:val="right"/>
            </w:pPr>
            <w:r>
              <w:rPr/>
              <w:t>1.00</w:t>
            </w:r>
          </w:p>
        </w:tc>
        <w:tc>
          <w:tcPr>
            <w:tcW w:type="dxa" w:w="831"/>
          </w:tcPr>
          <w:p>
            <w:pPr>
              <w:pStyle w:val="null3"/>
              <w:jc w:val="right"/>
            </w:pPr>
            <w:r>
              <w:rPr/>
              <w:t>3,544,600.00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560,000.00</w:t>
      </w:r>
    </w:p>
    <w:p>
      <w:pPr>
        <w:pStyle w:val="null3"/>
      </w:pPr>
      <w:r>
        <w:rPr/>
        <w:t>采购包最高限价（元）: 560,000.00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560000</w:t>
            </w:r>
          </w:p>
        </w:tc>
        <w:tc>
          <w:tcPr>
            <w:tcW w:type="dxa" w:w="831"/>
          </w:tcPr>
          <w:p>
            <w:pPr>
              <w:pStyle w:val="null3"/>
              <w:jc w:val="right"/>
            </w:pPr>
            <w:r>
              <w:rPr/>
              <w:t>1.00</w:t>
            </w:r>
          </w:p>
        </w:tc>
        <w:tc>
          <w:tcPr>
            <w:tcW w:type="dxa" w:w="831"/>
          </w:tcPr>
          <w:p>
            <w:pPr>
              <w:pStyle w:val="null3"/>
              <w:jc w:val="right"/>
            </w:pPr>
            <w:r>
              <w:rPr/>
              <w:t>560,000.00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b/>
          <w:sz w:val="24"/>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标的名称：3544600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sz w:val="24"/>
              </w:rPr>
              <w:t>1.项目概述</w:t>
            </w:r>
          </w:p>
          <w:p>
            <w:pPr>
              <w:pStyle w:val="null3"/>
              <w:spacing w:before="120" w:after="120"/>
              <w:jc w:val="both"/>
            </w:pPr>
            <w:r>
              <w:rPr>
                <w:rFonts w:ascii="宋体" w:hAnsi="宋体" w:cs="宋体" w:eastAsia="宋体"/>
                <w:b/>
                <w:sz w:val="24"/>
              </w:rPr>
              <w:t>1.1概述</w:t>
            </w:r>
          </w:p>
          <w:p>
            <w:pPr>
              <w:pStyle w:val="null3"/>
            </w:pPr>
            <w:r>
              <w:rPr>
                <w:rFonts w:ascii="宋体" w:hAnsi="宋体" w:cs="宋体" w:eastAsia="宋体"/>
                <w:sz w:val="24"/>
              </w:rPr>
              <w:t>为落实国务院工作要求，结合</w:t>
            </w:r>
            <w:r>
              <w:rPr>
                <w:rFonts w:ascii="宋体" w:hAnsi="宋体" w:cs="宋体" w:eastAsia="宋体"/>
                <w:sz w:val="24"/>
              </w:rPr>
              <w:t>2019年以来陕西省社保税务信息化平台建设情况，需要按照国家税务总局办公厅、人力资源社会保障部办公厅关于印发《社会保险费信息共享平台建设方案（全国标准版2.0）》税总办发〔2019〕91号的总体设计思路和建设要求，在我省现有人社业务系统建设基础上，需要进一步细化和优化社保税务信息共享平台建设方案，提高部门间数据交换效率，提升部门合作工作质效，确保社保费征管职责划转平稳有序、稳步推进。提高社保税务缴纳标准化、智能化及信息化水平，推动陕西省社保事业发展，推动人社、税务改革联动，更好地满足人民群众日益增长的社会保险公共服务需求，推进健康陕西建设，助推新时代陕西落实“五新”战略任务。</w:t>
            </w:r>
          </w:p>
          <w:p>
            <w:pPr>
              <w:pStyle w:val="null3"/>
            </w:pPr>
            <w:r>
              <w:rPr>
                <w:rFonts w:ascii="宋体" w:hAnsi="宋体" w:cs="宋体" w:eastAsia="宋体"/>
                <w:color w:val="000000"/>
                <w:sz w:val="24"/>
              </w:rPr>
              <w:t>依据《社会保险费信息共享平台建设方案全国标准技术规范</w:t>
            </w:r>
            <w:r>
              <w:rPr>
                <w:rFonts w:ascii="宋体" w:hAnsi="宋体" w:cs="宋体" w:eastAsia="宋体"/>
                <w:color w:val="000000"/>
                <w:sz w:val="24"/>
              </w:rPr>
              <w:t>2.0》，</w:t>
            </w:r>
            <w:r>
              <w:rPr>
                <w:rFonts w:ascii="宋体" w:hAnsi="宋体" w:cs="宋体" w:eastAsia="宋体"/>
                <w:sz w:val="24"/>
              </w:rPr>
              <w:t>“统模式”实现</w:t>
            </w:r>
            <w:r>
              <w:rPr>
                <w:rFonts w:ascii="宋体" w:hAnsi="宋体" w:cs="宋体" w:eastAsia="宋体"/>
                <w:color w:val="000000"/>
                <w:sz w:val="24"/>
              </w:rPr>
              <w:t>缴费</w:t>
            </w:r>
            <w:r>
              <w:rPr>
                <w:rFonts w:ascii="宋体" w:hAnsi="宋体" w:cs="宋体" w:eastAsia="宋体"/>
                <w:sz w:val="24"/>
              </w:rPr>
              <w:t>人自行向税务机关申报缴纳社保费，主要涉及自主申报、减免业务、退费业务、缓缴业务、补缴业务、特殊单位缴费等业务场景。其中缴费人包括参保单位、灵活就业人员、城乡居民。社保费主要包括陕西省企业职工养老保险费、城乡居民养老保险费、机关事业养老保险费、失业保险费、工伤保险费、医疗保险费，其中医疗相关业务需求由医保局负责，另行申报，不在本项目建设范围。</w:t>
            </w:r>
          </w:p>
          <w:p>
            <w:pPr>
              <w:pStyle w:val="null3"/>
            </w:pPr>
            <w:r>
              <w:rPr>
                <w:rFonts w:ascii="宋体" w:hAnsi="宋体" w:cs="宋体" w:eastAsia="宋体"/>
                <w:sz w:val="24"/>
              </w:rPr>
              <w:t>使用系统的用户单位包括陕西省企业职工养老保险经办机构、城乡居民养老保险经办机构、机关事业养老保险经办机构、失业保险经办机构、工伤保险经办机构。</w:t>
            </w:r>
          </w:p>
          <w:p>
            <w:pPr>
              <w:pStyle w:val="null3"/>
              <w:numPr>
                <w:ilvl w:val="0"/>
                <w:numId w:val="1"/>
              </w:numPr>
            </w:pPr>
            <w:r>
              <w:rPr/>
              <w:t>1.2</w:t>
            </w:r>
            <w:r>
              <w:rPr>
                <w:rFonts w:ascii="宋体" w:hAnsi="宋体" w:cs="宋体" w:eastAsia="宋体"/>
                <w:b/>
                <w:sz w:val="24"/>
              </w:rPr>
              <w:t>建设目标</w:t>
            </w:r>
          </w:p>
          <w:p>
            <w:pPr>
              <w:pStyle w:val="null3"/>
            </w:pPr>
            <w:r>
              <w:rPr>
                <w:rFonts w:ascii="宋体" w:hAnsi="宋体" w:cs="宋体" w:eastAsia="宋体"/>
                <w:sz w:val="24"/>
              </w:rPr>
              <w:t>根据国家税务总局、省政府</w:t>
            </w:r>
            <w:r>
              <w:rPr>
                <w:rFonts w:ascii="宋体" w:hAnsi="宋体" w:cs="宋体" w:eastAsia="宋体"/>
                <w:sz w:val="24"/>
              </w:rPr>
              <w:t>“统模式”工作要求，保障实现人力资源社会保障部门和税务部门的缴费人基础信息</w:t>
            </w:r>
            <w:r>
              <w:rPr>
                <w:rFonts w:ascii="宋体" w:hAnsi="宋体" w:cs="宋体" w:eastAsia="宋体"/>
                <w:sz w:val="24"/>
              </w:rPr>
              <w:t>“一家采集，多家共享”，</w:t>
            </w:r>
            <w:r>
              <w:rPr>
                <w:rFonts w:ascii="宋体" w:hAnsi="宋体" w:cs="宋体" w:eastAsia="宋体"/>
                <w:sz w:val="24"/>
              </w:rPr>
              <w:t>推行窗口业务线下</w:t>
            </w:r>
            <w:r>
              <w:rPr>
                <w:rFonts w:ascii="宋体" w:hAnsi="宋体" w:cs="宋体" w:eastAsia="宋体"/>
                <w:sz w:val="24"/>
              </w:rPr>
              <w:t>“一厅联办”。逐步实现各项社会保险费合并申报、统一征收，减少缴费办理次数和时间，2024年4月底前实现社会保险用人单位和个人自行向税务部门申报缴纳社会保险费。</w:t>
            </w:r>
          </w:p>
          <w:p>
            <w:pPr>
              <w:pStyle w:val="null3"/>
              <w:numPr>
                <w:ilvl w:val="0"/>
                <w:numId w:val="1"/>
              </w:numPr>
            </w:pPr>
            <w:r>
              <w:rPr/>
              <w:t>1.3</w:t>
            </w:r>
            <w:r>
              <w:rPr>
                <w:rFonts w:ascii="宋体" w:hAnsi="宋体" w:cs="宋体" w:eastAsia="宋体"/>
                <w:b/>
                <w:sz w:val="24"/>
              </w:rPr>
              <w:t>建设内容</w:t>
            </w:r>
          </w:p>
          <w:p>
            <w:pPr>
              <w:pStyle w:val="null3"/>
            </w:pPr>
            <w:r>
              <w:rPr>
                <w:rFonts w:ascii="宋体" w:hAnsi="宋体" w:cs="宋体" w:eastAsia="宋体"/>
                <w:sz w:val="24"/>
              </w:rPr>
              <w:t>依据国家税务总局办公厅、人力资源社会保障部办公厅关于印发《社会保险费信息共享平台建设方案（全国标准版</w:t>
            </w:r>
            <w:r>
              <w:rPr>
                <w:rFonts w:ascii="宋体" w:hAnsi="宋体" w:cs="宋体" w:eastAsia="宋体"/>
                <w:sz w:val="24"/>
              </w:rPr>
              <w:t>2.0）》税总办发〔2019〕91号相关要求，本项目建设内容包括应用系统升级改造建设、系统的数据治理，具体内容如下：</w:t>
            </w:r>
          </w:p>
          <w:p>
            <w:pPr>
              <w:pStyle w:val="null3"/>
              <w:ind w:firstLine="482"/>
            </w:pPr>
            <w:r>
              <w:rPr>
                <w:rFonts w:ascii="宋体" w:hAnsi="宋体" w:cs="宋体" w:eastAsia="宋体"/>
                <w:b/>
                <w:sz w:val="24"/>
              </w:rPr>
              <w:t>1．陕西省企业职工养老保险系统升级</w:t>
            </w:r>
          </w:p>
          <w:p>
            <w:pPr>
              <w:pStyle w:val="null3"/>
            </w:pPr>
            <w:r>
              <w:rPr>
                <w:rFonts w:ascii="宋体" w:hAnsi="宋体" w:cs="宋体" w:eastAsia="宋体"/>
                <w:sz w:val="24"/>
              </w:rPr>
              <w:t>陕西省企业职工养老保险系统主要负责陕西省企业职工养老保险业务经办管理，参保单位管理、参保人员管理、缴费、个人账户、离退休人员管理、养老待遇发放管理等。</w:t>
            </w:r>
          </w:p>
          <w:p>
            <w:pPr>
              <w:pStyle w:val="null3"/>
              <w:ind w:firstLine="482"/>
            </w:pPr>
            <w:r>
              <w:rPr>
                <w:rFonts w:ascii="宋体" w:hAnsi="宋体" w:cs="宋体" w:eastAsia="宋体"/>
                <w:b/>
                <w:sz w:val="24"/>
              </w:rPr>
              <w:t>2.陕西省失业保险系统升级</w:t>
            </w:r>
          </w:p>
          <w:p>
            <w:pPr>
              <w:pStyle w:val="null3"/>
            </w:pPr>
            <w:r>
              <w:rPr>
                <w:rFonts w:ascii="宋体" w:hAnsi="宋体" w:cs="宋体" w:eastAsia="宋体"/>
                <w:sz w:val="24"/>
              </w:rPr>
              <w:t>陕西省失业保险系统主要负责陕西省失业保险业务经办管理，包括参保单位管理、人员管理、参保管理、缴费、失业待遇人员管理、失业待遇发放管理等。</w:t>
            </w:r>
          </w:p>
          <w:p>
            <w:pPr>
              <w:pStyle w:val="null3"/>
              <w:ind w:firstLine="482"/>
            </w:pPr>
            <w:r>
              <w:rPr>
                <w:rFonts w:ascii="宋体" w:hAnsi="宋体" w:cs="宋体" w:eastAsia="宋体"/>
                <w:b/>
                <w:sz w:val="24"/>
              </w:rPr>
              <w:t>3.省本级工伤保险系统升级</w:t>
            </w:r>
          </w:p>
          <w:p>
            <w:pPr>
              <w:pStyle w:val="null3"/>
            </w:pPr>
            <w:r>
              <w:rPr>
                <w:rFonts w:ascii="宋体" w:hAnsi="宋体" w:cs="宋体" w:eastAsia="宋体"/>
                <w:sz w:val="24"/>
              </w:rPr>
              <w:t>省本级工伤保险系统负责陕西省本级参保单位工伤保险业务经办管理，包括参保单位管理、人员管理、参保管理、缴费、工伤待遇人员管理、工伤待遇发放管理等。</w:t>
            </w:r>
          </w:p>
          <w:p>
            <w:pPr>
              <w:pStyle w:val="null3"/>
              <w:ind w:firstLine="482"/>
            </w:pPr>
            <w:r>
              <w:rPr>
                <w:rFonts w:ascii="宋体" w:hAnsi="宋体" w:cs="宋体" w:eastAsia="宋体"/>
                <w:b/>
                <w:sz w:val="24"/>
              </w:rPr>
              <w:t>4．社保税务前置服务系统升级</w:t>
            </w:r>
          </w:p>
          <w:p>
            <w:pPr>
              <w:pStyle w:val="null3"/>
            </w:pPr>
            <w:r>
              <w:rPr>
                <w:rFonts w:ascii="宋体" w:hAnsi="宋体" w:cs="宋体" w:eastAsia="宋体"/>
                <w:sz w:val="24"/>
              </w:rPr>
              <w:t>社保税务前置服务系统部署在社保系统和社保税务信息共享平台之间，负责各险种社保系统与社保税务信息共享平台数据交换，各险种要交换的数据通过社保税务前置服务系统暂存在税务共享平台数据库，之后被社保税务信息共享平台交换到税务部门的信息共享平台。</w:t>
            </w:r>
          </w:p>
          <w:p>
            <w:pPr>
              <w:pStyle w:val="null3"/>
              <w:ind w:firstLine="482"/>
            </w:pPr>
            <w:r>
              <w:rPr>
                <w:rFonts w:ascii="宋体" w:hAnsi="宋体" w:cs="宋体" w:eastAsia="宋体"/>
                <w:b/>
                <w:sz w:val="24"/>
              </w:rPr>
              <w:t>5．社保税务信息共享平台升级</w:t>
            </w:r>
          </w:p>
          <w:p>
            <w:pPr>
              <w:pStyle w:val="null3"/>
            </w:pPr>
            <w:r>
              <w:rPr>
                <w:rFonts w:ascii="宋体" w:hAnsi="宋体" w:cs="宋体" w:eastAsia="宋体"/>
                <w:sz w:val="24"/>
              </w:rPr>
              <w:t>社保税务信息共享平台部署在社保税务前置服务系统和税务系统之间，负责社保税务前置服务系统和税务系统数据包交换，包括转发实时交易信息和定时转发批量信息。</w:t>
            </w:r>
          </w:p>
          <w:p>
            <w:pPr>
              <w:pStyle w:val="null3"/>
              <w:ind w:firstLine="482"/>
            </w:pPr>
            <w:r>
              <w:rPr>
                <w:rFonts w:ascii="宋体" w:hAnsi="宋体" w:cs="宋体" w:eastAsia="宋体"/>
                <w:b/>
                <w:sz w:val="24"/>
              </w:rPr>
              <w:t>6.数据治理</w:t>
            </w:r>
          </w:p>
          <w:p>
            <w:pPr>
              <w:pStyle w:val="null3"/>
            </w:pPr>
            <w:r>
              <w:rPr>
                <w:rFonts w:ascii="宋体" w:hAnsi="宋体" w:cs="宋体" w:eastAsia="宋体"/>
                <w:sz w:val="24"/>
              </w:rPr>
              <w:t>数据治理覆盖包括陕西省企业职工养老保险、陕西省失业保险、省本级工伤保险，工作任务包括建设数据治理库，采购数据治理软件，进行数据治理需求分析、数据治理方案编制、数据治理规则开发、数据数据治理质量统计等技术支持服务。</w:t>
            </w:r>
          </w:p>
          <w:p>
            <w:pPr>
              <w:pStyle w:val="null3"/>
              <w:numPr>
                <w:ilvl w:val="0"/>
                <w:numId w:val="1"/>
              </w:numPr>
            </w:pPr>
            <w:r>
              <w:rPr/>
              <w:t>1.4</w:t>
            </w:r>
            <w:r>
              <w:rPr>
                <w:rFonts w:ascii="宋体" w:hAnsi="宋体" w:cs="宋体" w:eastAsia="宋体"/>
                <w:b/>
                <w:sz w:val="24"/>
              </w:rPr>
              <w:t>建设规模</w:t>
            </w:r>
          </w:p>
          <w:p>
            <w:pPr>
              <w:pStyle w:val="null3"/>
            </w:pPr>
            <w:r>
              <w:rPr>
                <w:rFonts w:ascii="宋体" w:hAnsi="宋体" w:cs="宋体" w:eastAsia="宋体"/>
                <w:sz w:val="24"/>
              </w:rPr>
              <w:t>依据国家税务总局办公厅、人力资源社会保障部办公厅关于印发《社会保险费信息共享平台建设方案（全国标准版</w:t>
            </w:r>
            <w:r>
              <w:rPr>
                <w:rFonts w:ascii="宋体" w:hAnsi="宋体" w:cs="宋体" w:eastAsia="宋体"/>
                <w:sz w:val="24"/>
              </w:rPr>
              <w:t>2.0）》税总办发〔2019〕91号相关要求，本项目建设内容应用系统升级改造建设、数据治理、系统安全评测建设三部分，应用系统建设包括3个省级核心业务系统改造，1个社保税务前置服务系统升级，1个社保税务信息共享平台升级，层级覆盖省、市、县三级，涉及企业职工养老、失业保险、工伤保险363个经办机构，业务覆盖社会保险参保登记、变更登记、正常缴费、补费、特殊缴费、退费、到账等整个征集业务流程。数据治理包括3个省级社保系统数据治理工作。</w:t>
            </w:r>
          </w:p>
          <w:p>
            <w:pPr>
              <w:pStyle w:val="null3"/>
              <w:numPr>
                <w:ilvl w:val="1"/>
                <w:numId w:val="2"/>
              </w:numPr>
            </w:pPr>
            <w:r>
              <w:rPr/>
              <w:t>1.4.1</w:t>
            </w:r>
            <w:r>
              <w:rPr>
                <w:rFonts w:ascii="宋体" w:hAnsi="宋体" w:cs="宋体" w:eastAsia="宋体"/>
                <w:b/>
                <w:sz w:val="24"/>
              </w:rPr>
              <w:t>应用系统</w:t>
            </w:r>
          </w:p>
          <w:p>
            <w:pPr>
              <w:pStyle w:val="null3"/>
              <w:ind w:firstLine="482"/>
            </w:pPr>
            <w:r>
              <w:rPr>
                <w:rFonts w:ascii="宋体" w:hAnsi="宋体" w:cs="宋体" w:eastAsia="宋体"/>
                <w:b/>
                <w:sz w:val="24"/>
              </w:rPr>
              <w:t>1. 陕西省企业职工养老保险系统改造</w:t>
            </w:r>
          </w:p>
          <w:p>
            <w:pPr>
              <w:pStyle w:val="null3"/>
            </w:pPr>
            <w:r>
              <w:rPr>
                <w:rFonts w:ascii="宋体" w:hAnsi="宋体" w:cs="宋体" w:eastAsia="宋体"/>
                <w:sz w:val="24"/>
              </w:rPr>
              <w:t>陕西省企业职工养老保险系统覆盖省、市、县</w:t>
            </w:r>
            <w:r>
              <w:rPr>
                <w:rFonts w:ascii="宋体" w:hAnsi="宋体" w:cs="宋体" w:eastAsia="宋体"/>
                <w:sz w:val="24"/>
              </w:rPr>
              <w:t>121个经办机构，32.67万户参保企业，1081.41万参保人，853.41万缴费职工，其中灵活就业人员275.12万人，缴费记录13.08亿条。陕西省城镇企业职工新建或升级功能点346个。</w:t>
            </w:r>
          </w:p>
          <w:p>
            <w:pPr>
              <w:pStyle w:val="null3"/>
              <w:ind w:firstLine="482"/>
            </w:pPr>
            <w:r>
              <w:rPr>
                <w:rFonts w:ascii="宋体" w:hAnsi="宋体" w:cs="宋体" w:eastAsia="宋体"/>
                <w:b/>
                <w:sz w:val="24"/>
              </w:rPr>
              <w:t>2. 陕西省失业保险系统</w:t>
            </w:r>
          </w:p>
          <w:p>
            <w:pPr>
              <w:pStyle w:val="null3"/>
            </w:pPr>
            <w:r>
              <w:rPr>
                <w:rFonts w:ascii="宋体" w:hAnsi="宋体" w:cs="宋体" w:eastAsia="宋体"/>
                <w:sz w:val="24"/>
              </w:rPr>
              <w:t>陕西省失业保险系统覆盖省、市、县</w:t>
            </w:r>
            <w:r>
              <w:rPr>
                <w:rFonts w:ascii="宋体" w:hAnsi="宋体" w:cs="宋体" w:eastAsia="宋体"/>
                <w:sz w:val="24"/>
              </w:rPr>
              <w:t>121个经办机构，业务覆盖26万户参保企业，933.36万参保人（含重复缴费人员，需要通过治理的人员）。陕西省失业保险新建或升级功能点308个。</w:t>
            </w:r>
          </w:p>
          <w:p>
            <w:pPr>
              <w:pStyle w:val="null3"/>
              <w:ind w:firstLine="482"/>
            </w:pPr>
            <w:r>
              <w:rPr>
                <w:rFonts w:ascii="宋体" w:hAnsi="宋体" w:cs="宋体" w:eastAsia="宋体"/>
                <w:b/>
                <w:sz w:val="24"/>
              </w:rPr>
              <w:t>3. 省直工伤保险系统</w:t>
            </w:r>
          </w:p>
          <w:p>
            <w:pPr>
              <w:pStyle w:val="null3"/>
            </w:pPr>
            <w:r>
              <w:rPr>
                <w:rFonts w:ascii="宋体" w:hAnsi="宋体" w:cs="宋体" w:eastAsia="宋体"/>
                <w:sz w:val="24"/>
              </w:rPr>
              <w:t>省直工伤保险系统覆盖省级</w:t>
            </w:r>
            <w:r>
              <w:rPr>
                <w:rFonts w:ascii="宋体" w:hAnsi="宋体" w:cs="宋体" w:eastAsia="宋体"/>
                <w:sz w:val="24"/>
              </w:rPr>
              <w:t>600多户参保单位，11.17万参保职工。省直工伤保险新建或升级功能点267个。</w:t>
            </w:r>
          </w:p>
          <w:p>
            <w:pPr>
              <w:pStyle w:val="null3"/>
              <w:ind w:firstLine="482"/>
            </w:pPr>
            <w:r>
              <w:rPr>
                <w:rFonts w:ascii="宋体" w:hAnsi="宋体" w:cs="宋体" w:eastAsia="宋体"/>
                <w:b/>
                <w:sz w:val="24"/>
              </w:rPr>
              <w:t>4．社保税务前置服务系统升级</w:t>
            </w:r>
          </w:p>
          <w:p>
            <w:pPr>
              <w:pStyle w:val="null3"/>
            </w:pPr>
            <w:r>
              <w:rPr>
                <w:rFonts w:ascii="宋体" w:hAnsi="宋体" w:cs="宋体" w:eastAsia="宋体"/>
                <w:sz w:val="24"/>
              </w:rPr>
              <w:t>社保税务前置服务系统需与所有社保系统对接，包括</w:t>
            </w:r>
            <w:r>
              <w:rPr>
                <w:rFonts w:ascii="宋体" w:hAnsi="宋体" w:cs="宋体" w:eastAsia="宋体"/>
                <w:sz w:val="24"/>
              </w:rPr>
              <w:t>5个省级核心业务系统（陕西省企业职工养老保险系统、陕西省失业保险系统、省级工伤保险系统、陕西省城乡居民养老保险系统、陕西省机关事业养老保险系统）和12个市级核心系统（西安市、宝鸡等12个地市工伤保险系统，因是市级系统，不在省级投资建设范围），本次升级的涉及功能点204多个。</w:t>
            </w:r>
          </w:p>
          <w:p>
            <w:pPr>
              <w:pStyle w:val="null3"/>
              <w:ind w:firstLine="482"/>
            </w:pPr>
            <w:r>
              <w:rPr>
                <w:rFonts w:ascii="宋体" w:hAnsi="宋体" w:cs="宋体" w:eastAsia="宋体"/>
                <w:b/>
                <w:sz w:val="24"/>
              </w:rPr>
              <w:t>5．社保税务信息共享平台升级</w:t>
            </w:r>
          </w:p>
          <w:p>
            <w:pPr>
              <w:pStyle w:val="null3"/>
            </w:pPr>
            <w:r>
              <w:rPr>
                <w:rFonts w:ascii="宋体" w:hAnsi="宋体" w:cs="宋体" w:eastAsia="宋体"/>
                <w:sz w:val="24"/>
              </w:rPr>
              <w:t>社保税务信息共享平台部署在社保税务前置服务系统和税务系统之间，负责社保税务前置服务系统和税务系统数据交换，是社保和税务之间省对省社保边节点，主要功能数据包发送（封装、加密、发送、存储），接收（解包、解密、转发，存储）、数据交易监控等。数据交换的频率为每年</w:t>
            </w:r>
            <w:r>
              <w:rPr>
                <w:rFonts w:ascii="宋体" w:hAnsi="宋体" w:cs="宋体" w:eastAsia="宋体"/>
                <w:sz w:val="24"/>
              </w:rPr>
              <w:t>275.12多万灵活就业人员缴费，1238.75万城乡居民缴费，每月养老、工伤、失业参保、信息变更，缴费申报数据超过1000万，是一个数据的安全性、稳定性、准确性、并发性、实时性要求很高的系统。</w:t>
            </w:r>
          </w:p>
          <w:p>
            <w:pPr>
              <w:pStyle w:val="null3"/>
            </w:pPr>
            <w:r>
              <w:rPr>
                <w:rFonts w:ascii="宋体" w:hAnsi="宋体" w:cs="宋体" w:eastAsia="宋体"/>
                <w:sz w:val="24"/>
              </w:rPr>
              <w:t>本次升级主要实现社保税务信息共享平台具备数据交换监控能力，涉及新增功能点</w:t>
            </w:r>
            <w:r>
              <w:rPr>
                <w:rFonts w:ascii="宋体" w:hAnsi="宋体" w:cs="宋体" w:eastAsia="宋体"/>
                <w:sz w:val="24"/>
              </w:rPr>
              <w:t>114个。</w:t>
            </w:r>
          </w:p>
          <w:p>
            <w:pPr>
              <w:pStyle w:val="null3"/>
              <w:numPr>
                <w:ilvl w:val="1"/>
                <w:numId w:val="2"/>
              </w:numPr>
            </w:pPr>
            <w:r>
              <w:rPr/>
              <w:t>1.4.</w:t>
            </w:r>
            <w:r>
              <w:rPr>
                <w:rFonts w:ascii="times new roman" w:hAnsi="times new roman" w:cs="times new roman" w:eastAsia="times new roman"/>
                <w:sz w:val="21"/>
              </w:rPr>
              <w:t>2</w:t>
            </w:r>
            <w:r>
              <w:rPr>
                <w:rFonts w:ascii="宋体" w:hAnsi="宋体" w:cs="宋体" w:eastAsia="宋体"/>
                <w:b/>
                <w:sz w:val="24"/>
              </w:rPr>
              <w:t>数据治理</w:t>
            </w:r>
          </w:p>
          <w:p>
            <w:pPr>
              <w:pStyle w:val="null3"/>
            </w:pPr>
            <w:r>
              <w:rPr>
                <w:rFonts w:ascii="宋体" w:hAnsi="宋体" w:cs="宋体" w:eastAsia="宋体"/>
                <w:sz w:val="24"/>
              </w:rPr>
              <w:t>数据治理工作需完成陕西省企业职工养老保险系统、陕西省失业保险系统、省级工伤保险系统</w:t>
            </w:r>
            <w:r>
              <w:rPr>
                <w:rFonts w:ascii="宋体" w:hAnsi="宋体" w:cs="宋体" w:eastAsia="宋体"/>
                <w:sz w:val="24"/>
              </w:rPr>
              <w:t>3个省级社保系统数据治理工作，数据治理内容包括单位基础信息32万条、58万单位参保信息、2000万人员基础信息、2600万人员参保信息、全省2000万人人员缴费信息、个人账户信息等，其中陕西省城镇企业职工32.67万户单位，853.41万参保职工，其中灵活就业人员215.14万人，缴费记录13.08亿条，失业保险26万户单位，缴费记录5.51亿条，933.36万参保人，省直工伤保险600多户单位，11.17万参保职工，缴费记录287万条数据。</w:t>
            </w:r>
          </w:p>
          <w:p>
            <w:pPr>
              <w:pStyle w:val="null3"/>
            </w:pPr>
            <w:r>
              <w:rPr>
                <w:rFonts w:ascii="宋体" w:hAnsi="宋体" w:cs="宋体" w:eastAsia="宋体"/>
                <w:sz w:val="24"/>
              </w:rPr>
              <w:t>本次采购</w:t>
            </w:r>
            <w:r>
              <w:rPr>
                <w:rFonts w:ascii="宋体" w:hAnsi="宋体" w:cs="宋体" w:eastAsia="宋体"/>
                <w:sz w:val="24"/>
              </w:rPr>
              <w:t>1套数据治理软件，用于数据自动化抽取、清洗、整理等工作，用于3个核心系统（陕西省企业职工养老保险、陕西省失业保险系统、省直工伤保险系统）基本信息、缴费信息的数据治理。</w:t>
            </w:r>
          </w:p>
          <w:p>
            <w:pPr>
              <w:pStyle w:val="null3"/>
              <w:numPr>
                <w:ilvl w:val="0"/>
                <w:numId w:val="2"/>
              </w:numPr>
            </w:pPr>
            <w:r>
              <w:rPr/>
              <w:t>1.5</w:t>
            </w:r>
            <w:r>
              <w:rPr>
                <w:rFonts w:ascii="宋体" w:hAnsi="宋体" w:cs="宋体" w:eastAsia="宋体"/>
                <w:b/>
                <w:sz w:val="24"/>
              </w:rPr>
              <w:t>建设周期</w:t>
            </w:r>
          </w:p>
          <w:p>
            <w:pPr>
              <w:pStyle w:val="null3"/>
            </w:pPr>
            <w:r>
              <w:rPr>
                <w:rFonts w:ascii="宋体" w:hAnsi="宋体" w:cs="宋体" w:eastAsia="宋体"/>
                <w:sz w:val="24"/>
              </w:rPr>
              <w:t>自合同签订之日起</w:t>
            </w:r>
            <w:r>
              <w:rPr>
                <w:rFonts w:ascii="宋体" w:hAnsi="宋体" w:cs="宋体" w:eastAsia="宋体"/>
                <w:sz w:val="24"/>
              </w:rPr>
              <w:t>90日内。</w:t>
            </w:r>
          </w:p>
          <w:p>
            <w:pPr>
              <w:pStyle w:val="null3"/>
              <w:jc w:val="both"/>
            </w:pPr>
            <w:r>
              <w:rPr>
                <w:rFonts w:ascii="宋体" w:hAnsi="宋体" w:cs="宋体" w:eastAsia="宋体"/>
                <w:b/>
                <w:sz w:val="24"/>
              </w:rPr>
              <w:t>2.项目建设</w:t>
            </w:r>
            <w:r>
              <w:rPr>
                <w:rFonts w:ascii="宋体" w:hAnsi="宋体" w:cs="宋体" w:eastAsia="宋体"/>
                <w:b/>
                <w:sz w:val="24"/>
              </w:rPr>
              <w:t>要求</w:t>
            </w:r>
          </w:p>
          <w:p>
            <w:pPr>
              <w:pStyle w:val="null3"/>
              <w:jc w:val="both"/>
            </w:pPr>
            <w:r>
              <w:rPr>
                <w:rFonts w:ascii="宋体" w:hAnsi="宋体" w:cs="宋体" w:eastAsia="宋体"/>
                <w:b/>
                <w:sz w:val="24"/>
              </w:rPr>
              <w:t>2.1</w:t>
            </w:r>
            <w:r>
              <w:rPr>
                <w:rFonts w:ascii="宋体" w:hAnsi="宋体" w:cs="宋体" w:eastAsia="宋体"/>
                <w:b/>
                <w:sz w:val="24"/>
              </w:rPr>
              <w:t>总体架构</w:t>
            </w:r>
          </w:p>
          <w:p>
            <w:pPr>
              <w:pStyle w:val="null3"/>
              <w:jc w:val="both"/>
            </w:pPr>
            <w:r>
              <w:rPr>
                <w:rFonts w:ascii="宋体" w:hAnsi="宋体" w:cs="宋体" w:eastAsia="宋体"/>
                <w:sz w:val="21"/>
              </w:rPr>
              <w:t>陕西省社会保险系统依据各险种业务发展在不同时期建设，采用的技术架构主要由两种，既有基于最新微服务架构开发的系统（已建成的陕西省企业职工养老保险系统和在建的城乡居民养老保险系统），又有基于</w:t>
            </w:r>
            <w:r>
              <w:rPr>
                <w:rFonts w:ascii="宋体" w:hAnsi="宋体" w:cs="宋体" w:eastAsia="宋体"/>
                <w:sz w:val="21"/>
              </w:rPr>
              <w:t>J2EE架构开发（大多使用超过10多年，陕西省失业保险系统、省直工伤保险系统），其中西安市失业、各地市工伤系统由不同厂商开发，2018年以前建设的系统主要基于金保工程核心平台三版建设，2018年以后建设的系统主要基于云平台架构建设，</w:t>
            </w:r>
            <w:r>
              <w:rPr>
                <w:rFonts w:ascii="宋体" w:hAnsi="宋体" w:cs="宋体" w:eastAsia="宋体"/>
                <w:color w:val="000000"/>
                <w:sz w:val="21"/>
              </w:rPr>
              <w:t>采用</w:t>
            </w:r>
            <w:r>
              <w:rPr>
                <w:rFonts w:ascii="宋体" w:hAnsi="宋体" w:cs="宋体" w:eastAsia="宋体"/>
                <w:color w:val="000000"/>
                <w:sz w:val="21"/>
              </w:rPr>
              <w:t>“大中台小前台”的微服务架构搭建应用。</w:t>
            </w:r>
          </w:p>
          <w:p>
            <w:pPr>
              <w:pStyle w:val="null3"/>
              <w:jc w:val="both"/>
            </w:pPr>
            <w:r>
              <w:drawing>
                <wp:inline distT="0" distR="0" distB="0" distL="0">
                  <wp:extent cx="1621155" cy="108431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7"/>
                          <a:stretch>
                            <a:fillRect/>
                          </a:stretch>
                        </pic:blipFill>
                        <pic:spPr>
                          <a:xfrm>
                            <a:off x="0" y="0"/>
                            <a:ext cx="1621155" cy="1084310"/>
                          </a:xfrm>
                          <a:prstGeom prst="rect">
                            <a:avLst/>
                          </a:prstGeom>
                        </pic:spPr>
                      </pic:pic>
                    </a:graphicData>
                  </a:graphic>
                </wp:inline>
              </w:drawing>
            </w:r>
          </w:p>
          <w:p>
            <w:pPr>
              <w:pStyle w:val="null3"/>
              <w:numPr>
                <w:ilvl w:val="0"/>
                <w:numId w:val="2"/>
              </w:numPr>
            </w:pPr>
            <w:r>
              <w:rPr/>
              <w:t>2.2</w:t>
            </w:r>
            <w:r>
              <w:rPr>
                <w:rFonts w:ascii="宋体" w:hAnsi="宋体" w:cs="宋体" w:eastAsia="宋体"/>
                <w:b/>
                <w:sz w:val="24"/>
              </w:rPr>
              <w:t>系统功能</w:t>
            </w:r>
          </w:p>
          <w:p>
            <w:pPr>
              <w:pStyle w:val="null3"/>
              <w:numPr>
                <w:ilvl w:val="0"/>
                <w:numId w:val="2"/>
              </w:numPr>
            </w:pPr>
            <w:r>
              <w:rPr/>
              <w:t>2.2.1</w:t>
            </w:r>
            <w:r>
              <w:rPr>
                <w:rFonts w:ascii="宋体" w:hAnsi="宋体" w:cs="宋体" w:eastAsia="宋体"/>
                <w:b/>
                <w:sz w:val="24"/>
              </w:rPr>
              <w:t>陕西省企业职工养老保险系统</w:t>
            </w:r>
            <w:r>
              <w:rPr>
                <w:rFonts w:ascii="宋体" w:hAnsi="宋体" w:cs="宋体" w:eastAsia="宋体"/>
                <w:b/>
                <w:sz w:val="24"/>
              </w:rPr>
              <w:t>升级改造</w:t>
            </w:r>
          </w:p>
          <w:p>
            <w:pPr>
              <w:pStyle w:val="null3"/>
            </w:pPr>
            <w:r>
              <w:rPr>
                <w:rFonts w:ascii="宋体" w:hAnsi="宋体" w:cs="宋体" w:eastAsia="宋体"/>
                <w:sz w:val="24"/>
              </w:rPr>
              <w:t>陕西省企业职工养老保险系统主要的升级改造主要涉及基本信息、缴费管理、综合查询等模块，将新增或变更的单位或人员信息向社保税务前置服务系统同步，同时，对税务部分税务信息进行查询相关功能的升级改造。</w:t>
            </w:r>
          </w:p>
          <w:p>
            <w:pPr>
              <w:pStyle w:val="null3"/>
              <w:numPr>
                <w:ilvl w:val="2"/>
                <w:numId w:val="3"/>
              </w:numPr>
            </w:pPr>
            <w:r>
              <w:rPr/>
              <w:t>2.2.1.1</w:t>
            </w:r>
            <w:r>
              <w:rPr>
                <w:rFonts w:ascii="宋体" w:hAnsi="宋体" w:cs="宋体" w:eastAsia="宋体"/>
                <w:b/>
                <w:sz w:val="24"/>
              </w:rPr>
              <w:t>基本信息</w:t>
            </w:r>
          </w:p>
          <w:p>
            <w:pPr>
              <w:pStyle w:val="null3"/>
            </w:pPr>
            <w:r>
              <w:rPr>
                <w:rFonts w:ascii="宋体" w:hAnsi="宋体" w:cs="宋体" w:eastAsia="宋体"/>
                <w:sz w:val="24"/>
              </w:rPr>
              <w:t>支持按照与税务实现统一征缴模式对单位管理相关功能进行改造。本次系统改造包括但不限于城镇职工养老保险单位参保、单位信息变更、单位统内转出等功能。</w:t>
            </w:r>
          </w:p>
          <w:p>
            <w:pPr>
              <w:pStyle w:val="null3"/>
            </w:pPr>
            <w:r>
              <w:rPr>
                <w:rFonts w:ascii="宋体" w:hAnsi="宋体" w:cs="宋体" w:eastAsia="宋体"/>
                <w:sz w:val="24"/>
              </w:rPr>
              <w:t>支持按照与税务实现统一征缴模式对人员管理相关功能进行改造。本次系统改造包括但不限于职工新参保、信息变更、暂停、恢复等功能。</w:t>
            </w:r>
          </w:p>
          <w:p>
            <w:pPr>
              <w:pStyle w:val="null3"/>
            </w:pPr>
            <w:r>
              <w:rPr>
                <w:rFonts w:ascii="宋体" w:hAnsi="宋体" w:cs="宋体" w:eastAsia="宋体"/>
                <w:sz w:val="24"/>
              </w:rPr>
              <w:t>支持按照与税务实现统一征缴模式对单位或社保经办机构办理人员、单位的省内、省外转移转移信息管理相关业务进行改造，并向税务同步单位信息、个人信息，本次系统改造包括但不限于人员统内接收、人员统内解除、人员统外转入等功能。</w:t>
            </w:r>
          </w:p>
          <w:p>
            <w:pPr>
              <w:pStyle w:val="null3"/>
              <w:numPr>
                <w:ilvl w:val="2"/>
                <w:numId w:val="3"/>
              </w:numPr>
            </w:pPr>
            <w:r>
              <w:rPr/>
              <w:t>2.2.1.2</w:t>
            </w:r>
            <w:r>
              <w:rPr>
                <w:rFonts w:ascii="宋体" w:hAnsi="宋体" w:cs="宋体" w:eastAsia="宋体"/>
                <w:b/>
                <w:sz w:val="24"/>
              </w:rPr>
              <w:t>缴费管理</w:t>
            </w:r>
          </w:p>
          <w:p>
            <w:pPr>
              <w:pStyle w:val="null3"/>
            </w:pPr>
            <w:r>
              <w:rPr>
                <w:rFonts w:ascii="宋体" w:hAnsi="宋体" w:cs="宋体" w:eastAsia="宋体"/>
                <w:sz w:val="24"/>
              </w:rPr>
              <w:t>支持按照与税务实现统一征缴模式相关要求，对城镇职工养老保险原始缴费相关功能进行改造，具体需求包括但不限于缴费核定、征集计划、征集结算、支付结算业务功能改造。</w:t>
            </w:r>
          </w:p>
          <w:p>
            <w:pPr>
              <w:pStyle w:val="null3"/>
              <w:numPr>
                <w:ilvl w:val="2"/>
                <w:numId w:val="3"/>
              </w:numPr>
            </w:pPr>
            <w:r>
              <w:rPr/>
              <w:t>2.2.1.3</w:t>
            </w:r>
            <w:r>
              <w:rPr>
                <w:rFonts w:ascii="宋体" w:hAnsi="宋体" w:cs="宋体" w:eastAsia="宋体"/>
                <w:b/>
                <w:sz w:val="24"/>
              </w:rPr>
              <w:t>综合查询</w:t>
            </w:r>
          </w:p>
          <w:p>
            <w:pPr>
              <w:pStyle w:val="null3"/>
            </w:pPr>
            <w:r>
              <w:rPr>
                <w:rFonts w:ascii="宋体" w:hAnsi="宋体" w:cs="宋体" w:eastAsia="宋体"/>
                <w:sz w:val="24"/>
              </w:rPr>
              <w:t>该模块对应人社端查询子模块，用于与查询税务端养老保险相关信息。主要包含查询税务端养老保险单位信息、查询税务端职工养老保险单位参保信息、查询税务端灵活就业养老保险基本信息等功能。</w:t>
            </w:r>
          </w:p>
          <w:p>
            <w:pPr>
              <w:pStyle w:val="null3"/>
              <w:numPr>
                <w:ilvl w:val="1"/>
                <w:numId w:val="3"/>
              </w:numPr>
            </w:pPr>
            <w:r>
              <w:rPr/>
              <w:t>2.2.2</w:t>
            </w:r>
            <w:r>
              <w:rPr>
                <w:rFonts w:ascii="宋体" w:hAnsi="宋体" w:cs="宋体" w:eastAsia="宋体"/>
                <w:b/>
                <w:sz w:val="24"/>
              </w:rPr>
              <w:t>陕西省失业保险系统</w:t>
            </w:r>
            <w:r>
              <w:rPr>
                <w:rFonts w:ascii="宋体" w:hAnsi="宋体" w:cs="宋体" w:eastAsia="宋体"/>
                <w:b/>
                <w:sz w:val="24"/>
              </w:rPr>
              <w:t>升级改造</w:t>
            </w:r>
          </w:p>
          <w:p>
            <w:pPr>
              <w:pStyle w:val="null3"/>
            </w:pPr>
            <w:r>
              <w:rPr>
                <w:rFonts w:ascii="宋体" w:hAnsi="宋体" w:cs="宋体" w:eastAsia="宋体"/>
                <w:sz w:val="24"/>
              </w:rPr>
              <w:t>陕西省失业保险系统主要的升级改造主要涉及基本信息、缴费管理、综合查询等模块，将新增或变更的单位或人员信息向社保税务前置服务系统同步，同时，对税务部分税务信息进行查询相关功能的升级改造。</w:t>
            </w:r>
          </w:p>
          <w:p>
            <w:pPr>
              <w:pStyle w:val="null3"/>
              <w:numPr>
                <w:ilvl w:val="2"/>
                <w:numId w:val="3"/>
              </w:numPr>
            </w:pPr>
            <w:r>
              <w:rPr/>
              <w:t>2.2.2.1</w:t>
            </w:r>
            <w:r>
              <w:rPr>
                <w:rFonts w:ascii="宋体" w:hAnsi="宋体" w:cs="宋体" w:eastAsia="宋体"/>
                <w:b/>
                <w:sz w:val="24"/>
              </w:rPr>
              <w:t>基本信息</w:t>
            </w:r>
          </w:p>
          <w:p>
            <w:pPr>
              <w:pStyle w:val="null3"/>
            </w:pPr>
            <w:r>
              <w:rPr>
                <w:rFonts w:ascii="宋体" w:hAnsi="宋体" w:cs="宋体" w:eastAsia="宋体"/>
                <w:sz w:val="24"/>
              </w:rPr>
              <w:t>支持按照与税务实现统一征缴模式对单位管理相关功能进行改造。本次系统改造包括但不限于失业保险单位参保登记、单位基本信息变更、单位险种信息变更等功能。</w:t>
            </w:r>
          </w:p>
          <w:p>
            <w:pPr>
              <w:pStyle w:val="null3"/>
            </w:pPr>
            <w:r>
              <w:rPr>
                <w:rFonts w:ascii="宋体" w:hAnsi="宋体" w:cs="宋体" w:eastAsia="宋体"/>
                <w:sz w:val="24"/>
              </w:rPr>
              <w:t>支持按照与税务实现统一征缴模式对人员管理相关功能进行改造。本次系统改造包括但不限于失业保险人员参保登记、人员基本信息变更、人员重要信息变更等功能。</w:t>
            </w:r>
          </w:p>
          <w:p>
            <w:pPr>
              <w:pStyle w:val="null3"/>
            </w:pPr>
            <w:r>
              <w:rPr>
                <w:rFonts w:ascii="宋体" w:hAnsi="宋体" w:cs="宋体" w:eastAsia="宋体"/>
                <w:sz w:val="24"/>
              </w:rPr>
              <w:t>支持按照与税务实现统一征缴模式对单位或社保经办机构办理人员、单位的失业保险省内、省外转移转移信息管理相关业务进行改造，并向税务同步单位信息、个人信息，本次系统改造包括但不限于单位统筹范围内转出、单位统筹范围内转入、数据中心转出等功能。</w:t>
            </w:r>
          </w:p>
          <w:p>
            <w:pPr>
              <w:pStyle w:val="null3"/>
              <w:numPr>
                <w:ilvl w:val="2"/>
                <w:numId w:val="3"/>
              </w:numPr>
            </w:pPr>
            <w:r>
              <w:rPr/>
              <w:t>2.2.2.2</w:t>
            </w:r>
            <w:r>
              <w:rPr>
                <w:rFonts w:ascii="宋体" w:hAnsi="宋体" w:cs="宋体" w:eastAsia="宋体"/>
                <w:b/>
                <w:sz w:val="24"/>
              </w:rPr>
              <w:t>缴费管理</w:t>
            </w:r>
          </w:p>
          <w:p>
            <w:pPr>
              <w:pStyle w:val="null3"/>
            </w:pPr>
            <w:r>
              <w:rPr>
                <w:rFonts w:ascii="宋体" w:hAnsi="宋体" w:cs="宋体" w:eastAsia="宋体"/>
                <w:sz w:val="24"/>
              </w:rPr>
              <w:t>支持按照与税务实现统一征缴模式相关要求，对失业保险原始缴费相关功能进行改造，本次系统改造包括但不限于缴费核定、征集计划、特殊缴费、征集结算、支付结算等业务功能。</w:t>
            </w:r>
          </w:p>
          <w:p>
            <w:pPr>
              <w:pStyle w:val="null3"/>
              <w:numPr>
                <w:ilvl w:val="2"/>
                <w:numId w:val="3"/>
              </w:numPr>
            </w:pPr>
            <w:r>
              <w:rPr/>
              <w:t>2.2.2.3</w:t>
            </w:r>
            <w:r>
              <w:rPr>
                <w:rFonts w:ascii="宋体" w:hAnsi="宋体" w:cs="宋体" w:eastAsia="宋体"/>
                <w:b/>
                <w:sz w:val="24"/>
              </w:rPr>
              <w:t>综合查询</w:t>
            </w:r>
          </w:p>
          <w:p>
            <w:pPr>
              <w:pStyle w:val="null3"/>
            </w:pPr>
            <w:r>
              <w:rPr>
                <w:rFonts w:ascii="宋体" w:hAnsi="宋体" w:cs="宋体" w:eastAsia="宋体"/>
                <w:sz w:val="24"/>
              </w:rPr>
              <w:t>单位查询：主要用于查询社保税务前置服务系统获取到的失业保险单位缴费信息，主要包含单位缴费信息查询、单位人员月申报基数查询、单位缴费明细查询等功能。</w:t>
            </w:r>
          </w:p>
          <w:p>
            <w:pPr>
              <w:pStyle w:val="null3"/>
            </w:pPr>
            <w:r>
              <w:rPr>
                <w:rFonts w:ascii="宋体" w:hAnsi="宋体" w:cs="宋体" w:eastAsia="宋体"/>
                <w:sz w:val="24"/>
              </w:rPr>
              <w:t>个人查询：主要用于查询社保税务前置服务系统获取到的失业保险个人缴费信息，主要包含个人缴费明细查询和个人缴费台账查询功能。</w:t>
            </w:r>
          </w:p>
          <w:p>
            <w:pPr>
              <w:pStyle w:val="null3"/>
              <w:numPr>
                <w:ilvl w:val="1"/>
                <w:numId w:val="3"/>
              </w:numPr>
            </w:pPr>
            <w:r>
              <w:rPr/>
              <w:t>2.2.3</w:t>
            </w:r>
            <w:r>
              <w:rPr>
                <w:rFonts w:ascii="宋体" w:hAnsi="宋体" w:cs="宋体" w:eastAsia="宋体"/>
                <w:b/>
                <w:sz w:val="24"/>
              </w:rPr>
              <w:t>省直工伤保险系统</w:t>
            </w:r>
            <w:r>
              <w:rPr>
                <w:rFonts w:ascii="宋体" w:hAnsi="宋体" w:cs="宋体" w:eastAsia="宋体"/>
                <w:b/>
                <w:sz w:val="24"/>
              </w:rPr>
              <w:t>升级改造</w:t>
            </w:r>
          </w:p>
          <w:p>
            <w:pPr>
              <w:pStyle w:val="null3"/>
            </w:pPr>
            <w:r>
              <w:rPr>
                <w:rFonts w:ascii="宋体" w:hAnsi="宋体" w:cs="宋体" w:eastAsia="宋体"/>
                <w:sz w:val="24"/>
              </w:rPr>
              <w:t>省直工伤保险系统主要的升级改造主要涉及基本信息、缴费管理、综合查询等模块，将新增或变更的单位或人员信息向社保税务前置服务系统同步，同时，对税务部分税务信息进行查询相关功能的升级改造。</w:t>
            </w:r>
          </w:p>
          <w:p>
            <w:pPr>
              <w:pStyle w:val="null3"/>
              <w:numPr>
                <w:ilvl w:val="2"/>
                <w:numId w:val="3"/>
              </w:numPr>
            </w:pPr>
            <w:r>
              <w:rPr/>
              <w:t>2.2.3.1</w:t>
            </w:r>
            <w:r>
              <w:rPr>
                <w:rFonts w:ascii="宋体" w:hAnsi="宋体" w:cs="宋体" w:eastAsia="宋体"/>
                <w:b/>
                <w:sz w:val="24"/>
              </w:rPr>
              <w:t>基本信息</w:t>
            </w:r>
          </w:p>
          <w:p>
            <w:pPr>
              <w:pStyle w:val="null3"/>
            </w:pPr>
            <w:r>
              <w:rPr>
                <w:rFonts w:ascii="宋体" w:hAnsi="宋体" w:cs="宋体" w:eastAsia="宋体"/>
                <w:sz w:val="24"/>
              </w:rPr>
              <w:t>支持按照与税务实现统一征缴模式对单位管理相关功能进行改造。本次系统改造包括但不限于省直工伤保险单位参保登记、单位基本信息变更、单位险种信息变更等功能。</w:t>
            </w:r>
          </w:p>
          <w:p>
            <w:pPr>
              <w:pStyle w:val="null3"/>
            </w:pPr>
            <w:r>
              <w:rPr>
                <w:rFonts w:ascii="宋体" w:hAnsi="宋体" w:cs="宋体" w:eastAsia="宋体"/>
                <w:sz w:val="24"/>
              </w:rPr>
              <w:t>支持按照与税务实现统一征缴模式对人员管理相关功能进行改造。本次系统改造包括但不限于省直工伤保险人员参保登记、人员基本信息变更、人员重要信息变更等功能。</w:t>
            </w:r>
          </w:p>
          <w:p>
            <w:pPr>
              <w:pStyle w:val="null3"/>
            </w:pPr>
            <w:r>
              <w:rPr>
                <w:rFonts w:ascii="宋体" w:hAnsi="宋体" w:cs="宋体" w:eastAsia="宋体"/>
                <w:sz w:val="24"/>
              </w:rPr>
              <w:t>支持按照与税务实现统一征缴模式对单位或社保经办机构办理人员、单位的省直工伤保险省内、省外转移转移信息管理相关业务进行改造，并向税务同步单位信息、个人信息，本次系统改造包括但不限于单位统筹范围内转出、单位统筹范围内转入、人员统筹范围内转出等功能。</w:t>
            </w:r>
          </w:p>
          <w:p>
            <w:pPr>
              <w:pStyle w:val="null3"/>
              <w:numPr>
                <w:ilvl w:val="2"/>
                <w:numId w:val="3"/>
              </w:numPr>
            </w:pPr>
            <w:r>
              <w:rPr/>
              <w:t>2.2.3.2</w:t>
            </w:r>
            <w:r>
              <w:rPr>
                <w:rFonts w:ascii="宋体" w:hAnsi="宋体" w:cs="宋体" w:eastAsia="宋体"/>
                <w:b/>
                <w:sz w:val="24"/>
              </w:rPr>
              <w:t>缴费管理</w:t>
            </w:r>
          </w:p>
          <w:p>
            <w:pPr>
              <w:pStyle w:val="null3"/>
            </w:pPr>
            <w:r>
              <w:rPr>
                <w:rFonts w:ascii="宋体" w:hAnsi="宋体" w:cs="宋体" w:eastAsia="宋体"/>
                <w:sz w:val="24"/>
              </w:rPr>
              <w:t>支持按照与税务实现统一征缴模式相关要求，对省直工伤保险原始缴费相关功能进行改造，本次系统改造包括但不限于缴费核定、征集计划、特殊缴费等业务功能。</w:t>
            </w:r>
          </w:p>
          <w:p>
            <w:pPr>
              <w:pStyle w:val="null3"/>
              <w:numPr>
                <w:ilvl w:val="2"/>
                <w:numId w:val="3"/>
              </w:numPr>
            </w:pPr>
            <w:r>
              <w:rPr/>
              <w:t>2.2.3.3</w:t>
            </w:r>
            <w:r>
              <w:rPr>
                <w:rFonts w:ascii="宋体" w:hAnsi="宋体" w:cs="宋体" w:eastAsia="宋体"/>
                <w:b/>
                <w:sz w:val="24"/>
              </w:rPr>
              <w:t>综合查询</w:t>
            </w:r>
          </w:p>
          <w:p>
            <w:pPr>
              <w:pStyle w:val="null3"/>
            </w:pPr>
            <w:r>
              <w:rPr>
                <w:rFonts w:ascii="宋体" w:hAnsi="宋体" w:cs="宋体" w:eastAsia="宋体"/>
                <w:sz w:val="24"/>
              </w:rPr>
              <w:t>单位查询：主要用于查询社保税务前置服务系统获取到的单位缴费信息，主要包含单位缴费信息查询、单位缴费到账信息查询、单位缓缴备案查询等功能。</w:t>
            </w:r>
          </w:p>
          <w:p>
            <w:pPr>
              <w:pStyle w:val="null3"/>
            </w:pPr>
            <w:r>
              <w:rPr>
                <w:rFonts w:ascii="宋体" w:hAnsi="宋体" w:cs="宋体" w:eastAsia="宋体"/>
                <w:sz w:val="24"/>
              </w:rPr>
              <w:t>个人查询：主要用于查询社保税务前置服务系统获取到的个人缴费信息，主要对应个人缴费明细信息查询功能。</w:t>
            </w:r>
          </w:p>
          <w:p>
            <w:pPr>
              <w:pStyle w:val="null3"/>
              <w:numPr>
                <w:ilvl w:val="1"/>
                <w:numId w:val="3"/>
              </w:numPr>
            </w:pPr>
            <w:r>
              <w:rPr/>
              <w:t>2.2.4</w:t>
            </w:r>
            <w:r>
              <w:rPr>
                <w:rFonts w:ascii="宋体" w:hAnsi="宋体" w:cs="宋体" w:eastAsia="宋体"/>
                <w:b/>
                <w:sz w:val="24"/>
              </w:rPr>
              <w:t>社保税务前置服务系统</w:t>
            </w:r>
            <w:r>
              <w:rPr>
                <w:rFonts w:ascii="宋体" w:hAnsi="宋体" w:cs="宋体" w:eastAsia="宋体"/>
                <w:b/>
                <w:sz w:val="24"/>
              </w:rPr>
              <w:t>升级改造</w:t>
            </w:r>
          </w:p>
          <w:p>
            <w:pPr>
              <w:pStyle w:val="null3"/>
            </w:pPr>
            <w:r>
              <w:rPr>
                <w:rFonts w:ascii="宋体" w:hAnsi="宋体" w:cs="宋体" w:eastAsia="宋体"/>
                <w:sz w:val="24"/>
              </w:rPr>
              <w:t>支持按照与税务实现统一征缴模式相关要求，对社保税务前置服务系统相关功能进行改造，本次系统改造包括但不限于该模块主要用于管理各险种单位、个人基本信息相关接口主要包括：</w:t>
            </w:r>
          </w:p>
          <w:p>
            <w:pPr>
              <w:pStyle w:val="null3"/>
            </w:pPr>
            <w:r>
              <w:rPr>
                <w:rFonts w:ascii="宋体" w:hAnsi="宋体" w:cs="宋体" w:eastAsia="宋体"/>
                <w:sz w:val="24"/>
              </w:rPr>
              <w:t>参保管理接口：包含单位参保接口类、职工参保接口类、灵活就业人员参保接口类、工伤保险费率认定接口类、工程项目工伤保险登记接口类和人社税务信息比对接口类子模块。</w:t>
            </w:r>
          </w:p>
          <w:p>
            <w:pPr>
              <w:pStyle w:val="null3"/>
            </w:pPr>
            <w:r>
              <w:rPr>
                <w:rFonts w:ascii="宋体" w:hAnsi="宋体" w:cs="宋体" w:eastAsia="宋体"/>
                <w:sz w:val="24"/>
              </w:rPr>
              <w:t>缴费管理接口：包含单位征集接口类、工程项目工伤费征集接口类、减免缓管理接口类、补欠缴管理接口类、特殊缴费接口类、征集撤销接口类、到账处理接口类、退费管理接口类和对账管理接口类子模块。</w:t>
            </w:r>
          </w:p>
          <w:p>
            <w:pPr>
              <w:pStyle w:val="null3"/>
            </w:pPr>
            <w:r>
              <w:rPr>
                <w:rFonts w:ascii="宋体" w:hAnsi="宋体" w:cs="宋体" w:eastAsia="宋体"/>
                <w:sz w:val="24"/>
              </w:rPr>
              <w:t>特殊缴费接口：包含特殊缴费业务入库反馈接口、税务特殊缴费业务入库反馈信息保存接口、特殊缴费业务信息交互税务推送接口等。</w:t>
            </w:r>
          </w:p>
          <w:p>
            <w:pPr>
              <w:pStyle w:val="null3"/>
            </w:pPr>
            <w:r>
              <w:rPr>
                <w:rFonts w:ascii="宋体" w:hAnsi="宋体" w:cs="宋体" w:eastAsia="宋体"/>
                <w:sz w:val="24"/>
              </w:rPr>
              <w:t>业务查询接口：包含税务查询人社接口类和人社查询税务接口类两大子模块。</w:t>
            </w:r>
          </w:p>
          <w:p>
            <w:pPr>
              <w:pStyle w:val="null3"/>
              <w:numPr>
                <w:ilvl w:val="1"/>
                <w:numId w:val="3"/>
              </w:numPr>
            </w:pPr>
            <w:r>
              <w:rPr/>
              <w:t>2.2.5</w:t>
            </w:r>
            <w:r>
              <w:rPr>
                <w:rFonts w:ascii="宋体" w:hAnsi="宋体" w:cs="宋体" w:eastAsia="宋体"/>
                <w:b/>
                <w:sz w:val="24"/>
              </w:rPr>
              <w:t>社保税务信息共享平台</w:t>
            </w:r>
            <w:r>
              <w:rPr>
                <w:rFonts w:ascii="宋体" w:hAnsi="宋体" w:cs="宋体" w:eastAsia="宋体"/>
                <w:b/>
                <w:sz w:val="24"/>
              </w:rPr>
              <w:t>升级改造</w:t>
            </w:r>
          </w:p>
          <w:p>
            <w:pPr>
              <w:pStyle w:val="null3"/>
            </w:pPr>
            <w:r>
              <w:rPr>
                <w:rFonts w:ascii="宋体" w:hAnsi="宋体" w:cs="宋体" w:eastAsia="宋体"/>
                <w:sz w:val="24"/>
              </w:rPr>
              <w:t>支持按照与税务实现统一征缴模式相关要求，对社保税务前置服务系统相关功能进行改造，对社保税务信息共享平台升级改造，增加人社与税务数据交易的监控功能，主要包括登录、日志查询、交易监控、交易数据采集、交易数据查询、交易统计等功能。</w:t>
            </w:r>
          </w:p>
          <w:p>
            <w:pPr>
              <w:pStyle w:val="null3"/>
              <w:numPr>
                <w:ilvl w:val="0"/>
                <w:numId w:val="3"/>
              </w:numPr>
            </w:pPr>
            <w:r>
              <w:rPr/>
              <w:t>2.3</w:t>
            </w:r>
            <w:r>
              <w:rPr>
                <w:rFonts w:ascii="宋体" w:hAnsi="宋体" w:cs="宋体" w:eastAsia="宋体"/>
                <w:b/>
                <w:sz w:val="24"/>
              </w:rPr>
              <w:t>数据治理</w:t>
            </w:r>
          </w:p>
          <w:p>
            <w:pPr>
              <w:pStyle w:val="null3"/>
              <w:numPr>
                <w:ilvl w:val="0"/>
                <w:numId w:val="3"/>
              </w:numPr>
            </w:pPr>
            <w:r>
              <w:rPr/>
              <w:t>2.3.1</w:t>
            </w:r>
            <w:r>
              <w:rPr>
                <w:rFonts w:ascii="宋体" w:hAnsi="宋体" w:cs="宋体" w:eastAsia="宋体"/>
                <w:b/>
                <w:sz w:val="24"/>
              </w:rPr>
              <w:t>数据治理服务</w:t>
            </w:r>
          </w:p>
          <w:p>
            <w:pPr>
              <w:pStyle w:val="null3"/>
              <w:ind w:firstLine="560"/>
              <w:jc w:val="both"/>
            </w:pPr>
            <w:r>
              <w:rPr>
                <w:rFonts w:ascii="宋体" w:hAnsi="宋体" w:cs="宋体" w:eastAsia="宋体"/>
                <w:sz w:val="24"/>
              </w:rPr>
              <w:t>为确保人社与税务在</w:t>
            </w:r>
            <w:r>
              <w:rPr>
                <w:rFonts w:ascii="宋体" w:hAnsi="宋体" w:cs="宋体" w:eastAsia="宋体"/>
                <w:sz w:val="24"/>
              </w:rPr>
              <w:t>”统模式”业务实施前后数据一致，对各险种单位基本信息、个人基本信息、参保信息、缴费基数信息进行比对验证，以及对在途账的数据清理（人社已提交税务，税务未返回人社），避免对后期业务影响，需投入相关人力在系统上线前后一段时间进行数据治理。</w:t>
            </w:r>
          </w:p>
          <w:p>
            <w:pPr>
              <w:pStyle w:val="null3"/>
            </w:pPr>
            <w:r>
              <w:rPr>
                <w:rFonts w:ascii="宋体" w:hAnsi="宋体" w:cs="宋体" w:eastAsia="宋体"/>
                <w:sz w:val="24"/>
              </w:rPr>
              <w:t>数据治理服务主要包括源数据治理需求调研、源数据分析、数据治理规则制定、定制化规则程序编制、数据质量统计、数据质量分析等人工服务。</w:t>
            </w:r>
          </w:p>
          <w:p>
            <w:pPr>
              <w:pStyle w:val="null3"/>
              <w:numPr>
                <w:ilvl w:val="2"/>
                <w:numId w:val="3"/>
              </w:numPr>
            </w:pPr>
            <w:r>
              <w:rPr/>
              <w:t>2.3.1.1</w:t>
            </w:r>
            <w:r>
              <w:rPr>
                <w:rFonts w:ascii="宋体" w:hAnsi="宋体" w:cs="宋体" w:eastAsia="宋体"/>
                <w:b/>
                <w:sz w:val="24"/>
              </w:rPr>
              <w:t>数据治理</w:t>
            </w:r>
            <w:r>
              <w:rPr>
                <w:rFonts w:ascii="宋体" w:hAnsi="宋体" w:cs="宋体" w:eastAsia="宋体"/>
                <w:b/>
                <w:sz w:val="24"/>
              </w:rPr>
              <w:t>内容</w:t>
            </w:r>
          </w:p>
          <w:p>
            <w:pPr>
              <w:pStyle w:val="null3"/>
            </w:pPr>
            <w:r>
              <w:rPr>
                <w:rFonts w:ascii="宋体" w:hAnsi="宋体" w:cs="宋体" w:eastAsia="宋体"/>
                <w:sz w:val="24"/>
              </w:rPr>
              <w:t>本项目数据治理涉及基础库和专题库，原始库直接使用各社保系统的</w:t>
            </w:r>
            <w:r>
              <w:rPr>
                <w:rFonts w:ascii="宋体" w:hAnsi="宋体" w:cs="宋体" w:eastAsia="宋体"/>
                <w:sz w:val="24"/>
              </w:rPr>
              <w:t>ODS数据库进行治理。</w:t>
            </w:r>
          </w:p>
          <w:p>
            <w:pPr>
              <w:pStyle w:val="null3"/>
              <w:numPr>
                <w:ilvl w:val="1"/>
                <w:numId w:val="3"/>
              </w:numPr>
            </w:pPr>
            <w:r>
              <w:rPr/>
              <w:t>2.3.2</w:t>
            </w:r>
            <w:r>
              <w:rPr>
                <w:rFonts w:ascii="宋体" w:hAnsi="宋体" w:cs="宋体" w:eastAsia="宋体"/>
                <w:b/>
                <w:sz w:val="24"/>
              </w:rPr>
              <w:t>数据治理软件</w:t>
            </w:r>
          </w:p>
          <w:p>
            <w:pPr>
              <w:pStyle w:val="null3"/>
            </w:pPr>
            <w:r>
              <w:rPr>
                <w:rFonts w:ascii="宋体" w:hAnsi="宋体" w:cs="宋体" w:eastAsia="宋体"/>
                <w:sz w:val="24"/>
              </w:rPr>
              <w:t>本次采购</w:t>
            </w:r>
            <w:r>
              <w:rPr>
                <w:rFonts w:ascii="宋体" w:hAnsi="宋体" w:cs="宋体" w:eastAsia="宋体"/>
                <w:sz w:val="24"/>
              </w:rPr>
              <w:t>1套数据治理软件，用于数据自动化抽取、清洗、整理等工作，用于3个核心系统（陕西省企业职工养老保险、陕西省失业保险系统、省直工伤保险系统）基本信息、缴费信息的数据治理。主要包括多数据源支持、断点续传功能、数据治理流程编排、数据调度管理、数据抽取引擎等功能。</w:t>
            </w:r>
          </w:p>
          <w:p>
            <w:pPr>
              <w:pStyle w:val="null3"/>
              <w:numPr>
                <w:ilvl w:val="1"/>
                <w:numId w:val="3"/>
              </w:numPr>
            </w:pPr>
            <w:r>
              <w:rPr/>
              <w:t>2.3.3</w:t>
            </w:r>
            <w:r>
              <w:rPr>
                <w:rFonts w:ascii="&quot;times new roman&quot;" w:hAnsi="&quot;times new roman&quot;" w:cs="&quot;times new roman&quot;" w:eastAsia="&quot;times new roman&quot;"/>
                <w:b/>
                <w:sz w:val="21"/>
              </w:rPr>
              <w:t xml:space="preserve"> </w:t>
            </w:r>
            <w:r>
              <w:rPr>
                <w:rFonts w:ascii="宋体" w:hAnsi="宋体" w:cs="宋体" w:eastAsia="宋体"/>
                <w:b/>
                <w:sz w:val="24"/>
              </w:rPr>
              <w:t>数据治理数据库</w:t>
            </w:r>
          </w:p>
          <w:p>
            <w:pPr>
              <w:pStyle w:val="null3"/>
            </w:pPr>
            <w:r>
              <w:rPr>
                <w:rFonts w:ascii="宋体" w:hAnsi="宋体" w:cs="宋体" w:eastAsia="宋体"/>
                <w:sz w:val="24"/>
              </w:rPr>
              <w:t>建立数据治理数据库，汇集待治理数据，从各险种生产库抽取待治理数据到治理数据库，并通过治理软件进行比对筛查、清理、封存等操作，形成的结果数据保存到治理库。</w:t>
            </w:r>
          </w:p>
          <w:p>
            <w:pPr>
              <w:pStyle w:val="null3"/>
              <w:numPr>
                <w:ilvl w:val="0"/>
                <w:numId w:val="3"/>
              </w:numPr>
            </w:pPr>
            <w:r>
              <w:rPr/>
              <w:t>2.4</w:t>
            </w:r>
            <w:r>
              <w:rPr>
                <w:rFonts w:ascii="宋体" w:hAnsi="宋体" w:cs="宋体" w:eastAsia="宋体"/>
                <w:b/>
                <w:sz w:val="24"/>
              </w:rPr>
              <w:t>数据共享</w:t>
            </w:r>
          </w:p>
          <w:p>
            <w:pPr>
              <w:pStyle w:val="null3"/>
            </w:pPr>
            <w:r>
              <w:rPr>
                <w:rFonts w:ascii="宋体" w:hAnsi="宋体" w:cs="宋体" w:eastAsia="宋体"/>
                <w:color w:val="000000"/>
                <w:sz w:val="24"/>
              </w:rPr>
              <w:t>人人社社保部门负责社会保险参保登记，税务部门根据社保部门登记单位、人员负责社会保险费征缴，并将征集数据返回社保部门，</w:t>
            </w:r>
            <w:r>
              <w:rPr>
                <w:rFonts w:ascii="宋体" w:hAnsi="宋体" w:cs="宋体" w:eastAsia="宋体"/>
                <w:sz w:val="24"/>
              </w:rPr>
              <w:t>业务办理时数据交换内容如下：</w:t>
            </w:r>
          </w:p>
          <w:p>
            <w:pPr>
              <w:pStyle w:val="null3"/>
              <w:ind w:firstLine="482"/>
            </w:pPr>
            <w:r>
              <w:rPr>
                <w:rFonts w:ascii="宋体" w:hAnsi="宋体" w:cs="宋体" w:eastAsia="宋体"/>
                <w:b/>
                <w:color w:val="000000"/>
                <w:sz w:val="24"/>
              </w:rPr>
              <w:t>1.社保向税务传递</w:t>
            </w:r>
          </w:p>
          <w:p>
            <w:pPr>
              <w:pStyle w:val="null3"/>
            </w:pPr>
            <w:r>
              <w:rPr>
                <w:rFonts w:ascii="宋体" w:hAnsi="宋体" w:cs="宋体" w:eastAsia="宋体"/>
                <w:color w:val="000000"/>
                <w:sz w:val="24"/>
              </w:rPr>
              <w:t>社保向税务共享社保登记信息、对账信息、特殊缴费业务信息、退费信息、征集信息。其中社保登记信息包括单位参保登记信息</w:t>
            </w:r>
            <w:r>
              <w:rPr>
                <w:rFonts w:ascii="宋体" w:hAnsi="宋体" w:cs="宋体" w:eastAsia="宋体"/>
                <w:color w:val="000000"/>
                <w:sz w:val="24"/>
              </w:rPr>
              <w:t>,职工个人参保登记信息,灵活就业人员参保登记信息,城乡居民参保登记信息,工伤保险费率认定信息,工程项目工伤保险参保登记信息等。</w:t>
            </w:r>
          </w:p>
          <w:p>
            <w:pPr>
              <w:pStyle w:val="null3"/>
              <w:ind w:firstLine="482"/>
            </w:pPr>
            <w:r>
              <w:rPr>
                <w:rFonts w:ascii="宋体" w:hAnsi="宋体" w:cs="宋体" w:eastAsia="宋体"/>
                <w:b/>
                <w:color w:val="000000"/>
                <w:sz w:val="24"/>
              </w:rPr>
              <w:t>2.税务向社保传递</w:t>
            </w:r>
          </w:p>
          <w:p>
            <w:pPr>
              <w:pStyle w:val="null3"/>
            </w:pPr>
            <w:r>
              <w:rPr>
                <w:rFonts w:ascii="宋体" w:hAnsi="宋体" w:cs="宋体" w:eastAsia="宋体"/>
                <w:color w:val="000000"/>
                <w:sz w:val="24"/>
              </w:rPr>
              <w:t>税务向社保传递社保登记信息关联比对结果反馈</w:t>
            </w:r>
            <w:r>
              <w:rPr>
                <w:rFonts w:ascii="宋体" w:hAnsi="宋体" w:cs="宋体" w:eastAsia="宋体"/>
                <w:color w:val="000000"/>
                <w:sz w:val="24"/>
              </w:rPr>
              <w:t>, 缴费明细信息、社保费对账信息、特殊缴费业务入库反馈信息、退费信息（社保费退费申请和初核、社保费退费账户更正、社保费退费申请附送资料）、欠费信息、税务登记信息、扣款信息、非正常户认定、超期撤销等。</w:t>
            </w:r>
          </w:p>
          <w:p>
            <w:pPr>
              <w:pStyle w:val="null3"/>
              <w:ind w:firstLine="482"/>
            </w:pPr>
            <w:r>
              <w:rPr>
                <w:rFonts w:ascii="宋体" w:hAnsi="宋体" w:cs="宋体" w:eastAsia="宋体"/>
                <w:b/>
                <w:color w:val="000000"/>
                <w:sz w:val="24"/>
              </w:rPr>
              <w:t>3.税务实时查社保</w:t>
            </w:r>
          </w:p>
          <w:p>
            <w:pPr>
              <w:pStyle w:val="null3"/>
            </w:pPr>
            <w:r>
              <w:rPr>
                <w:rFonts w:ascii="宋体" w:hAnsi="宋体" w:cs="宋体" w:eastAsia="宋体"/>
                <w:color w:val="000000"/>
                <w:sz w:val="24"/>
              </w:rPr>
              <w:t>税务业务经办时还会实时查询社保信息，包括社保登记信息、特殊缴费业务信息、征集信息等。</w:t>
            </w:r>
          </w:p>
          <w:p>
            <w:pPr>
              <w:pStyle w:val="null3"/>
              <w:ind w:firstLine="482"/>
            </w:pPr>
            <w:r>
              <w:rPr>
                <w:rFonts w:ascii="宋体" w:hAnsi="宋体" w:cs="宋体" w:eastAsia="宋体"/>
                <w:b/>
                <w:color w:val="000000"/>
                <w:sz w:val="24"/>
              </w:rPr>
              <w:t>4.社保实时查税务</w:t>
            </w:r>
          </w:p>
          <w:p>
            <w:pPr>
              <w:pStyle w:val="null3"/>
            </w:pPr>
            <w:r>
              <w:rPr>
                <w:rFonts w:ascii="宋体" w:hAnsi="宋体" w:cs="宋体" w:eastAsia="宋体"/>
                <w:color w:val="000000"/>
                <w:sz w:val="24"/>
              </w:rPr>
              <w:t>社保办理业务时也会实时查询税务信息，包括灵活就业人员在途数据、缴费信息、特殊缴费业务信息、扣款信息等。</w:t>
            </w:r>
          </w:p>
          <w:p>
            <w:pPr>
              <w:pStyle w:val="null3"/>
              <w:jc w:val="both"/>
            </w:pPr>
            <w:r>
              <w:rPr>
                <w:rFonts w:ascii="宋体" w:hAnsi="宋体" w:cs="宋体" w:eastAsia="宋体"/>
                <w:b/>
                <w:sz w:val="24"/>
              </w:rPr>
              <w:t>3.系统性能</w:t>
            </w:r>
            <w:r>
              <w:rPr>
                <w:rFonts w:ascii="宋体" w:hAnsi="宋体" w:cs="宋体" w:eastAsia="宋体"/>
                <w:b/>
                <w:sz w:val="24"/>
              </w:rPr>
              <w:t>要求</w:t>
            </w:r>
          </w:p>
          <w:p>
            <w:pPr>
              <w:pStyle w:val="null3"/>
              <w:ind w:firstLine="480"/>
              <w:jc w:val="both"/>
            </w:pPr>
            <w:r>
              <w:rPr>
                <w:rFonts w:ascii="宋体" w:hAnsi="宋体" w:cs="宋体" w:eastAsia="宋体"/>
                <w:color w:val="000000"/>
                <w:sz w:val="24"/>
              </w:rPr>
              <w:t>交易响应时间指完成目标系统中的交互或批量业务处理所需的响应时间。根据业务处理类型的不同，可以把交易划分为三类：交互类业务、查询类业务和大数据量批处理类业务，分别给出响应时间要求的参考值，包括峰值响应时间、平均响应时间。具体要求如下：</w:t>
            </w:r>
          </w:p>
          <w:p>
            <w:pPr>
              <w:pStyle w:val="null3"/>
              <w:ind w:firstLine="480"/>
              <w:jc w:val="both"/>
            </w:pPr>
            <w:r>
              <w:rPr>
                <w:rFonts w:ascii="宋体" w:hAnsi="宋体" w:cs="宋体" w:eastAsia="宋体"/>
                <w:color w:val="000000"/>
                <w:sz w:val="24"/>
              </w:rPr>
              <w:t>1、交互类业务</w:t>
            </w:r>
          </w:p>
          <w:p>
            <w:pPr>
              <w:pStyle w:val="null3"/>
              <w:ind w:firstLine="480"/>
              <w:jc w:val="both"/>
            </w:pPr>
            <w:r>
              <w:rPr>
                <w:rFonts w:ascii="宋体" w:hAnsi="宋体" w:cs="宋体" w:eastAsia="宋体"/>
                <w:color w:val="000000"/>
                <w:sz w:val="24"/>
              </w:rPr>
              <w:t>交互类业务是指平时工作中在系统中进行的业务处理，如录入、修改或删除一条记录、发布一条信息等操作。</w:t>
            </w:r>
          </w:p>
          <w:p>
            <w:pPr>
              <w:pStyle w:val="null3"/>
              <w:numPr>
                <w:ilvl w:val="0"/>
                <w:numId w:val="4"/>
              </w:numPr>
              <w:jc w:val="both"/>
            </w:pPr>
            <w:r>
              <w:rPr>
                <w:rFonts w:ascii="宋体" w:hAnsi="宋体" w:cs="宋体" w:eastAsia="宋体"/>
                <w:color w:val="000000"/>
                <w:sz w:val="24"/>
              </w:rPr>
              <w:t>平均响应时间：</w:t>
            </w:r>
            <w:r>
              <w:rPr>
                <w:rFonts w:ascii="宋体" w:hAnsi="宋体" w:cs="宋体" w:eastAsia="宋体"/>
                <w:color w:val="000000"/>
                <w:sz w:val="24"/>
              </w:rPr>
              <w:t>≤1 秒</w:t>
            </w:r>
          </w:p>
          <w:p>
            <w:pPr>
              <w:pStyle w:val="null3"/>
              <w:numPr>
                <w:ilvl w:val="0"/>
                <w:numId w:val="4"/>
              </w:numPr>
              <w:jc w:val="both"/>
            </w:pPr>
            <w:r>
              <w:rPr>
                <w:rFonts w:ascii="宋体" w:hAnsi="宋体" w:cs="宋体" w:eastAsia="宋体"/>
                <w:color w:val="000000"/>
                <w:sz w:val="24"/>
              </w:rPr>
              <w:t>峰值响应时间：</w:t>
            </w:r>
            <w:r>
              <w:rPr>
                <w:rFonts w:ascii="宋体" w:hAnsi="宋体" w:cs="宋体" w:eastAsia="宋体"/>
                <w:color w:val="000000"/>
                <w:sz w:val="24"/>
              </w:rPr>
              <w:t>≤3 秒</w:t>
            </w:r>
          </w:p>
          <w:p>
            <w:pPr>
              <w:pStyle w:val="null3"/>
              <w:ind w:firstLine="480"/>
              <w:jc w:val="both"/>
            </w:pPr>
            <w:r>
              <w:rPr>
                <w:rFonts w:ascii="宋体" w:hAnsi="宋体" w:cs="宋体" w:eastAsia="宋体"/>
                <w:color w:val="000000"/>
                <w:sz w:val="24"/>
              </w:rPr>
              <w:t>批量前台经办业务数据导入（按一次</w:t>
            </w:r>
            <w:r>
              <w:rPr>
                <w:rFonts w:ascii="宋体" w:hAnsi="宋体" w:cs="宋体" w:eastAsia="宋体"/>
                <w:color w:val="000000"/>
                <w:sz w:val="24"/>
              </w:rPr>
              <w:t>2000条评估）</w:t>
            </w:r>
          </w:p>
          <w:p>
            <w:pPr>
              <w:pStyle w:val="null3"/>
              <w:numPr>
                <w:ilvl w:val="0"/>
                <w:numId w:val="4"/>
              </w:numPr>
              <w:jc w:val="both"/>
            </w:pPr>
            <w:r>
              <w:rPr>
                <w:rFonts w:ascii="宋体" w:hAnsi="宋体" w:cs="宋体" w:eastAsia="宋体"/>
                <w:color w:val="000000"/>
                <w:sz w:val="24"/>
              </w:rPr>
              <w:t>平均响应时间：</w:t>
            </w:r>
            <w:r>
              <w:rPr>
                <w:rFonts w:ascii="宋体" w:hAnsi="宋体" w:cs="宋体" w:eastAsia="宋体"/>
                <w:color w:val="000000"/>
                <w:sz w:val="24"/>
              </w:rPr>
              <w:t>≤5 秒</w:t>
            </w:r>
          </w:p>
          <w:p>
            <w:pPr>
              <w:pStyle w:val="null3"/>
              <w:numPr>
                <w:ilvl w:val="0"/>
                <w:numId w:val="4"/>
              </w:numPr>
              <w:jc w:val="both"/>
            </w:pPr>
            <w:r>
              <w:rPr>
                <w:rFonts w:ascii="宋体" w:hAnsi="宋体" w:cs="宋体" w:eastAsia="宋体"/>
                <w:color w:val="000000"/>
                <w:sz w:val="24"/>
              </w:rPr>
              <w:t>峰值响应时间：</w:t>
            </w:r>
            <w:r>
              <w:rPr>
                <w:rFonts w:ascii="宋体" w:hAnsi="宋体" w:cs="宋体" w:eastAsia="宋体"/>
                <w:color w:val="000000"/>
                <w:sz w:val="24"/>
              </w:rPr>
              <w:t>≤10 秒</w:t>
            </w:r>
          </w:p>
          <w:p>
            <w:pPr>
              <w:pStyle w:val="null3"/>
              <w:ind w:firstLine="480"/>
              <w:jc w:val="both"/>
            </w:pPr>
            <w:r>
              <w:rPr>
                <w:rFonts w:ascii="宋体" w:hAnsi="宋体" w:cs="宋体" w:eastAsia="宋体"/>
                <w:color w:val="000000"/>
                <w:sz w:val="24"/>
              </w:rPr>
              <w:t>2、查询类业务</w:t>
            </w:r>
          </w:p>
          <w:p>
            <w:pPr>
              <w:pStyle w:val="null3"/>
              <w:ind w:firstLine="480"/>
              <w:jc w:val="both"/>
            </w:pPr>
            <w:r>
              <w:rPr>
                <w:rFonts w:ascii="宋体" w:hAnsi="宋体" w:cs="宋体" w:eastAsia="宋体"/>
                <w:color w:val="000000"/>
                <w:sz w:val="24"/>
              </w:rPr>
              <w:t>查询业务由于受到查询的复杂程度、查询的数据量大小等因素的影响，需要根据具体情况而定，在此给出一个参考范围。</w:t>
            </w:r>
          </w:p>
          <w:p>
            <w:pPr>
              <w:pStyle w:val="null3"/>
              <w:numPr>
                <w:ilvl w:val="0"/>
                <w:numId w:val="4"/>
              </w:numPr>
              <w:jc w:val="both"/>
            </w:pPr>
            <w:r>
              <w:rPr>
                <w:rFonts w:ascii="宋体" w:hAnsi="宋体" w:cs="宋体" w:eastAsia="宋体"/>
                <w:color w:val="000000"/>
                <w:sz w:val="24"/>
              </w:rPr>
              <w:t>简单查询平均响应时间：</w:t>
            </w:r>
            <w:r>
              <w:rPr>
                <w:rFonts w:ascii="宋体" w:hAnsi="宋体" w:cs="宋体" w:eastAsia="宋体"/>
                <w:color w:val="000000"/>
                <w:sz w:val="24"/>
              </w:rPr>
              <w:t>≤1 秒</w:t>
            </w:r>
          </w:p>
          <w:p>
            <w:pPr>
              <w:pStyle w:val="null3"/>
              <w:numPr>
                <w:ilvl w:val="0"/>
                <w:numId w:val="4"/>
              </w:numPr>
              <w:jc w:val="both"/>
            </w:pPr>
            <w:r>
              <w:rPr>
                <w:rFonts w:ascii="宋体" w:hAnsi="宋体" w:cs="宋体" w:eastAsia="宋体"/>
                <w:color w:val="000000"/>
                <w:sz w:val="24"/>
              </w:rPr>
              <w:t>复杂查询平均响应时间：</w:t>
            </w:r>
            <w:r>
              <w:rPr>
                <w:rFonts w:ascii="宋体" w:hAnsi="宋体" w:cs="宋体" w:eastAsia="宋体"/>
                <w:color w:val="000000"/>
                <w:sz w:val="24"/>
              </w:rPr>
              <w:t>≤3 秒</w:t>
            </w:r>
          </w:p>
          <w:p>
            <w:pPr>
              <w:pStyle w:val="null3"/>
              <w:ind w:firstLine="480"/>
              <w:jc w:val="both"/>
            </w:pPr>
            <w:r>
              <w:rPr>
                <w:rFonts w:ascii="宋体" w:hAnsi="宋体" w:cs="宋体" w:eastAsia="宋体"/>
                <w:color w:val="000000"/>
                <w:sz w:val="24"/>
              </w:rPr>
              <w:t>3、交易接口服务（数据交换）</w:t>
            </w:r>
          </w:p>
          <w:p>
            <w:pPr>
              <w:pStyle w:val="null3"/>
              <w:numPr>
                <w:ilvl w:val="0"/>
                <w:numId w:val="4"/>
              </w:numPr>
              <w:jc w:val="both"/>
            </w:pPr>
            <w:r>
              <w:rPr>
                <w:rFonts w:ascii="宋体" w:hAnsi="宋体" w:cs="宋体" w:eastAsia="宋体"/>
                <w:color w:val="000000"/>
                <w:sz w:val="24"/>
              </w:rPr>
              <w:t>单条记录交易接口平均响应时间：</w:t>
            </w:r>
            <w:r>
              <w:rPr>
                <w:rFonts w:ascii="宋体" w:hAnsi="宋体" w:cs="宋体" w:eastAsia="宋体"/>
                <w:color w:val="000000"/>
                <w:sz w:val="24"/>
              </w:rPr>
              <w:t>≤1 秒</w:t>
            </w:r>
          </w:p>
          <w:p>
            <w:pPr>
              <w:pStyle w:val="null3"/>
              <w:numPr>
                <w:ilvl w:val="0"/>
                <w:numId w:val="4"/>
              </w:numPr>
              <w:jc w:val="both"/>
            </w:pPr>
            <w:r>
              <w:rPr>
                <w:rFonts w:ascii="宋体" w:hAnsi="宋体" w:cs="宋体" w:eastAsia="宋体"/>
                <w:color w:val="000000"/>
                <w:sz w:val="24"/>
              </w:rPr>
              <w:t>多条记录（</w:t>
            </w:r>
            <w:r>
              <w:rPr>
                <w:rFonts w:ascii="宋体" w:hAnsi="宋体" w:cs="宋体" w:eastAsia="宋体"/>
                <w:color w:val="000000"/>
                <w:sz w:val="24"/>
              </w:rPr>
              <w:t>100条）交易接口平均响应时间：≤3 秒</w:t>
            </w:r>
          </w:p>
          <w:p>
            <w:pPr>
              <w:pStyle w:val="null3"/>
              <w:ind w:firstLine="480"/>
              <w:jc w:val="both"/>
            </w:pPr>
            <w:r>
              <w:rPr>
                <w:rFonts w:ascii="宋体" w:hAnsi="宋体" w:cs="宋体" w:eastAsia="宋体"/>
                <w:color w:val="000000"/>
                <w:sz w:val="24"/>
              </w:rPr>
              <w:t>4、大数据量、批处理业务</w:t>
            </w:r>
          </w:p>
          <w:p>
            <w:pPr>
              <w:pStyle w:val="null3"/>
              <w:ind w:firstLine="480"/>
              <w:jc w:val="both"/>
            </w:pPr>
            <w:r>
              <w:rPr>
                <w:rFonts w:ascii="宋体" w:hAnsi="宋体" w:cs="宋体" w:eastAsia="宋体"/>
                <w:color w:val="000000"/>
                <w:sz w:val="24"/>
              </w:rPr>
              <w:t>批量交易指一次完成多笔业务处理的交易，如批量扣缴等。由于批量交易的数据量不确定，需要根据具体的情况确定响应时间，如会计核算等业务处理。该类业务具有处理复杂、操作数据量大、处理时间长的特点，具体的响应时间视提交数据量、业务处理量而定。</w:t>
            </w:r>
          </w:p>
          <w:p>
            <w:pPr>
              <w:pStyle w:val="null3"/>
              <w:jc w:val="both"/>
            </w:pPr>
            <w:r>
              <w:rPr>
                <w:rFonts w:ascii="宋体" w:hAnsi="宋体" w:cs="宋体" w:eastAsia="宋体"/>
                <w:b/>
                <w:sz w:val="24"/>
              </w:rPr>
              <w:t>4.技术文档要求</w:t>
            </w:r>
          </w:p>
          <w:p>
            <w:pPr>
              <w:pStyle w:val="null3"/>
              <w:ind w:firstLine="480"/>
              <w:jc w:val="left"/>
            </w:pPr>
            <w:r>
              <w:rPr>
                <w:rFonts w:ascii="宋体" w:hAnsi="宋体" w:cs="宋体" w:eastAsia="宋体"/>
                <w:color w:val="000000"/>
                <w:sz w:val="24"/>
              </w:rPr>
              <w:t>投标人应在投标文件中列出交付相关文档，包括需求文档、设计规划文档、软件开发文档和实施文档，尽可能详细在文档清单中列出，此项为评标和项目验收重要内容。</w:t>
            </w:r>
          </w:p>
          <w:p>
            <w:pPr>
              <w:pStyle w:val="null3"/>
              <w:jc w:val="both"/>
            </w:pPr>
            <w:r>
              <w:rPr>
                <w:rFonts w:ascii="宋体" w:hAnsi="宋体" w:cs="宋体" w:eastAsia="宋体"/>
                <w:b/>
                <w:sz w:val="24"/>
              </w:rPr>
              <w:t>5.培训服务要求</w:t>
            </w:r>
          </w:p>
          <w:p>
            <w:pPr>
              <w:pStyle w:val="null3"/>
              <w:ind w:firstLine="480"/>
              <w:jc w:val="left"/>
            </w:pPr>
            <w:r>
              <w:rPr>
                <w:rFonts w:ascii="宋体" w:hAnsi="宋体" w:cs="宋体" w:eastAsia="宋体"/>
                <w:color w:val="000000"/>
                <w:sz w:val="24"/>
              </w:rPr>
              <w:t>系统上线前、模块升级前，中标商负责对招标方相关人员提供系统操作、配置、应用使用等方面培训，培训次数不少于</w:t>
            </w:r>
            <w:r>
              <w:rPr>
                <w:rFonts w:ascii="宋体" w:hAnsi="宋体" w:cs="宋体" w:eastAsia="宋体"/>
                <w:color w:val="000000"/>
                <w:sz w:val="24"/>
              </w:rPr>
              <w:t>2次。</w:t>
            </w:r>
          </w:p>
          <w:p>
            <w:pPr>
              <w:pStyle w:val="null3"/>
              <w:jc w:val="both"/>
            </w:pPr>
            <w:r>
              <w:rPr>
                <w:rFonts w:ascii="宋体" w:hAnsi="宋体" w:cs="宋体" w:eastAsia="宋体"/>
                <w:b/>
                <w:sz w:val="24"/>
              </w:rPr>
              <w:t>6.项目管理要求</w:t>
            </w:r>
          </w:p>
          <w:p>
            <w:pPr>
              <w:pStyle w:val="null3"/>
              <w:ind w:firstLine="480"/>
              <w:jc w:val="left"/>
            </w:pPr>
            <w:r>
              <w:rPr>
                <w:rFonts w:ascii="宋体" w:hAnsi="宋体" w:cs="宋体" w:eastAsia="宋体"/>
                <w:color w:val="000000"/>
                <w:sz w:val="24"/>
              </w:rPr>
              <w:t>1、投标人应在IT项目管理知识体系的指导下，根据本次项目的实际情况，结合以往类似项目的管理和实施经验，通过科学、先进、规范、严密、扎实的项目管理和质量控制，保证高效、优质完成建设任务。</w:t>
            </w:r>
          </w:p>
          <w:p>
            <w:pPr>
              <w:pStyle w:val="null3"/>
              <w:ind w:firstLine="480"/>
              <w:jc w:val="left"/>
            </w:pPr>
            <w:r>
              <w:rPr>
                <w:rFonts w:ascii="宋体" w:hAnsi="宋体" w:cs="宋体" w:eastAsia="宋体"/>
                <w:color w:val="000000"/>
                <w:sz w:val="24"/>
              </w:rPr>
              <w:t>2、投标人应在响应文件中详细提出项目进度计划表满足用户的工期要求。投标人一旦中标，必须保证工期要求和工程质量，因投标人所造成的任何项目质量、进度滞后的后果，须由投标人承担违约责任。招标人可视违约情况对中标人进行处罚。</w:t>
            </w:r>
          </w:p>
          <w:p>
            <w:pPr>
              <w:pStyle w:val="null3"/>
              <w:ind w:firstLine="480"/>
              <w:jc w:val="left"/>
            </w:pPr>
            <w:r>
              <w:rPr>
                <w:rFonts w:ascii="宋体" w:hAnsi="宋体" w:cs="宋体" w:eastAsia="宋体"/>
                <w:color w:val="000000"/>
                <w:sz w:val="24"/>
              </w:rPr>
              <w:t>3、投标人应在竞争技术相应文件中详细提出项目进度计划表，最终的计划进度表。</w:t>
            </w:r>
          </w:p>
          <w:p>
            <w:pPr>
              <w:pStyle w:val="null3"/>
              <w:ind w:firstLine="480"/>
              <w:jc w:val="left"/>
            </w:pPr>
            <w:r>
              <w:rPr>
                <w:rFonts w:ascii="宋体" w:hAnsi="宋体" w:cs="宋体" w:eastAsia="宋体"/>
                <w:color w:val="000000"/>
                <w:sz w:val="24"/>
              </w:rPr>
              <w:t>4、投标人必须在投标文件中详细说明项目管理组织机构（包括：机构设置、主要人员构成、职责、关系）、确保整个项目组高效、负责开展各项工作。必须按照软件质量管理和质量保证体系，提出具体措施，确保应用软件开发质量。</w:t>
            </w:r>
          </w:p>
          <w:p>
            <w:pPr>
              <w:pStyle w:val="null3"/>
              <w:ind w:firstLine="480"/>
              <w:jc w:val="left"/>
            </w:pPr>
            <w:r>
              <w:rPr>
                <w:rFonts w:ascii="宋体" w:hAnsi="宋体" w:cs="宋体" w:eastAsia="宋体"/>
                <w:color w:val="000000"/>
                <w:sz w:val="24"/>
              </w:rPr>
              <w:t>5、投标人应充分认识到项目风险管理的重要性，在投标文件中必须识别分析项目中的各类风险因素，并采取相应的对策。</w:t>
            </w:r>
          </w:p>
          <w:p>
            <w:pPr>
              <w:pStyle w:val="null3"/>
              <w:jc w:val="both"/>
            </w:pPr>
            <w:r>
              <w:rPr>
                <w:rFonts w:ascii="宋体" w:hAnsi="宋体" w:cs="宋体" w:eastAsia="宋体"/>
                <w:b/>
                <w:sz w:val="24"/>
              </w:rPr>
              <w:t>7.知识产权要求</w:t>
            </w:r>
          </w:p>
          <w:p>
            <w:pPr>
              <w:pStyle w:val="null3"/>
              <w:ind w:firstLine="480"/>
              <w:jc w:val="left"/>
            </w:pPr>
            <w:r>
              <w:rPr>
                <w:rFonts w:ascii="宋体" w:hAnsi="宋体" w:cs="宋体" w:eastAsia="宋体"/>
                <w:color w:val="000000"/>
                <w:sz w:val="24"/>
              </w:rPr>
              <w:t>本项目有关知识产权双方共有，陕西省人力资源和社和保障厅、经办机构、参保企业、以及参保个人办理社会保障业务涉及到本项目中的知识产权时，未经招标人允许中标人不得额外收取费用。</w:t>
            </w:r>
          </w:p>
          <w:p>
            <w:pPr>
              <w:pStyle w:val="null3"/>
              <w:ind w:firstLine="480"/>
              <w:jc w:val="left"/>
            </w:pPr>
            <w:r>
              <w:rPr>
                <w:rFonts w:ascii="宋体" w:hAnsi="宋体" w:cs="宋体" w:eastAsia="宋体"/>
                <w:color w:val="000000"/>
                <w:sz w:val="24"/>
              </w:rPr>
              <w:t>本项目应用软件开发产生的源代码归双方共有，包括应用开发代码、数据字典、产生的文档，软件发布安装包等，投标人应在系统验收时一并提交。</w:t>
            </w:r>
          </w:p>
          <w:p>
            <w:pPr>
              <w:pStyle w:val="null3"/>
              <w:jc w:val="both"/>
            </w:pPr>
            <w:r>
              <w:rPr>
                <w:rFonts w:ascii="宋体" w:hAnsi="宋体" w:cs="宋体" w:eastAsia="宋体"/>
                <w:b/>
                <w:sz w:val="24"/>
              </w:rPr>
              <w:t>8.售后服务要求</w:t>
            </w:r>
          </w:p>
          <w:p>
            <w:pPr>
              <w:pStyle w:val="null3"/>
              <w:ind w:firstLine="480"/>
              <w:jc w:val="left"/>
            </w:pPr>
            <w:r>
              <w:rPr>
                <w:rFonts w:ascii="宋体" w:hAnsi="宋体" w:cs="宋体" w:eastAsia="宋体"/>
                <w:color w:val="000000"/>
                <w:sz w:val="24"/>
              </w:rPr>
              <w:t>质保期限为</w:t>
            </w:r>
            <w:r>
              <w:rPr>
                <w:rFonts w:ascii="宋体" w:hAnsi="宋体" w:cs="宋体" w:eastAsia="宋体"/>
                <w:color w:val="000000"/>
                <w:sz w:val="24"/>
              </w:rPr>
              <w:t>1年，自系统上线运转正常并验收合格，双方签订正式的《项目验收确认单》起算。</w:t>
            </w:r>
          </w:p>
          <w:p>
            <w:pPr>
              <w:pStyle w:val="null3"/>
              <w:ind w:firstLine="480"/>
              <w:jc w:val="left"/>
            </w:pPr>
            <w:r>
              <w:rPr>
                <w:rFonts w:ascii="宋体" w:hAnsi="宋体" w:cs="宋体" w:eastAsia="宋体"/>
                <w:color w:val="000000"/>
                <w:sz w:val="24"/>
              </w:rPr>
              <w:t>中标商需向招标方提供</w:t>
            </w:r>
            <w:r>
              <w:rPr>
                <w:rFonts w:ascii="宋体" w:hAnsi="宋体" w:cs="宋体" w:eastAsia="宋体"/>
                <w:color w:val="000000"/>
                <w:sz w:val="24"/>
              </w:rPr>
              <w:t>7×24值守的热线联系电话，对于招标方的服务请求，中标商必须在2小时内做出响应，对于短期不能解决的问题，中标商必须与用户约定，确保在约定时间内解决问题。</w:t>
            </w:r>
          </w:p>
          <w:p>
            <w:pPr>
              <w:pStyle w:val="null3"/>
              <w:jc w:val="both"/>
            </w:pPr>
            <w:r>
              <w:rPr>
                <w:rFonts w:ascii="宋体" w:hAnsi="宋体" w:cs="宋体" w:eastAsia="宋体"/>
                <w:b/>
                <w:sz w:val="24"/>
              </w:rPr>
              <w:t>9.试运行要求</w:t>
            </w:r>
          </w:p>
          <w:p>
            <w:pPr>
              <w:pStyle w:val="null3"/>
              <w:ind w:firstLine="480"/>
              <w:jc w:val="left"/>
            </w:pPr>
            <w:r>
              <w:rPr>
                <w:rFonts w:ascii="宋体" w:hAnsi="宋体" w:cs="宋体" w:eastAsia="宋体"/>
                <w:color w:val="000000"/>
                <w:sz w:val="24"/>
              </w:rPr>
              <w:t>软件开发完成，通过用户测试、压力测试、安全评测后，进入试运行，试运行不少于</w:t>
            </w:r>
            <w:r>
              <w:rPr>
                <w:rFonts w:ascii="宋体" w:hAnsi="宋体" w:cs="宋体" w:eastAsia="宋体"/>
                <w:color w:val="000000"/>
                <w:sz w:val="24"/>
              </w:rPr>
              <w:t>3个月。</w:t>
            </w:r>
          </w:p>
          <w:p>
            <w:pPr>
              <w:pStyle w:val="null3"/>
              <w:jc w:val="both"/>
            </w:pPr>
            <w:r>
              <w:rPr>
                <w:rFonts w:ascii="宋体" w:hAnsi="宋体" w:cs="宋体" w:eastAsia="宋体"/>
                <w:b/>
                <w:sz w:val="24"/>
              </w:rPr>
              <w:t>10.系统测试要求</w:t>
            </w:r>
          </w:p>
          <w:p>
            <w:pPr>
              <w:pStyle w:val="null3"/>
              <w:ind w:firstLine="480"/>
              <w:jc w:val="left"/>
            </w:pPr>
            <w:r>
              <w:rPr>
                <w:rFonts w:ascii="宋体" w:hAnsi="宋体" w:cs="宋体" w:eastAsia="宋体"/>
                <w:color w:val="000000"/>
                <w:sz w:val="24"/>
              </w:rPr>
              <w:t>本系统上线前应进行用户测试、压力测试、代码审计、渗透测试等安全测试，并形成相关文档。</w:t>
            </w:r>
          </w:p>
          <w:p>
            <w:pPr>
              <w:pStyle w:val="null3"/>
              <w:jc w:val="both"/>
            </w:pPr>
            <w:r>
              <w:rPr>
                <w:rFonts w:ascii="宋体" w:hAnsi="宋体" w:cs="宋体" w:eastAsia="宋体"/>
                <w:b/>
                <w:sz w:val="24"/>
              </w:rPr>
              <w:t>11.系统实施要求</w:t>
            </w:r>
          </w:p>
          <w:p>
            <w:pPr>
              <w:pStyle w:val="null3"/>
              <w:ind w:firstLine="480"/>
              <w:jc w:val="left"/>
            </w:pPr>
            <w:r>
              <w:rPr>
                <w:rFonts w:ascii="宋体" w:hAnsi="宋体" w:cs="宋体" w:eastAsia="宋体"/>
                <w:color w:val="000000"/>
                <w:sz w:val="24"/>
              </w:rPr>
              <w:t>中标服务商应按照软件工程要求，将工程分为需求分析、系统设计、软件开发、系统测试、系统上线、系统运维等不同阶段，各阶段遵循软件工程相关要求。</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标的名称：560000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b/>
                <w:sz w:val="24"/>
              </w:rPr>
              <w:t>1.项目服务要求</w:t>
            </w:r>
            <w:r>
              <w:rPr>
                <w:rFonts w:ascii="宋体" w:hAnsi="宋体" w:cs="宋体" w:eastAsia="宋体"/>
                <w:b/>
                <w:sz w:val="24"/>
              </w:rPr>
              <w:t xml:space="preserve"> </w:t>
            </w:r>
          </w:p>
          <w:p>
            <w:pPr>
              <w:pStyle w:val="null3"/>
              <w:spacing w:before="120" w:after="120"/>
              <w:jc w:val="both"/>
            </w:pPr>
            <w:r>
              <w:rPr>
                <w:rFonts w:ascii="宋体" w:hAnsi="宋体" w:cs="宋体" w:eastAsia="宋体"/>
                <w:b/>
                <w:sz w:val="24"/>
              </w:rPr>
              <w:t>1.1项目总体要求</w:t>
            </w:r>
            <w:r>
              <w:rPr>
                <w:rFonts w:ascii="宋体" w:hAnsi="宋体" w:cs="宋体" w:eastAsia="宋体"/>
                <w:b/>
                <w:sz w:val="24"/>
              </w:rPr>
              <w:t xml:space="preserve"> </w:t>
            </w:r>
          </w:p>
          <w:p>
            <w:pPr>
              <w:pStyle w:val="null3"/>
            </w:pPr>
            <w:r>
              <w:rPr>
                <w:rFonts w:ascii="宋体" w:hAnsi="宋体" w:cs="宋体" w:eastAsia="宋体"/>
                <w:sz w:val="24"/>
              </w:rPr>
              <w:t>根据国家《信息安全等级保护管理办法》</w:t>
            </w:r>
            <w:r>
              <w:rPr>
                <w:rFonts w:ascii="宋体" w:hAnsi="宋体" w:cs="宋体" w:eastAsia="宋体"/>
                <w:sz w:val="24"/>
              </w:rPr>
              <w:t>(公通字[2007]43号)与《信息安全技术 网络安全等级保护基本要求》GB/T22239-2019要求，等级测评工作须覆盖安全物理环境、安全通信网络、安全区域边界、安全计算环境、安全管理中心、安全管理制度、安全管理机构、安全管理人员、安全建设管理、安全运维管理等方面的内容，并根据现场实际情况完成风险分析工作,最终为完善等级保护安全防护体系提供指导依据。</w:t>
            </w:r>
          </w:p>
          <w:p>
            <w:pPr>
              <w:pStyle w:val="null3"/>
            </w:pPr>
            <w:r>
              <w:rPr>
                <w:rFonts w:ascii="宋体" w:hAnsi="宋体" w:cs="宋体" w:eastAsia="宋体"/>
                <w:sz w:val="24"/>
              </w:rPr>
              <w:t>商用密码应用安全性评估的对象是采用密码技术、产品和服务集成建设的网络与信息系统，评估的</w:t>
            </w:r>
            <w:r>
              <w:rPr>
                <w:rFonts w:ascii="宋体" w:hAnsi="宋体" w:cs="宋体" w:eastAsia="宋体"/>
                <w:sz w:val="24"/>
              </w:rPr>
              <w:t>内容包括密码应用安全的三个方面：合规性、正确性和有效性。核查信息系统中使用的密码算法、密码技术、密码产品和密码服务是否满足国家密码管理的相关标准或规范要求。具体包括物理和环境安全测评、网络和通信安全测评、设备和计算安全测评、应用和数据安全测评，验证不同安全等级信息系统的密码应用是否达到相应安全等级的安全保护能力、是否满足相应安全等级的保护要求。</w:t>
            </w:r>
          </w:p>
          <w:p>
            <w:pPr>
              <w:pStyle w:val="null3"/>
            </w:pPr>
            <w:r>
              <w:rPr>
                <w:rFonts w:ascii="宋体" w:hAnsi="宋体" w:cs="宋体" w:eastAsia="宋体"/>
                <w:sz w:val="24"/>
              </w:rPr>
              <w:t>商用密码应用安全性评估项目</w:t>
            </w:r>
            <w:r>
              <w:rPr>
                <w:rFonts w:ascii="宋体" w:hAnsi="宋体" w:cs="宋体" w:eastAsia="宋体"/>
                <w:sz w:val="24"/>
              </w:rPr>
              <w:t>4</w:t>
            </w:r>
            <w:r>
              <w:rPr>
                <w:rFonts w:ascii="宋体" w:hAnsi="宋体" w:cs="宋体" w:eastAsia="宋体"/>
                <w:sz w:val="24"/>
              </w:rPr>
              <w:t>个：陕西省企业职工养老保险系统、城乡居民养老保险系统、陕西省</w:t>
            </w:r>
            <w:r>
              <w:rPr>
                <w:rFonts w:ascii="宋体" w:hAnsi="宋体" w:cs="宋体" w:eastAsia="宋体"/>
                <w:sz w:val="24"/>
              </w:rPr>
              <w:t>失业</w:t>
            </w:r>
            <w:r>
              <w:rPr>
                <w:rFonts w:ascii="宋体" w:hAnsi="宋体" w:cs="宋体" w:eastAsia="宋体"/>
                <w:sz w:val="24"/>
              </w:rPr>
              <w:t>保险系统和人社税务共享平台。</w:t>
            </w:r>
          </w:p>
          <w:p>
            <w:pPr>
              <w:pStyle w:val="null3"/>
            </w:pPr>
            <w:r>
              <w:rPr>
                <w:rFonts w:ascii="宋体" w:hAnsi="宋体" w:cs="宋体" w:eastAsia="宋体"/>
                <w:sz w:val="24"/>
              </w:rPr>
              <w:t>等级测评系统</w:t>
            </w:r>
            <w:r>
              <w:rPr>
                <w:rFonts w:ascii="宋体" w:hAnsi="宋体" w:cs="宋体" w:eastAsia="宋体"/>
                <w:sz w:val="24"/>
              </w:rPr>
              <w:t>1个</w:t>
            </w:r>
            <w:r>
              <w:rPr>
                <w:rFonts w:ascii="宋体" w:hAnsi="宋体" w:cs="宋体" w:eastAsia="宋体"/>
                <w:sz w:val="24"/>
              </w:rPr>
              <w:t>：</w:t>
            </w:r>
            <w:r>
              <w:rPr>
                <w:rFonts w:ascii="宋体" w:hAnsi="宋体" w:cs="宋体" w:eastAsia="宋体"/>
                <w:sz w:val="24"/>
              </w:rPr>
              <w:t>人社税务共享平台</w:t>
            </w:r>
            <w:r>
              <w:rPr>
                <w:rFonts w:ascii="宋体" w:hAnsi="宋体" w:cs="宋体" w:eastAsia="宋体"/>
                <w:sz w:val="24"/>
              </w:rPr>
              <w:t>。</w:t>
            </w:r>
          </w:p>
          <w:p>
            <w:pPr>
              <w:pStyle w:val="null3"/>
              <w:numPr>
                <w:ilvl w:val="0"/>
                <w:numId w:val="3"/>
              </w:numPr>
            </w:pPr>
            <w:r>
              <w:rPr/>
              <w:t>1.2</w:t>
            </w:r>
            <w:r>
              <w:rPr>
                <w:rFonts w:ascii="宋体" w:hAnsi="宋体" w:cs="宋体" w:eastAsia="宋体"/>
                <w:b/>
                <w:sz w:val="24"/>
              </w:rPr>
              <w:t>项目管理要求</w:t>
            </w:r>
            <w:r>
              <w:rPr>
                <w:rFonts w:ascii="宋体" w:hAnsi="宋体" w:cs="宋体" w:eastAsia="宋体"/>
                <w:b/>
                <w:sz w:val="24"/>
              </w:rPr>
              <w:t xml:space="preserve"> </w:t>
            </w:r>
          </w:p>
          <w:p>
            <w:pPr>
              <w:pStyle w:val="null3"/>
              <w:ind w:firstLine="480"/>
              <w:jc w:val="both"/>
            </w:pPr>
            <w:r>
              <w:rPr>
                <w:rFonts w:ascii="宋体" w:hAnsi="宋体" w:cs="宋体" w:eastAsia="宋体"/>
                <w:sz w:val="24"/>
              </w:rPr>
              <w:t>为保证改项目的实施质量，在项目的实施过程中需要遵守陕西省人力资源</w:t>
            </w:r>
            <w:r>
              <w:rPr>
                <w:rFonts w:ascii="宋体" w:hAnsi="宋体" w:cs="宋体" w:eastAsia="宋体"/>
                <w:sz w:val="24"/>
              </w:rPr>
              <w:t>和社会保障厅</w:t>
            </w:r>
            <w:r>
              <w:rPr>
                <w:rFonts w:ascii="宋体" w:hAnsi="宋体" w:cs="宋体" w:eastAsia="宋体"/>
                <w:sz w:val="24"/>
              </w:rPr>
              <w:t>对项目的相关制度和现场管理要求，同时供应商具有良好的项目管理能力和项目保障能力，以保证测评工作的客观、公正、安全。另外供应商应针对本项目制定单独的项目管理方案，质量管理方案内项目质量管理应完备，项目质量保障措施应科学、可行、完善，项目管理与风险应控制合理。</w:t>
            </w:r>
          </w:p>
          <w:p>
            <w:pPr>
              <w:pStyle w:val="null3"/>
              <w:numPr>
                <w:ilvl w:val="0"/>
                <w:numId w:val="3"/>
              </w:numPr>
            </w:pPr>
            <w:r>
              <w:rPr/>
              <w:t>1.3</w:t>
            </w:r>
            <w:r>
              <w:rPr>
                <w:rFonts w:ascii="宋体" w:hAnsi="宋体" w:cs="宋体" w:eastAsia="宋体"/>
                <w:b/>
                <w:sz w:val="24"/>
              </w:rPr>
              <w:t>服务人员要求</w:t>
            </w:r>
            <w:r>
              <w:rPr>
                <w:rFonts w:ascii="宋体" w:hAnsi="宋体" w:cs="宋体" w:eastAsia="宋体"/>
                <w:b/>
                <w:sz w:val="24"/>
              </w:rPr>
              <w:t xml:space="preserve"> </w:t>
            </w:r>
          </w:p>
          <w:p>
            <w:pPr>
              <w:pStyle w:val="null3"/>
              <w:ind w:firstLine="480"/>
              <w:jc w:val="both"/>
            </w:pPr>
            <w:r>
              <w:rPr>
                <w:rFonts w:ascii="宋体" w:hAnsi="宋体" w:cs="宋体" w:eastAsia="宋体"/>
                <w:sz w:val="24"/>
              </w:rPr>
              <w:t>为保证本项目测评工作质量及进度要求，等级保护测评项目组要求至少配备</w:t>
            </w:r>
            <w:r>
              <w:rPr>
                <w:rFonts w:ascii="宋体" w:hAnsi="宋体" w:cs="宋体" w:eastAsia="宋体"/>
                <w:sz w:val="24"/>
              </w:rPr>
              <w:t>8名测评人员。项目经理要求至少为高级测评师，在本行业从事5年及以上，具备丰富的项目实施经验和技术能力；项目组成员至少1名高级测评师在本行业从事2年及以上，3名中级测评师在本行业从事2年及以上，项目组成员应具有网络安全等级保护测评师证书，可具有CISP证书、信息系统项目管理师证书、检验检测机构认可内审员证书等。</w:t>
            </w:r>
          </w:p>
          <w:p>
            <w:pPr>
              <w:pStyle w:val="null3"/>
              <w:ind w:firstLine="480"/>
              <w:jc w:val="both"/>
            </w:pPr>
            <w:r>
              <w:rPr>
                <w:rFonts w:ascii="宋体" w:hAnsi="宋体" w:cs="宋体" w:eastAsia="宋体"/>
                <w:sz w:val="24"/>
              </w:rPr>
              <w:t>密码测评项目组要求密码测评人员不少于</w:t>
            </w:r>
            <w:r>
              <w:rPr>
                <w:rFonts w:ascii="宋体" w:hAnsi="宋体" w:cs="宋体" w:eastAsia="宋体"/>
                <w:sz w:val="24"/>
              </w:rPr>
              <w:t>5人，项目负责人与项目组成员要求具备“商用密码应用安全性评估人员测评能力考核合格证书”，可具有CISP证书、信息系统项目管理师证书、检验检测机构认可内审员证书等。</w:t>
            </w:r>
          </w:p>
          <w:p>
            <w:pPr>
              <w:pStyle w:val="null3"/>
              <w:numPr>
                <w:ilvl w:val="0"/>
                <w:numId w:val="3"/>
              </w:numPr>
            </w:pPr>
            <w:r>
              <w:rPr/>
              <w:t>1.4</w:t>
            </w:r>
            <w:r>
              <w:rPr>
                <w:rFonts w:ascii="宋体" w:hAnsi="宋体" w:cs="宋体" w:eastAsia="宋体"/>
                <w:b/>
                <w:sz w:val="24"/>
              </w:rPr>
              <w:t>项目保密要求</w:t>
            </w:r>
            <w:r>
              <w:rPr>
                <w:rFonts w:ascii="宋体" w:hAnsi="宋体" w:cs="宋体" w:eastAsia="宋体"/>
                <w:b/>
                <w:sz w:val="24"/>
              </w:rPr>
              <w:t xml:space="preserve"> </w:t>
            </w:r>
          </w:p>
          <w:p>
            <w:pPr>
              <w:pStyle w:val="null3"/>
              <w:ind w:firstLine="480"/>
              <w:jc w:val="both"/>
            </w:pPr>
            <w:r>
              <w:rPr>
                <w:rFonts w:ascii="宋体" w:hAnsi="宋体" w:cs="宋体" w:eastAsia="宋体"/>
                <w:sz w:val="24"/>
              </w:rPr>
              <w:t>1.服务商应严格遵守采购单位有关保密规定，不得泄漏陕西省人力资源</w:t>
            </w:r>
            <w:r>
              <w:rPr>
                <w:rFonts w:ascii="宋体" w:hAnsi="宋体" w:cs="宋体" w:eastAsia="宋体"/>
                <w:sz w:val="24"/>
              </w:rPr>
              <w:t>和社会保障厅</w:t>
            </w:r>
            <w:r>
              <w:rPr>
                <w:rFonts w:ascii="宋体" w:hAnsi="宋体" w:cs="宋体" w:eastAsia="宋体"/>
                <w:sz w:val="24"/>
              </w:rPr>
              <w:t>相关系统的一切敏感信息。</w:t>
            </w:r>
          </w:p>
          <w:p>
            <w:pPr>
              <w:pStyle w:val="null3"/>
              <w:ind w:firstLine="480"/>
              <w:jc w:val="both"/>
            </w:pPr>
            <w:r>
              <w:rPr>
                <w:rFonts w:ascii="宋体" w:hAnsi="宋体" w:cs="宋体" w:eastAsia="宋体"/>
                <w:sz w:val="24"/>
              </w:rPr>
              <w:t>2.服务商要对项目进行深入细致调研，并结合实际对测评方案进行完善。在测评过程中，供应商需保证工具测试过程中不影响系统正常运行，并保证网络拓扑、IP地址等敏感信息不被泄露。</w:t>
            </w:r>
          </w:p>
          <w:p>
            <w:pPr>
              <w:pStyle w:val="null3"/>
              <w:ind w:firstLine="480"/>
              <w:jc w:val="both"/>
            </w:pPr>
            <w:r>
              <w:rPr>
                <w:rFonts w:ascii="宋体" w:hAnsi="宋体" w:cs="宋体" w:eastAsia="宋体"/>
                <w:sz w:val="24"/>
              </w:rPr>
              <w:t>3.在技术服务期间，服务商对接触到的有关采购单位商业活动、技术情报和技术资料等文件进行保密。</w:t>
            </w:r>
          </w:p>
          <w:p>
            <w:pPr>
              <w:pStyle w:val="null3"/>
              <w:numPr>
                <w:ilvl w:val="0"/>
                <w:numId w:val="3"/>
              </w:numPr>
            </w:pPr>
            <w:r>
              <w:rPr/>
              <w:t>1.5</w:t>
            </w:r>
            <w:r>
              <w:rPr>
                <w:rFonts w:ascii="宋体" w:hAnsi="宋体" w:cs="宋体" w:eastAsia="宋体"/>
                <w:b/>
                <w:sz w:val="24"/>
              </w:rPr>
              <w:t>服务形式要求</w:t>
            </w:r>
            <w:r>
              <w:rPr>
                <w:rFonts w:ascii="宋体" w:hAnsi="宋体" w:cs="宋体" w:eastAsia="宋体"/>
                <w:b/>
                <w:sz w:val="24"/>
              </w:rPr>
              <w:t xml:space="preserve"> </w:t>
            </w:r>
          </w:p>
          <w:p>
            <w:pPr>
              <w:pStyle w:val="null3"/>
              <w:ind w:firstLine="480"/>
              <w:jc w:val="both"/>
            </w:pPr>
            <w:r>
              <w:rPr>
                <w:rFonts w:ascii="宋体" w:hAnsi="宋体" w:cs="宋体" w:eastAsia="宋体"/>
                <w:sz w:val="24"/>
              </w:rPr>
              <w:t>根据项目招标要求，在甲方指定地点进行现场测评工作，并在规定时间内出具《网络安全等级保护测评报告》（每系统一份）和《商用密码应用安全性评估报告》（每系统一份）</w:t>
            </w:r>
          </w:p>
          <w:p>
            <w:pPr>
              <w:pStyle w:val="null3"/>
              <w:numPr>
                <w:ilvl w:val="0"/>
                <w:numId w:val="3"/>
              </w:numPr>
            </w:pPr>
            <w:r>
              <w:rPr/>
              <w:t>1.6</w:t>
            </w:r>
            <w:r>
              <w:rPr>
                <w:rFonts w:ascii="宋体" w:hAnsi="宋体" w:cs="宋体" w:eastAsia="宋体"/>
                <w:b/>
                <w:sz w:val="24"/>
              </w:rPr>
              <w:t>服务质量要求</w:t>
            </w:r>
            <w:r>
              <w:rPr>
                <w:rFonts w:ascii="宋体" w:hAnsi="宋体" w:cs="宋体" w:eastAsia="宋体"/>
                <w:b/>
                <w:sz w:val="24"/>
              </w:rPr>
              <w:t xml:space="preserve"> </w:t>
            </w:r>
          </w:p>
          <w:p>
            <w:pPr>
              <w:pStyle w:val="null3"/>
              <w:ind w:firstLine="480"/>
              <w:jc w:val="both"/>
            </w:pPr>
            <w:r>
              <w:rPr>
                <w:rFonts w:ascii="宋体" w:hAnsi="宋体" w:cs="宋体" w:eastAsia="宋体"/>
                <w:sz w:val="24"/>
              </w:rPr>
              <w:t>测评机构应能根据质量体系要求建立科学的质量保证体系，从人员配备、工具保障以及科学的测评方法论、工作过程等多方面保证项目实施过程的质量。通过</w:t>
            </w:r>
            <w:r>
              <w:rPr>
                <w:rFonts w:ascii="宋体" w:hAnsi="宋体" w:cs="宋体" w:eastAsia="宋体"/>
                <w:sz w:val="24"/>
              </w:rPr>
              <w:t>“项目调研-计划编制-方案编制-现场测评-编制测评报告”几个环节严格执行，并在重要环节进行文档评审，保证报告结论准确性。</w:t>
            </w:r>
          </w:p>
          <w:p>
            <w:pPr>
              <w:pStyle w:val="null3"/>
            </w:pPr>
            <w:r>
              <w:rPr>
                <w:rFonts w:ascii="宋体" w:hAnsi="宋体" w:cs="宋体" w:eastAsia="宋体"/>
                <w:b/>
                <w:sz w:val="24"/>
              </w:rPr>
              <w:t>2.项目技术需求</w:t>
            </w:r>
            <w:r>
              <w:rPr>
                <w:rFonts w:ascii="宋体" w:hAnsi="宋体" w:cs="宋体" w:eastAsia="宋体"/>
                <w:b/>
                <w:sz w:val="24"/>
              </w:rPr>
              <w:t xml:space="preserve"> </w:t>
            </w:r>
          </w:p>
          <w:p>
            <w:pPr>
              <w:pStyle w:val="null3"/>
              <w:spacing w:before="120" w:after="120"/>
              <w:jc w:val="both"/>
            </w:pPr>
            <w:r>
              <w:rPr>
                <w:rFonts w:ascii="宋体" w:hAnsi="宋体" w:cs="宋体" w:eastAsia="宋体"/>
                <w:b/>
                <w:sz w:val="24"/>
              </w:rPr>
              <w:t>2.1等级保护测评服务</w:t>
            </w:r>
          </w:p>
          <w:p>
            <w:pPr>
              <w:pStyle w:val="null3"/>
              <w:spacing w:before="120" w:after="120"/>
              <w:jc w:val="both"/>
            </w:pPr>
            <w:r>
              <w:rPr>
                <w:rFonts w:ascii="宋体" w:hAnsi="宋体" w:cs="宋体" w:eastAsia="宋体"/>
                <w:b/>
                <w:sz w:val="24"/>
              </w:rPr>
              <w:t>2.1.1等级保护测评技术要求</w:t>
            </w:r>
          </w:p>
          <w:p>
            <w:pPr>
              <w:pStyle w:val="null3"/>
              <w:spacing w:before="120"/>
              <w:ind w:firstLine="480"/>
              <w:jc w:val="both"/>
            </w:pPr>
            <w:r>
              <w:rPr>
                <w:rFonts w:ascii="宋体" w:hAnsi="宋体" w:cs="宋体" w:eastAsia="宋体"/>
                <w:sz w:val="24"/>
              </w:rPr>
              <w:t>按照国家相关要求，从</w:t>
            </w:r>
            <w:r>
              <w:rPr>
                <w:rFonts w:ascii="宋体" w:hAnsi="宋体" w:cs="宋体" w:eastAsia="宋体"/>
                <w:sz w:val="24"/>
              </w:rPr>
              <w:t>“定级-备案-等级测评-安全建设整改-配合监督检查”5个环节配合采购单位做好等级保护工作。其中针对等级测评工作过程，依据《信息安全技术 网络安全等级保护基本要求》（GB/T 22239-2019）、《信息安全技术 网络安全等级保护测评要求》（GB/T 28448-2019）和《信息安全技术 网络安全等级保护测评过程指南》（GB/T 28449-2018）等国家关于信息系统安全等级保护的相关标准和规范要求，要求参选人严格按照下列流程开展工作：</w:t>
            </w:r>
          </w:p>
          <w:p>
            <w:pPr>
              <w:pStyle w:val="null3"/>
              <w:ind w:firstLine="480"/>
              <w:jc w:val="both"/>
            </w:pPr>
            <w:r>
              <w:rPr>
                <w:rFonts w:ascii="宋体" w:hAnsi="宋体" w:cs="宋体" w:eastAsia="宋体"/>
                <w:sz w:val="24"/>
              </w:rPr>
              <w:t>测评准备阶段：</w:t>
            </w:r>
            <w:r>
              <w:rPr>
                <w:rFonts w:ascii="宋体" w:hAnsi="宋体" w:cs="宋体" w:eastAsia="宋体"/>
                <w:sz w:val="24"/>
              </w:rPr>
              <w:t>是开展等级测评工作的前提和基础，是整个等级测评过程有效性的保证。测评准备工作是否充分直接关系到后续工作能否顺利开展。本活动的主要任务是掌握被测系统的详细情况，准备测试工具，为编制测评方案做好准备。</w:t>
            </w:r>
          </w:p>
          <w:p>
            <w:pPr>
              <w:pStyle w:val="null3"/>
              <w:ind w:firstLine="480"/>
              <w:jc w:val="both"/>
            </w:pPr>
            <w:r>
              <w:rPr>
                <w:rFonts w:ascii="宋体" w:hAnsi="宋体" w:cs="宋体" w:eastAsia="宋体"/>
                <w:sz w:val="24"/>
              </w:rPr>
              <w:t>方案编制阶段：</w:t>
            </w:r>
            <w:r>
              <w:rPr>
                <w:rFonts w:ascii="宋体" w:hAnsi="宋体" w:cs="宋体" w:eastAsia="宋体"/>
                <w:sz w:val="24"/>
              </w:rPr>
              <w:t>是开展等级测评工作的关键活动，为现场测评提供最基本的文档和指导方案。本活动的主要任务是确定与被测信息系统相适应的测评对象、测评指标及测评内容等，并根据需要重用或开发测评指导书，形成测评方案。</w:t>
            </w:r>
          </w:p>
          <w:p>
            <w:pPr>
              <w:pStyle w:val="null3"/>
              <w:ind w:firstLine="480"/>
              <w:jc w:val="both"/>
            </w:pPr>
            <w:r>
              <w:rPr>
                <w:rFonts w:ascii="宋体" w:hAnsi="宋体" w:cs="宋体" w:eastAsia="宋体"/>
                <w:sz w:val="24"/>
              </w:rPr>
              <w:t>现场测评阶段：</w:t>
            </w:r>
            <w:r>
              <w:rPr>
                <w:rFonts w:ascii="宋体" w:hAnsi="宋体" w:cs="宋体" w:eastAsia="宋体"/>
                <w:sz w:val="24"/>
              </w:rPr>
              <w:t>是开展等级测评工作的核心活动。本活动的主要任务是按照测评方案的总体要求，严格按照测评指导书执行，分步实施所有测评项目，以了解系统的真实保护情况，获取足够证据，发现系统存在的安全问题。</w:t>
            </w:r>
          </w:p>
          <w:p>
            <w:pPr>
              <w:pStyle w:val="null3"/>
              <w:ind w:firstLine="480"/>
              <w:jc w:val="both"/>
            </w:pPr>
            <w:r>
              <w:rPr>
                <w:rFonts w:ascii="宋体" w:hAnsi="宋体" w:cs="宋体" w:eastAsia="宋体"/>
                <w:sz w:val="24"/>
              </w:rPr>
              <w:t>分析与报告编制阶段：是给出等级测评工作结果的活动，是总结被测系统整体安全保护能力的综合评价活动。本活动的主要任务是根据现场测评结果和《信息安全技术</w:t>
            </w:r>
            <w:r>
              <w:rPr>
                <w:rFonts w:ascii="宋体" w:hAnsi="宋体" w:cs="宋体" w:eastAsia="宋体"/>
                <w:sz w:val="24"/>
              </w:rPr>
              <w:t>网络安全等级保护实施指南》的有关要求，通过单项测评结果判定、单元测评结果判定、整体测评和风险分析等方法，找出整个系统的安全保护现状与相应等级的保护要求之间的差距，并分析这些差距导致被测系统面临的风险，从而给出等级测评结论，形成《</w:t>
            </w:r>
            <w:r>
              <w:rPr>
                <w:rFonts w:ascii="宋体" w:hAnsi="宋体" w:cs="宋体" w:eastAsia="宋体"/>
                <w:sz w:val="24"/>
              </w:rPr>
              <w:t>XXX系统网络安全等级保护测评报告》。</w:t>
            </w:r>
          </w:p>
          <w:p>
            <w:pPr>
              <w:pStyle w:val="null3"/>
              <w:ind w:firstLine="480"/>
              <w:jc w:val="both"/>
            </w:pPr>
            <w:r>
              <w:rPr>
                <w:rFonts w:ascii="宋体" w:hAnsi="宋体" w:cs="宋体" w:eastAsia="宋体"/>
                <w:sz w:val="24"/>
              </w:rPr>
              <w:t>建设整改咨询阶段：建设整改咨询工作以等级测评发现的安全问题为工作重点，以及测评报告中安全建设整改建议；将信息系统的安全建设整改需求落实到可操作的安全技术和管理上，提出能够实现的技术参数或制度及其具体规范。并依据测评报告中安全建设整改建议开展建设整改工作时，投标人将提供建设整改过程中的与建设整改相关的咨询服</w:t>
            </w:r>
            <w:r>
              <w:rPr>
                <w:rFonts w:ascii="宋体" w:hAnsi="宋体" w:cs="宋体" w:eastAsia="宋体"/>
                <w:sz w:val="24"/>
              </w:rPr>
              <w:t>务。</w:t>
            </w:r>
          </w:p>
          <w:p>
            <w:pPr>
              <w:pStyle w:val="null3"/>
              <w:numPr>
                <w:ilvl w:val="0"/>
                <w:numId w:val="3"/>
              </w:numPr>
            </w:pPr>
            <w:r>
              <w:rPr/>
              <w:t>2.1.2</w:t>
            </w:r>
            <w:r>
              <w:rPr>
                <w:rFonts w:ascii="宋体" w:hAnsi="宋体" w:cs="宋体" w:eastAsia="宋体"/>
                <w:b/>
                <w:sz w:val="24"/>
              </w:rPr>
              <w:t>等级保护测评工作指标</w:t>
            </w:r>
          </w:p>
          <w:p>
            <w:pPr>
              <w:pStyle w:val="null3"/>
              <w:spacing w:before="120"/>
              <w:ind w:right="-195" w:firstLine="482"/>
              <w:jc w:val="both"/>
            </w:pPr>
            <w:r>
              <w:rPr>
                <w:rFonts w:ascii="宋体" w:hAnsi="宋体" w:cs="宋体" w:eastAsia="宋体"/>
                <w:b/>
                <w:sz w:val="24"/>
              </w:rPr>
              <w:t>本项目第三级等级保护测评要求通用指标</w:t>
            </w:r>
          </w:p>
          <w:p>
            <w:pPr>
              <w:pStyle w:val="null3"/>
              <w:jc w:val="center"/>
            </w:pPr>
            <w:r>
              <w:rPr>
                <w:rFonts w:ascii="宋体" w:hAnsi="宋体" w:cs="宋体" w:eastAsia="宋体"/>
                <w:sz w:val="24"/>
              </w:rPr>
              <w:t>表1：等级保护测评第三级指标表</w:t>
            </w:r>
          </w:p>
          <w:tbl>
            <w:tblPr>
              <w:tblBorders>
                <w:top w:val="none" w:color="000000" w:sz="4"/>
                <w:left w:val="none" w:color="000000" w:sz="4"/>
                <w:bottom w:val="none" w:color="000000" w:sz="4"/>
                <w:right w:val="none" w:color="000000" w:sz="4"/>
                <w:insideH w:val="none"/>
                <w:insideV w:val="none"/>
              </w:tblBorders>
            </w:tblPr>
            <w:tblGrid>
              <w:gridCol w:w="280"/>
              <w:gridCol w:w="806"/>
              <w:gridCol w:w="236"/>
              <w:gridCol w:w="242"/>
              <w:gridCol w:w="246"/>
              <w:gridCol w:w="275"/>
              <w:gridCol w:w="469"/>
            </w:tblGrid>
            <w:tr>
              <w:tc>
                <w:tcPr>
                  <w:tcW w:type="dxa" w:w="2554"/>
                  <w:gridSpan w:val="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宋体" w:hAnsi="宋体" w:cs="宋体" w:eastAsia="宋体"/>
                      <w:b/>
                      <w:color w:val="000000"/>
                      <w:sz w:val="24"/>
                    </w:rPr>
                    <w:t>测评指标</w:t>
                  </w:r>
                </w:p>
              </w:tc>
            </w:tr>
            <w:tr>
              <w:tc>
                <w:tcPr>
                  <w:tcW w:type="dxa" w:w="280"/>
                  <w:vMerge w:val="restart"/>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宋体" w:hAnsi="宋体" w:cs="宋体" w:eastAsia="宋体"/>
                      <w:b/>
                      <w:color w:val="000000"/>
                      <w:sz w:val="24"/>
                    </w:rPr>
                    <w:t>技术管理</w:t>
                  </w:r>
                </w:p>
              </w:tc>
              <w:tc>
                <w:tcPr>
                  <w:tcW w:type="dxa" w:w="806"/>
                  <w:vMerge w:val="restart"/>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宋体" w:hAnsi="宋体" w:cs="宋体" w:eastAsia="宋体"/>
                      <w:b/>
                      <w:color w:val="000000"/>
                      <w:sz w:val="24"/>
                    </w:rPr>
                    <w:t>安全类</w:t>
                  </w:r>
                </w:p>
              </w:tc>
              <w:tc>
                <w:tcPr>
                  <w:tcW w:type="dxa" w:w="999"/>
                  <w:gridSpan w:val="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宋体" w:hAnsi="宋体" w:cs="宋体" w:eastAsia="宋体"/>
                      <w:b/>
                      <w:color w:val="000000"/>
                      <w:sz w:val="24"/>
                    </w:rPr>
                    <w:t>安全控制点数量</w:t>
                  </w:r>
                </w:p>
              </w:tc>
              <w:tc>
                <w:tcPr>
                  <w:tcW w:type="dxa" w:w="469"/>
                  <w:vMerge w:val="restart"/>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宋体" w:hAnsi="宋体" w:cs="宋体" w:eastAsia="宋体"/>
                      <w:b/>
                      <w:color w:val="000000"/>
                      <w:sz w:val="24"/>
                    </w:rPr>
                    <w:t>测评项数量</w:t>
                  </w:r>
                </w:p>
              </w:tc>
            </w:tr>
            <w:tr>
              <w:tc>
                <w:tcPr>
                  <w:tcW w:type="dxa" w:w="280"/>
                  <w:vMerge/>
                  <w:tcBorders>
                    <w:top w:val="none" w:color="000000" w:sz="4"/>
                    <w:left w:val="single" w:color="000000" w:sz="4"/>
                    <w:bottom w:val="single" w:color="000000" w:sz="4"/>
                    <w:right w:val="single" w:color="000000" w:sz="4"/>
                  </w:tcBorders>
                </w:tcPr>
                <w:p/>
              </w:tc>
              <w:tc>
                <w:tcPr>
                  <w:tcW w:type="dxa" w:w="806"/>
                  <w:vMerge/>
                  <w:tcBorders>
                    <w:top w:val="single" w:color="000000" w:sz="4"/>
                    <w:left w:val="none" w:color="000000" w:sz="4"/>
                    <w:bottom w:val="single" w:color="000000" w:sz="4"/>
                    <w:right w:val="single" w:color="000000" w:sz="4"/>
                  </w:tcBorders>
                </w:tcPr>
                <w:p/>
              </w:tc>
              <w:tc>
                <w:tcPr>
                  <w:tcW w:type="dxa" w:w="236"/>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宋体" w:hAnsi="宋体" w:cs="宋体" w:eastAsia="宋体"/>
                      <w:b/>
                      <w:color w:val="000000"/>
                      <w:sz w:val="24"/>
                    </w:rPr>
                    <w:t>S</w:t>
                  </w:r>
                </w:p>
              </w:tc>
              <w:tc>
                <w:tcPr>
                  <w:tcW w:type="dxa" w:w="242"/>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宋体" w:hAnsi="宋体" w:cs="宋体" w:eastAsia="宋体"/>
                      <w:b/>
                      <w:color w:val="000000"/>
                      <w:sz w:val="24"/>
                    </w:rPr>
                    <w:t>A</w:t>
                  </w:r>
                </w:p>
              </w:tc>
              <w:tc>
                <w:tcPr>
                  <w:tcW w:type="dxa" w:w="246"/>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宋体" w:hAnsi="宋体" w:cs="宋体" w:eastAsia="宋体"/>
                      <w:b/>
                      <w:color w:val="000000"/>
                      <w:sz w:val="24"/>
                    </w:rPr>
                    <w:t>G</w:t>
                  </w:r>
                </w:p>
              </w:tc>
              <w:tc>
                <w:tcPr>
                  <w:tcW w:type="dxa" w:w="275"/>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宋体" w:hAnsi="宋体" w:cs="宋体" w:eastAsia="宋体"/>
                      <w:b/>
                      <w:color w:val="000000"/>
                      <w:sz w:val="24"/>
                    </w:rPr>
                    <w:t>小计</w:t>
                  </w:r>
                </w:p>
              </w:tc>
              <w:tc>
                <w:tcPr>
                  <w:tcW w:type="dxa" w:w="469"/>
                  <w:vMerge/>
                  <w:tcBorders>
                    <w:top w:val="single" w:color="000000" w:sz="4"/>
                    <w:left w:val="none" w:color="000000" w:sz="4"/>
                    <w:bottom w:val="single" w:color="000000" w:sz="4"/>
                    <w:right w:val="single" w:color="000000" w:sz="4"/>
                  </w:tcBorders>
                </w:tcPr>
                <w:p/>
              </w:tc>
            </w:tr>
            <w:tr>
              <w:tc>
                <w:tcPr>
                  <w:tcW w:type="dxa" w:w="2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安全技术要求</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安全物理环境</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22</w:t>
                  </w:r>
                </w:p>
              </w:tc>
            </w:tr>
            <w:tr>
              <w:tc>
                <w:tcPr>
                  <w:tcW w:type="dxa" w:w="280"/>
                  <w:vMerge/>
                  <w:tcBorders>
                    <w:top w:val="none" w:color="000000" w:sz="4"/>
                    <w:left w:val="single" w:color="000000" w:sz="4"/>
                    <w:bottom w:val="single" w:color="000000" w:sz="4"/>
                    <w:right w:val="single" w:color="000000" w:sz="4"/>
                  </w:tcBorders>
                </w:tcP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安全通信网络</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r>
            <w:tr>
              <w:tc>
                <w:tcPr>
                  <w:tcW w:type="dxa" w:w="280"/>
                  <w:vMerge/>
                  <w:tcBorders>
                    <w:top w:val="none" w:color="000000" w:sz="4"/>
                    <w:left w:val="single" w:color="000000" w:sz="4"/>
                    <w:bottom w:val="single" w:color="000000" w:sz="4"/>
                    <w:right w:val="single" w:color="000000" w:sz="4"/>
                  </w:tcBorders>
                </w:tcP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安全区域边界</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20</w:t>
                  </w:r>
                </w:p>
              </w:tc>
            </w:tr>
            <w:tr>
              <w:tc>
                <w:tcPr>
                  <w:tcW w:type="dxa" w:w="280"/>
                  <w:vMerge/>
                  <w:tcBorders>
                    <w:top w:val="none" w:color="000000" w:sz="4"/>
                    <w:left w:val="single" w:color="000000" w:sz="4"/>
                    <w:bottom w:val="single" w:color="000000" w:sz="4"/>
                    <w:right w:val="single" w:color="000000" w:sz="4"/>
                  </w:tcBorders>
                </w:tcP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安全计算环境</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34</w:t>
                  </w:r>
                </w:p>
              </w:tc>
            </w:tr>
            <w:tr>
              <w:tc>
                <w:tcPr>
                  <w:tcW w:type="dxa" w:w="280"/>
                  <w:vMerge/>
                  <w:tcBorders>
                    <w:top w:val="none" w:color="000000" w:sz="4"/>
                    <w:left w:val="single" w:color="000000" w:sz="4"/>
                    <w:bottom w:val="single" w:color="000000" w:sz="4"/>
                    <w:right w:val="single" w:color="000000" w:sz="4"/>
                  </w:tcBorders>
                </w:tcP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安全管理中心</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w:t>
                  </w:r>
                </w:p>
              </w:tc>
            </w:tr>
            <w:tr>
              <w:tc>
                <w:tcPr>
                  <w:tcW w:type="dxa" w:w="2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安全管理要求</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安全管理制度</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w:t>
                  </w:r>
                </w:p>
              </w:tc>
            </w:tr>
            <w:tr>
              <w:tc>
                <w:tcPr>
                  <w:tcW w:type="dxa" w:w="280"/>
                  <w:vMerge/>
                  <w:tcBorders>
                    <w:top w:val="none" w:color="000000" w:sz="4"/>
                    <w:left w:val="single" w:color="000000" w:sz="4"/>
                    <w:bottom w:val="single" w:color="000000" w:sz="4"/>
                    <w:right w:val="single" w:color="000000" w:sz="4"/>
                  </w:tcBorders>
                </w:tcP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安全管理机构</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14</w:t>
                  </w:r>
                </w:p>
              </w:tc>
            </w:tr>
            <w:tr>
              <w:tc>
                <w:tcPr>
                  <w:tcW w:type="dxa" w:w="280"/>
                  <w:vMerge/>
                  <w:tcBorders>
                    <w:top w:val="none" w:color="000000" w:sz="4"/>
                    <w:left w:val="single" w:color="000000" w:sz="4"/>
                    <w:bottom w:val="single" w:color="000000" w:sz="4"/>
                    <w:right w:val="single" w:color="000000" w:sz="4"/>
                  </w:tcBorders>
                </w:tcP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安全管理人员</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w:t>
                  </w:r>
                </w:p>
              </w:tc>
            </w:tr>
            <w:tr>
              <w:tc>
                <w:tcPr>
                  <w:tcW w:type="dxa" w:w="280"/>
                  <w:vMerge/>
                  <w:tcBorders>
                    <w:top w:val="none" w:color="000000" w:sz="4"/>
                    <w:left w:val="single" w:color="000000" w:sz="4"/>
                    <w:bottom w:val="single" w:color="000000" w:sz="4"/>
                    <w:right w:val="single" w:color="000000" w:sz="4"/>
                  </w:tcBorders>
                </w:tcP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安全建设管理</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34</w:t>
                  </w:r>
                </w:p>
              </w:tc>
            </w:tr>
            <w:tr>
              <w:tc>
                <w:tcPr>
                  <w:tcW w:type="dxa" w:w="280"/>
                  <w:vMerge/>
                  <w:tcBorders>
                    <w:top w:val="none" w:color="000000" w:sz="4"/>
                    <w:left w:val="single" w:color="000000" w:sz="4"/>
                    <w:bottom w:val="single" w:color="000000" w:sz="4"/>
                    <w:right w:val="single" w:color="000000" w:sz="4"/>
                  </w:tcBorders>
                </w:tcP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安全运维管理</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14</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48</w:t>
                  </w:r>
                </w:p>
              </w:tc>
            </w:tr>
            <w:tr>
              <w:tc>
                <w:tcPr>
                  <w:tcW w:type="dxa" w:w="181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71</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211</w:t>
                  </w:r>
                </w:p>
              </w:tc>
            </w:tr>
          </w:tbl>
          <w:p>
            <w:pPr>
              <w:pStyle w:val="null3"/>
              <w:jc w:val="center"/>
            </w:pPr>
            <w:r>
              <w:rPr>
                <w:rFonts w:ascii="宋体" w:hAnsi="宋体" w:cs="宋体" w:eastAsia="宋体"/>
                <w:sz w:val="24"/>
              </w:rPr>
              <w:t>表2：</w:t>
            </w:r>
            <w:r>
              <w:rPr>
                <w:rFonts w:ascii="宋体" w:hAnsi="宋体" w:cs="宋体" w:eastAsia="宋体"/>
                <w:sz w:val="24"/>
              </w:rPr>
              <w:t>等级保护测评第三级指标列表</w:t>
            </w:r>
          </w:p>
          <w:tbl>
            <w:tblPr>
              <w:tblBorders>
                <w:top w:val="none" w:color="000000" w:sz="4"/>
                <w:left w:val="none" w:color="000000" w:sz="4"/>
                <w:bottom w:val="none" w:color="000000" w:sz="4"/>
                <w:right w:val="none" w:color="000000" w:sz="4"/>
                <w:insideH w:val="none"/>
                <w:insideV w:val="none"/>
              </w:tblBorders>
            </w:tblPr>
            <w:tblGrid>
              <w:gridCol w:w="1027"/>
              <w:gridCol w:w="1526"/>
            </w:tblGrid>
            <w:tr>
              <w:tc>
                <w:tcPr>
                  <w:tcW w:type="dxa" w:w="102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宋体" w:hAnsi="宋体" w:cs="宋体" w:eastAsia="宋体"/>
                      <w:b/>
                      <w:sz w:val="24"/>
                    </w:rPr>
                    <w:t>安全类</w:t>
                  </w:r>
                </w:p>
              </w:tc>
              <w:tc>
                <w:tcPr>
                  <w:tcW w:type="dxa" w:w="1526"/>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宋体" w:hAnsi="宋体" w:cs="宋体" w:eastAsia="宋体"/>
                      <w:b/>
                      <w:sz w:val="24"/>
                    </w:rPr>
                    <w:t>安全控制点</w:t>
                  </w:r>
                </w:p>
              </w:tc>
            </w:tr>
            <w:tr>
              <w:tc>
                <w:tcPr>
                  <w:tcW w:type="dxa" w:w="10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安全物理环境</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物理位置的选择（</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物理访问控制（</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防盗窃和防破坏（</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防雷击（</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防火（</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防水和防潮（</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防静电（</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温湿度控制（</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电力供应（</w:t>
                  </w:r>
                  <w:r>
                    <w:rPr>
                      <w:rFonts w:ascii="宋体" w:hAnsi="宋体" w:cs="宋体" w:eastAsia="宋体"/>
                      <w:color w:val="000000"/>
                      <w:sz w:val="24"/>
                    </w:rPr>
                    <w:t>A3）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电磁防护（</w:t>
                  </w:r>
                  <w:r>
                    <w:rPr>
                      <w:rFonts w:ascii="宋体" w:hAnsi="宋体" w:cs="宋体" w:eastAsia="宋体"/>
                      <w:color w:val="000000"/>
                      <w:sz w:val="24"/>
                    </w:rPr>
                    <w:t>S3）</w:t>
                  </w:r>
                </w:p>
              </w:tc>
            </w:tr>
            <w:tr>
              <w:tc>
                <w:tcPr>
                  <w:tcW w:type="dxa" w:w="10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安全通信网络</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网络架构（</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通信传输（</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可信验证（</w:t>
                  </w:r>
                  <w:r>
                    <w:rPr>
                      <w:rFonts w:ascii="宋体" w:hAnsi="宋体" w:cs="宋体" w:eastAsia="宋体"/>
                      <w:color w:val="000000"/>
                      <w:sz w:val="24"/>
                    </w:rPr>
                    <w:t>S3）</w:t>
                  </w:r>
                </w:p>
              </w:tc>
            </w:tr>
            <w:tr>
              <w:tc>
                <w:tcPr>
                  <w:tcW w:type="dxa" w:w="10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安全区域边界</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边界防护（</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访问控制（</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入侵防范（</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可信验证（</w:t>
                  </w:r>
                  <w:r>
                    <w:rPr>
                      <w:rFonts w:ascii="宋体" w:hAnsi="宋体" w:cs="宋体" w:eastAsia="宋体"/>
                      <w:color w:val="000000"/>
                      <w:sz w:val="24"/>
                    </w:rPr>
                    <w:t>S3）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恶意代码防范（</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安全审计（</w:t>
                  </w:r>
                  <w:r>
                    <w:rPr>
                      <w:rFonts w:ascii="宋体" w:hAnsi="宋体" w:cs="宋体" w:eastAsia="宋体"/>
                      <w:color w:val="000000"/>
                      <w:sz w:val="24"/>
                    </w:rPr>
                    <w:t>G3）</w:t>
                  </w:r>
                </w:p>
              </w:tc>
            </w:tr>
            <w:tr>
              <w:tc>
                <w:tcPr>
                  <w:tcW w:type="dxa" w:w="10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安全计算环境</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身份鉴别（</w:t>
                  </w:r>
                  <w:r>
                    <w:rPr>
                      <w:rFonts w:ascii="宋体" w:hAnsi="宋体" w:cs="宋体" w:eastAsia="宋体"/>
                      <w:color w:val="000000"/>
                      <w:sz w:val="24"/>
                    </w:rPr>
                    <w:t>S3）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访问控制（</w:t>
                  </w:r>
                  <w:r>
                    <w:rPr>
                      <w:rFonts w:ascii="宋体" w:hAnsi="宋体" w:cs="宋体" w:eastAsia="宋体"/>
                      <w:color w:val="000000"/>
                      <w:sz w:val="24"/>
                    </w:rPr>
                    <w:t>S3）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安全审计（</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可信验证（</w:t>
                  </w:r>
                  <w:r>
                    <w:rPr>
                      <w:rFonts w:ascii="宋体" w:hAnsi="宋体" w:cs="宋体" w:eastAsia="宋体"/>
                      <w:color w:val="000000"/>
                      <w:sz w:val="24"/>
                    </w:rPr>
                    <w:t>S3）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入侵防范（</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恶意代码防范（</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数据完整性（</w:t>
                  </w:r>
                  <w:r>
                    <w:rPr>
                      <w:rFonts w:ascii="宋体" w:hAnsi="宋体" w:cs="宋体" w:eastAsia="宋体"/>
                      <w:color w:val="000000"/>
                      <w:sz w:val="24"/>
                    </w:rPr>
                    <w:t>S3）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数据保密性（</w:t>
                  </w:r>
                  <w:r>
                    <w:rPr>
                      <w:rFonts w:ascii="宋体" w:hAnsi="宋体" w:cs="宋体" w:eastAsia="宋体"/>
                      <w:color w:val="000000"/>
                      <w:sz w:val="24"/>
                    </w:rPr>
                    <w:t>S3）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数据备份恢复（</w:t>
                  </w:r>
                  <w:r>
                    <w:rPr>
                      <w:rFonts w:ascii="宋体" w:hAnsi="宋体" w:cs="宋体" w:eastAsia="宋体"/>
                      <w:color w:val="000000"/>
                      <w:sz w:val="24"/>
                    </w:rPr>
                    <w:t>A3）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剩余信息保护（</w:t>
                  </w:r>
                  <w:r>
                    <w:rPr>
                      <w:rFonts w:ascii="宋体" w:hAnsi="宋体" w:cs="宋体" w:eastAsia="宋体"/>
                      <w:color w:val="000000"/>
                      <w:sz w:val="24"/>
                    </w:rPr>
                    <w:t>S3）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个人信息保护（</w:t>
                  </w:r>
                  <w:r>
                    <w:rPr>
                      <w:rFonts w:ascii="宋体" w:hAnsi="宋体" w:cs="宋体" w:eastAsia="宋体"/>
                      <w:color w:val="000000"/>
                      <w:sz w:val="24"/>
                    </w:rPr>
                    <w:t>S3）</w:t>
                  </w:r>
                </w:p>
              </w:tc>
            </w:tr>
            <w:tr>
              <w:tc>
                <w:tcPr>
                  <w:tcW w:type="dxa" w:w="10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安全管理中心</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系统管理（</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审计管理（</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安全管理（</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集中管控（</w:t>
                  </w:r>
                  <w:r>
                    <w:rPr>
                      <w:rFonts w:ascii="宋体" w:hAnsi="宋体" w:cs="宋体" w:eastAsia="宋体"/>
                      <w:color w:val="000000"/>
                      <w:sz w:val="24"/>
                    </w:rPr>
                    <w:t>G3）</w:t>
                  </w:r>
                </w:p>
              </w:tc>
            </w:tr>
            <w:tr>
              <w:tc>
                <w:tcPr>
                  <w:tcW w:type="dxa" w:w="10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安全管理制度</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安全策略（</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管理制度（</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制定和发布（</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评审和修订（</w:t>
                  </w:r>
                  <w:r>
                    <w:rPr>
                      <w:rFonts w:ascii="宋体" w:hAnsi="宋体" w:cs="宋体" w:eastAsia="宋体"/>
                      <w:color w:val="000000"/>
                      <w:sz w:val="24"/>
                    </w:rPr>
                    <w:t>G3）</w:t>
                  </w:r>
                </w:p>
              </w:tc>
            </w:tr>
            <w:tr>
              <w:tc>
                <w:tcPr>
                  <w:tcW w:type="dxa" w:w="10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安全管理机构</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岗位设置（</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人员配备（</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授权和审批（</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沟通和合作（</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审核和检查（</w:t>
                  </w:r>
                  <w:r>
                    <w:rPr>
                      <w:rFonts w:ascii="宋体" w:hAnsi="宋体" w:cs="宋体" w:eastAsia="宋体"/>
                      <w:color w:val="000000"/>
                      <w:sz w:val="24"/>
                    </w:rPr>
                    <w:t>G3）</w:t>
                  </w:r>
                </w:p>
              </w:tc>
            </w:tr>
            <w:tr>
              <w:tc>
                <w:tcPr>
                  <w:tcW w:type="dxa" w:w="10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安全管理人员</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人员录用（</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人员离岗（</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安全意识教育和培训（</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外部人员访问管理（</w:t>
                  </w:r>
                  <w:r>
                    <w:rPr>
                      <w:rFonts w:ascii="宋体" w:hAnsi="宋体" w:cs="宋体" w:eastAsia="宋体"/>
                      <w:color w:val="000000"/>
                      <w:sz w:val="24"/>
                    </w:rPr>
                    <w:t>G3）</w:t>
                  </w:r>
                </w:p>
              </w:tc>
            </w:tr>
            <w:tr>
              <w:tc>
                <w:tcPr>
                  <w:tcW w:type="dxa" w:w="10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安全建设管理</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定级和备案（</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安全方案设计（</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产品采购和使用（</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自行软件开发（</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外包软件开发（</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工程实施（</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测试验收（</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系统交付（</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等级测评（</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服务供应商管理（</w:t>
                  </w:r>
                  <w:r>
                    <w:rPr>
                      <w:rFonts w:ascii="宋体" w:hAnsi="宋体" w:cs="宋体" w:eastAsia="宋体"/>
                      <w:color w:val="000000"/>
                      <w:sz w:val="24"/>
                    </w:rPr>
                    <w:t>G3）</w:t>
                  </w:r>
                </w:p>
              </w:tc>
            </w:tr>
            <w:tr>
              <w:tc>
                <w:tcPr>
                  <w:tcW w:type="dxa" w:w="10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安全运维管理</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环境管理（</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资产管理（</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介质管理（</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设备维护管理（</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漏洞和风险管理（</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网络与系统安全管理（</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恶意代码防范管理（</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配置管理（</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密码管理（</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变更管理（</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备份与恢复管理（</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安全事件处置（</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应急预案管理（</w:t>
                  </w:r>
                  <w:r>
                    <w:rPr>
                      <w:rFonts w:ascii="宋体" w:hAnsi="宋体" w:cs="宋体" w:eastAsia="宋体"/>
                      <w:color w:val="000000"/>
                      <w:sz w:val="24"/>
                    </w:rPr>
                    <w:t>G3）</w:t>
                  </w:r>
                </w:p>
              </w:tc>
            </w:tr>
            <w:tr>
              <w:tc>
                <w:tcPr>
                  <w:tcW w:type="dxa" w:w="102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外包运维管理（</w:t>
                  </w:r>
                  <w:r>
                    <w:rPr>
                      <w:rFonts w:ascii="宋体" w:hAnsi="宋体" w:cs="宋体" w:eastAsia="宋体"/>
                      <w:color w:val="000000"/>
                      <w:sz w:val="24"/>
                    </w:rPr>
                    <w:t>G3）</w:t>
                  </w:r>
                </w:p>
              </w:tc>
            </w:tr>
          </w:tbl>
          <w:p>
            <w:pPr>
              <w:pStyle w:val="null3"/>
              <w:numPr>
                <w:ilvl w:val="1"/>
                <w:numId w:val="3"/>
              </w:numPr>
            </w:pPr>
            <w:r>
              <w:rPr/>
              <w:t>2.1.3</w:t>
            </w:r>
            <w:r>
              <w:rPr>
                <w:rFonts w:ascii="宋体" w:hAnsi="宋体" w:cs="宋体" w:eastAsia="宋体"/>
                <w:b/>
                <w:sz w:val="24"/>
              </w:rPr>
              <w:t>其他服务要求</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1）服务质量保证：测评机构应能根据质量体系要求建立科学的质量保证体系，从人员配备、工具保障以及科学的测评方法论、工作过程等多方面保证项目实施过程的质量。通过“项目调研-计划编制-方案编制-现场测评-编制测评报告”几个环节严格执行，并在重要环节进行文档评审，保证报告结论准确性。</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2）测评工具配备：要求测评过程使用专用测评设备，并配备国家权威机构认证的测评漏洞扫描工具，工具应具有相关采购证明材料。</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3）人员配备：为保证本项目测评工作质量及进度要求，项目组要求至少配备8名测评人员。项目经理要求至少为高级测评师，在本行业从事5年及以上，具备丰富的项目实施经验和技术能力；技术负责人要求至少为高级测评师（技术负责人和项目经理不能是同一人），其他项目组成员至少有3个为中级测评师。</w:t>
            </w:r>
          </w:p>
          <w:p>
            <w:pPr>
              <w:pStyle w:val="null3"/>
              <w:numPr>
                <w:ilvl w:val="0"/>
                <w:numId w:val="3"/>
              </w:numPr>
            </w:pPr>
            <w:r>
              <w:rPr/>
              <w:t>2.2</w:t>
            </w:r>
            <w:r>
              <w:rPr>
                <w:rFonts w:ascii="宋体" w:hAnsi="宋体" w:cs="宋体" w:eastAsia="宋体"/>
                <w:b/>
                <w:sz w:val="24"/>
              </w:rPr>
              <w:t>密码测评服务</w:t>
            </w:r>
          </w:p>
          <w:p>
            <w:pPr>
              <w:pStyle w:val="null3"/>
              <w:numPr>
                <w:ilvl w:val="0"/>
                <w:numId w:val="3"/>
              </w:numPr>
            </w:pPr>
            <w:r>
              <w:rPr/>
              <w:t>2.2.1</w:t>
            </w:r>
            <w:r>
              <w:rPr>
                <w:rFonts w:ascii="宋体" w:hAnsi="宋体" w:cs="宋体" w:eastAsia="宋体"/>
                <w:b/>
                <w:sz w:val="24"/>
              </w:rPr>
              <w:t>密码测评技术要求</w:t>
            </w:r>
            <w:r>
              <w:rPr>
                <w:rFonts w:ascii="宋体" w:hAnsi="宋体" w:cs="宋体" w:eastAsia="宋体"/>
                <w:b/>
                <w:sz w:val="24"/>
              </w:rPr>
              <w:t xml:space="preserve"> </w:t>
            </w:r>
          </w:p>
          <w:p>
            <w:pPr>
              <w:pStyle w:val="null3"/>
              <w:spacing w:before="120"/>
              <w:ind w:firstLine="480"/>
              <w:jc w:val="both"/>
            </w:pPr>
            <w:r>
              <w:rPr>
                <w:rFonts w:ascii="宋体" w:hAnsi="宋体" w:cs="宋体" w:eastAsia="宋体"/>
                <w:sz w:val="24"/>
              </w:rPr>
              <w:t>商用密码应用安全性评估工作依据《信息安全技术</w:t>
            </w:r>
            <w:r>
              <w:rPr>
                <w:rFonts w:ascii="宋体" w:hAnsi="宋体" w:cs="宋体" w:eastAsia="宋体"/>
                <w:sz w:val="24"/>
              </w:rPr>
              <w:t>信息系统密码应用基本要求》、《信息系统密码应用测评要求》、《信息系统密码应用测评过程指南》标准，工作过程分为四项基本测评活动：测评准备活动、方案编制活动、现场测评活动、分析与报告编制活动。测评双方之间的沟通与洽谈贯穿整个测评过程。</w:t>
            </w:r>
          </w:p>
          <w:p>
            <w:pPr>
              <w:pStyle w:val="null3"/>
              <w:ind w:firstLine="480"/>
              <w:jc w:val="both"/>
            </w:pPr>
            <w:r>
              <w:rPr>
                <w:rFonts w:ascii="宋体" w:hAnsi="宋体" w:cs="宋体" w:eastAsia="宋体"/>
                <w:sz w:val="24"/>
              </w:rPr>
              <w:t>测评准备活动：本活动是开展测评工作的前提和基础，本活动的主要任务是掌握被测系统的详细情况，准备测评工具，为编制测评方案做好准备。</w:t>
            </w:r>
          </w:p>
          <w:p>
            <w:pPr>
              <w:pStyle w:val="null3"/>
              <w:ind w:firstLine="480"/>
              <w:jc w:val="both"/>
            </w:pPr>
            <w:r>
              <w:rPr>
                <w:rFonts w:ascii="宋体" w:hAnsi="宋体" w:cs="宋体" w:eastAsia="宋体"/>
                <w:sz w:val="24"/>
              </w:rPr>
              <w:t>方案编制活动：本活动是开展测评工作的关键活动，本活动的主要任务是确定与被测系统相适应的测评对象、测评指标及测评内容等，形成测评方案，为实施现场测评提供依据。</w:t>
            </w:r>
          </w:p>
          <w:p>
            <w:pPr>
              <w:pStyle w:val="null3"/>
              <w:ind w:firstLine="480"/>
              <w:jc w:val="both"/>
            </w:pPr>
            <w:r>
              <w:rPr>
                <w:rFonts w:ascii="宋体" w:hAnsi="宋体" w:cs="宋体" w:eastAsia="宋体"/>
                <w:sz w:val="24"/>
              </w:rPr>
              <w:t>现场测评活动：本活动是开展测评工作的核心活动。主要任务是按照测评方案的总体要求，分步实施所有测评项目，包括单项测评、测评单元和整体测评等方面，以了解系统的真实保护情况，获取足够证据，发现系统存在的密码应用安全性问题。</w:t>
            </w:r>
          </w:p>
          <w:p>
            <w:pPr>
              <w:pStyle w:val="null3"/>
              <w:ind w:firstLine="480"/>
              <w:jc w:val="both"/>
            </w:pPr>
            <w:r>
              <w:rPr>
                <w:rFonts w:ascii="宋体" w:hAnsi="宋体" w:cs="宋体" w:eastAsia="宋体"/>
                <w:sz w:val="24"/>
              </w:rPr>
              <w:t>分析与报告编制活动：本活动是给出测评工作结果的活动，是总结被测系统商用密码整体安全保护能力的综合评价活动。本活动的主要任务是根据现场测评结果和《信息系统密码应用基本要求》等文件的有关要求，通过单项测评结果判定、测评单元结果判定、整体测评和风险分析等方法，找出整个系统商用密码的安全保护现状与相应等级的保护要求之间的差距，并分析这些差距导致被测系统面临的风险，从而给出测评结论，形成测评报告文本。</w:t>
            </w:r>
          </w:p>
          <w:p>
            <w:pPr>
              <w:pStyle w:val="null3"/>
              <w:ind w:firstLine="480"/>
              <w:jc w:val="both"/>
            </w:pPr>
            <w:r>
              <w:rPr>
                <w:rFonts w:ascii="宋体" w:hAnsi="宋体" w:cs="宋体" w:eastAsia="宋体"/>
                <w:sz w:val="24"/>
              </w:rPr>
              <w:t>整改咨询阶段：建设整改咨询工作以测评发现的问题为重点，编写信息系统密码测评整改建议；开展建设整改工作时，投标人提供建设整改相关的咨询服务。</w:t>
            </w:r>
          </w:p>
          <w:p>
            <w:pPr>
              <w:pStyle w:val="null3"/>
              <w:numPr>
                <w:ilvl w:val="1"/>
                <w:numId w:val="3"/>
              </w:numPr>
            </w:pPr>
            <w:r>
              <w:rPr/>
              <w:t>2.2.2</w:t>
            </w:r>
            <w:r>
              <w:rPr>
                <w:rFonts w:ascii="宋体" w:hAnsi="宋体" w:cs="宋体" w:eastAsia="宋体"/>
                <w:b/>
                <w:sz w:val="24"/>
              </w:rPr>
              <w:t>密评工作测评内容</w:t>
            </w:r>
          </w:p>
          <w:p>
            <w:pPr>
              <w:pStyle w:val="null3"/>
              <w:spacing w:before="120"/>
              <w:ind w:firstLine="480"/>
            </w:pPr>
            <w:r>
              <w:rPr>
                <w:rFonts w:ascii="宋体" w:hAnsi="宋体" w:cs="宋体" w:eastAsia="宋体"/>
                <w:sz w:val="24"/>
              </w:rPr>
              <w:t>密码测评内容应至少包括</w:t>
            </w:r>
            <w:r>
              <w:rPr>
                <w:rFonts w:ascii="宋体" w:hAnsi="宋体" w:cs="宋体" w:eastAsia="宋体"/>
                <w:sz w:val="24"/>
              </w:rPr>
              <w:t>GB/T 39786-2021《信息安全技术 信息系统密码应用基本要求》、GM/T 0115-2021《信息系统密码应用测评要求》、GM/T 0116-2021《信息系统密码应用测评过程指南》中关于三级系统的测评内容指标。</w:t>
            </w:r>
          </w:p>
          <w:p>
            <w:pPr>
              <w:pStyle w:val="null3"/>
              <w:spacing w:before="120"/>
              <w:ind w:firstLine="480"/>
            </w:pPr>
            <w:r>
              <w:rPr>
                <w:rFonts w:ascii="宋体" w:hAnsi="宋体" w:cs="宋体" w:eastAsia="宋体"/>
                <w:b/>
                <w:sz w:val="24"/>
              </w:rPr>
              <w:t>表3：第三级测评指标列表</w:t>
            </w:r>
          </w:p>
          <w:tbl>
            <w:tblPr>
              <w:tblBorders>
                <w:top w:val="none" w:color="000000" w:sz="4"/>
                <w:left w:val="none" w:color="000000" w:sz="4"/>
                <w:bottom w:val="none" w:color="000000" w:sz="4"/>
                <w:right w:val="none" w:color="000000" w:sz="4"/>
                <w:insideH w:val="none"/>
                <w:insideV w:val="none"/>
              </w:tblBorders>
            </w:tblPr>
            <w:tblGrid>
              <w:gridCol w:w="970"/>
              <w:gridCol w:w="1583"/>
            </w:tblGrid>
            <w:tr>
              <w:tc>
                <w:tcPr>
                  <w:tcW w:type="dxa" w:w="970"/>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bottom"/>
                </w:tcPr>
                <w:p>
                  <w:pPr>
                    <w:pStyle w:val="null3"/>
                    <w:jc w:val="center"/>
                  </w:pPr>
                  <w:r>
                    <w:rPr>
                      <w:rFonts w:ascii="宋体" w:hAnsi="宋体" w:cs="宋体" w:eastAsia="宋体"/>
                      <w:b/>
                      <w:color w:val="000000"/>
                      <w:sz w:val="24"/>
                    </w:rPr>
                    <w:t>安全类</w:t>
                  </w:r>
                </w:p>
              </w:tc>
              <w:tc>
                <w:tcPr>
                  <w:tcW w:type="dxa" w:w="1583"/>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bottom"/>
                </w:tcPr>
                <w:p>
                  <w:pPr>
                    <w:pStyle w:val="null3"/>
                    <w:jc w:val="center"/>
                  </w:pPr>
                  <w:r>
                    <w:rPr>
                      <w:rFonts w:ascii="宋体" w:hAnsi="宋体" w:cs="宋体" w:eastAsia="宋体"/>
                      <w:b/>
                      <w:color w:val="000000"/>
                      <w:sz w:val="24"/>
                    </w:rPr>
                    <w:t>测评点</w:t>
                  </w:r>
                </w:p>
              </w:tc>
            </w:tr>
            <w:tr>
              <w:tc>
                <w:tcPr>
                  <w:tcW w:type="dxa" w:w="9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通用测评要求</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密码算法合规性</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密码技术合规性</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密码产品合规性</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密码服务合规性</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密钥安全管理</w:t>
                  </w:r>
                </w:p>
              </w:tc>
            </w:tr>
            <w:tr>
              <w:tc>
                <w:tcPr>
                  <w:tcW w:type="dxa" w:w="9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物理和环境安全</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身份鉴别</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电子门禁记录数据完整性</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视频记录数据完整性</w:t>
                  </w:r>
                </w:p>
              </w:tc>
            </w:tr>
            <w:tr>
              <w:tc>
                <w:tcPr>
                  <w:tcW w:type="dxa" w:w="9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网络和通信安全</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身份鉴别</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通信数据完整性</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通信过程中重要数据的机密性</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网络边界访问控制信息的完整性</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安全接入认证</w:t>
                  </w:r>
                </w:p>
              </w:tc>
            </w:tr>
            <w:tr>
              <w:tc>
                <w:tcPr>
                  <w:tcW w:type="dxa" w:w="9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设备和计算安全</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身份鉴别</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远程管理通道安全</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系统资源访问控制信息完整性</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重要信息资源安全标记完整性</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日志记录完整性</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重要可执行程序完整性、重要可执行程序来源真实性</w:t>
                  </w:r>
                </w:p>
              </w:tc>
            </w:tr>
            <w:tr>
              <w:tc>
                <w:tcPr>
                  <w:tcW w:type="dxa" w:w="9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应用和数据安全</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身份鉴别</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访问控制信息的完整性</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重要信息资源安全标记完整性</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重要数据传输机密性</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重要数据存储机密性</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重要数据传输完整性</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重要数据存储完整性</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不可否认性</w:t>
                  </w:r>
                </w:p>
              </w:tc>
            </w:tr>
            <w:tr>
              <w:tc>
                <w:tcPr>
                  <w:tcW w:type="dxa" w:w="9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管理制度</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具备密码应用安全管理制度</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密钥管理规则</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建立操作规程</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定期修订安全管理制度</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明确管理制度发布流程</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制度执行过程记录留存</w:t>
                  </w:r>
                </w:p>
              </w:tc>
            </w:tr>
            <w:tr>
              <w:tc>
                <w:tcPr>
                  <w:tcW w:type="dxa" w:w="9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人员管理</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了解并遵守密码相关法律法规和密码管理制度</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建立密码应用岗位责任制度</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建立上岗人员培训制度</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定期进行安全岗位人员考核</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建立关键岗位人员保密制度和调离制度</w:t>
                  </w:r>
                </w:p>
              </w:tc>
            </w:tr>
            <w:tr>
              <w:tc>
                <w:tcPr>
                  <w:tcW w:type="dxa" w:w="9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建设运行</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制定密码应用方案</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制定密钥安全管理策略</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制定实施方案</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投入运行前进行密码应用安全性评估</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定期开展密码应用安全性评估及攻防对抗演习</w:t>
                  </w:r>
                </w:p>
              </w:tc>
            </w:tr>
            <w:tr>
              <w:tc>
                <w:tcPr>
                  <w:tcW w:type="dxa" w:w="9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应急处置</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应急策略</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事件处置</w:t>
                  </w:r>
                </w:p>
              </w:tc>
            </w:tr>
            <w:tr>
              <w:tc>
                <w:tcPr>
                  <w:tcW w:type="dxa" w:w="970"/>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24"/>
                    </w:rPr>
                    <w:t>向有关主管部门上报处置情况</w:t>
                  </w:r>
                </w:p>
              </w:tc>
            </w:tr>
          </w:tbl>
          <w:p>
            <w:pPr>
              <w:pStyle w:val="null3"/>
              <w:numPr>
                <w:ilvl w:val="1"/>
                <w:numId w:val="3"/>
              </w:numPr>
            </w:pPr>
            <w:r>
              <w:rPr/>
              <w:t>2.2.3</w:t>
            </w:r>
            <w:r>
              <w:rPr>
                <w:rFonts w:ascii="宋体" w:hAnsi="宋体" w:cs="宋体" w:eastAsia="宋体"/>
                <w:b/>
                <w:sz w:val="24"/>
              </w:rPr>
              <w:t>其他服务要求</w:t>
            </w:r>
          </w:p>
          <w:p>
            <w:pPr>
              <w:pStyle w:val="null3"/>
            </w:pPr>
            <w:r>
              <w:rPr>
                <w:rFonts w:ascii="宋体" w:hAnsi="宋体" w:cs="宋体" w:eastAsia="宋体"/>
                <w:sz w:val="24"/>
              </w:rPr>
              <w:t>（</w:t>
            </w:r>
            <w:r>
              <w:rPr>
                <w:rFonts w:ascii="宋体" w:hAnsi="宋体" w:cs="宋体" w:eastAsia="宋体"/>
                <w:sz w:val="24"/>
              </w:rPr>
              <w:t>1）服务质量保证：测评机构应能根据质量体系要求建立科学的质量保证体系，从人员配备、工具保障以及科学的测评方法论、工作过程等多方面保证项目实施过程的质量。通过“测评准备--方案编制-现场测评-编制测评报告”4个环节严格执行，并在重要环节进行文档评审，保证报告结论准确性。</w:t>
            </w:r>
          </w:p>
          <w:p>
            <w:pPr>
              <w:pStyle w:val="null3"/>
            </w:pPr>
            <w:r>
              <w:rPr>
                <w:rFonts w:ascii="宋体" w:hAnsi="宋体" w:cs="宋体" w:eastAsia="宋体"/>
                <w:sz w:val="24"/>
              </w:rPr>
              <w:t>（</w:t>
            </w:r>
            <w:r>
              <w:rPr>
                <w:rFonts w:ascii="宋体" w:hAnsi="宋体" w:cs="宋体" w:eastAsia="宋体"/>
                <w:sz w:val="24"/>
              </w:rPr>
              <w:t>2）测评工具配备：要求在密码测评工作过程中配备专用密码测评工具，可实现数字证书合规性等进行测评，投标人应提供工具采购证明材料。</w:t>
            </w:r>
          </w:p>
          <w:p>
            <w:pPr>
              <w:pStyle w:val="null3"/>
            </w:pPr>
            <w:r>
              <w:rPr>
                <w:rFonts w:ascii="宋体" w:hAnsi="宋体" w:cs="宋体" w:eastAsia="宋体"/>
                <w:sz w:val="24"/>
              </w:rPr>
              <w:t>（</w:t>
            </w:r>
            <w:r>
              <w:rPr>
                <w:rFonts w:ascii="宋体" w:hAnsi="宋体" w:cs="宋体" w:eastAsia="宋体"/>
                <w:sz w:val="24"/>
              </w:rPr>
              <w:t>3）测评人员配备：本项目要求密码测评人员不少于5人，项目经理与项目组成员要求具备“商用密码应用安全性评估人员测评能力考核合格证书”。</w:t>
            </w:r>
          </w:p>
          <w:p>
            <w:pPr>
              <w:pStyle w:val="null3"/>
              <w:numPr>
                <w:ilvl w:val="0"/>
                <w:numId w:val="3"/>
              </w:numPr>
            </w:pPr>
            <w:r>
              <w:rPr/>
              <w:t>2.3</w:t>
            </w:r>
            <w:r>
              <w:rPr>
                <w:rFonts w:ascii="宋体" w:hAnsi="宋体" w:cs="宋体" w:eastAsia="宋体"/>
                <w:b/>
                <w:sz w:val="24"/>
              </w:rPr>
              <w:t>售后服务</w:t>
            </w:r>
          </w:p>
          <w:p>
            <w:pPr>
              <w:pStyle w:val="null3"/>
            </w:pPr>
            <w:r>
              <w:rPr>
                <w:rFonts w:ascii="宋体" w:hAnsi="宋体" w:cs="宋体" w:eastAsia="宋体"/>
                <w:sz w:val="24"/>
              </w:rPr>
              <w:t>1、建设整改咨询及安全加固（不涉及硬件）</w:t>
            </w:r>
          </w:p>
          <w:p>
            <w:pPr>
              <w:pStyle w:val="null3"/>
            </w:pPr>
            <w:r>
              <w:rPr>
                <w:rFonts w:ascii="宋体" w:hAnsi="宋体" w:cs="宋体" w:eastAsia="宋体"/>
                <w:sz w:val="24"/>
              </w:rPr>
              <w:t>建设整改咨询工作以等级测评和渗透检测发现的安全问题为工作重点，编写《信息系统安全建设整改建议》；将信息系统的安全建设整改需求落实到可操作的安全技术和管理上，提出能够实现的技术参数或制度及其具体规范。</w:t>
            </w:r>
          </w:p>
          <w:p>
            <w:pPr>
              <w:pStyle w:val="null3"/>
            </w:pPr>
            <w:r>
              <w:rPr>
                <w:rFonts w:ascii="宋体" w:hAnsi="宋体" w:cs="宋体" w:eastAsia="宋体"/>
                <w:sz w:val="24"/>
              </w:rPr>
              <w:t>在依据相关《信息系统安全建设整改建议》开展建设整改工作时，服务方将提供建设整改过程中的与建设整改相关的咨询服务。</w:t>
            </w:r>
          </w:p>
          <w:p>
            <w:pPr>
              <w:pStyle w:val="null3"/>
            </w:pPr>
            <w:r>
              <w:rPr>
                <w:rFonts w:ascii="宋体" w:hAnsi="宋体" w:cs="宋体" w:eastAsia="宋体"/>
                <w:sz w:val="24"/>
              </w:rPr>
              <w:t>对信息系统安全整改建议进行确认，并依照建议，协助我方进行漏洞修复，补丁升级等非硬件层面的安全加固，制定可执行的安全整改方案和计划，然后协助我方分步实施安全整改工作。</w:t>
            </w:r>
          </w:p>
          <w:p>
            <w:pPr>
              <w:pStyle w:val="null3"/>
            </w:pPr>
            <w:r>
              <w:rPr>
                <w:rFonts w:ascii="宋体" w:hAnsi="宋体" w:cs="宋体" w:eastAsia="宋体"/>
                <w:sz w:val="24"/>
              </w:rPr>
              <w:t>2、应急响应服务</w:t>
            </w:r>
          </w:p>
          <w:p>
            <w:pPr>
              <w:pStyle w:val="null3"/>
            </w:pPr>
            <w:r>
              <w:rPr>
                <w:rFonts w:ascii="宋体" w:hAnsi="宋体" w:cs="宋体" w:eastAsia="宋体"/>
                <w:sz w:val="24"/>
              </w:rPr>
              <w:t>针对本次项目，服务方提供</w:t>
            </w:r>
            <w:r>
              <w:rPr>
                <w:rFonts w:ascii="宋体" w:hAnsi="宋体" w:cs="宋体" w:eastAsia="宋体"/>
                <w:sz w:val="24"/>
              </w:rPr>
              <w:t>7x24的常规应急响应及灾难恢复专家服务。在接到用户故障报修电话10分钟内响应。对客户信息网络应用系统突发的信息安全事件进行响应、处理、恢复、取证、跟踪、事后分析的方法及过程。</w:t>
            </w:r>
          </w:p>
          <w:p>
            <w:pPr>
              <w:pStyle w:val="null3"/>
            </w:pPr>
            <w:r>
              <w:rPr>
                <w:rFonts w:ascii="宋体" w:hAnsi="宋体" w:cs="宋体" w:eastAsia="宋体"/>
                <w:sz w:val="24"/>
              </w:rPr>
              <w:t>3、配合检查服务</w:t>
            </w:r>
          </w:p>
          <w:p>
            <w:pPr>
              <w:pStyle w:val="null3"/>
            </w:pPr>
            <w:r>
              <w:rPr>
                <w:rFonts w:ascii="宋体" w:hAnsi="宋体" w:cs="宋体" w:eastAsia="宋体"/>
                <w:sz w:val="24"/>
              </w:rPr>
              <w:t>服务方免费协助我方响应公安机关、单位内部以及第三方机构针对信息系统安全等级保护工作的检查工作。服务内容包括协助我方准备、完善各类资料文档，配合检查过程中的答疑及技术支持及其他现场检查的响应。</w:t>
            </w:r>
          </w:p>
          <w:p>
            <w:pPr>
              <w:pStyle w:val="null3"/>
            </w:pPr>
            <w:r>
              <w:rPr>
                <w:rFonts w:ascii="宋体" w:hAnsi="宋体" w:cs="宋体" w:eastAsia="宋体"/>
                <w:sz w:val="24"/>
              </w:rPr>
              <w:t>4、电话支持服务</w:t>
            </w:r>
          </w:p>
          <w:p>
            <w:pPr>
              <w:pStyle w:val="null3"/>
            </w:pPr>
            <w:r>
              <w:rPr>
                <w:rFonts w:ascii="宋体" w:hAnsi="宋体" w:cs="宋体" w:eastAsia="宋体"/>
                <w:sz w:val="24"/>
              </w:rPr>
              <w:t>每周</w:t>
            </w:r>
            <w:r>
              <w:rPr>
                <w:rFonts w:ascii="宋体" w:hAnsi="宋体" w:cs="宋体" w:eastAsia="宋体"/>
                <w:sz w:val="24"/>
              </w:rPr>
              <w:t>7天/每天24小时不间断的电话支持服务，解答我方在使用过程中遇到的问题，及时提出解决问题的建议和操作方法。电话响应时间不少于10分钟，到达现场时间不超过2小时，解决问题不超过24小时。</w:t>
            </w:r>
          </w:p>
          <w:p>
            <w:pPr>
              <w:pStyle w:val="null3"/>
            </w:pPr>
            <w:r>
              <w:rPr>
                <w:rFonts w:ascii="宋体" w:hAnsi="宋体" w:cs="宋体" w:eastAsia="宋体"/>
                <w:sz w:val="24"/>
              </w:rPr>
              <w:t>5、安全咨询服务</w:t>
            </w:r>
          </w:p>
          <w:p>
            <w:pPr>
              <w:pStyle w:val="null3"/>
            </w:pPr>
            <w:r>
              <w:rPr>
                <w:rFonts w:ascii="宋体" w:hAnsi="宋体" w:cs="宋体" w:eastAsia="宋体"/>
                <w:sz w:val="24"/>
              </w:rPr>
              <w:t>服务方为我方免费提供一年技术咨询服务，包括信息系统整改建设咨询服务以及其他相关安全咨询服务，一旦接到用户的服务请求，技术服务工程师将立即开始提供服务，帮助客户解决信息安全相关技术问题，全面配合我方做好业务系统全保障工作。</w:t>
            </w:r>
          </w:p>
          <w:p>
            <w:pPr>
              <w:pStyle w:val="null3"/>
              <w:numPr>
                <w:ilvl w:val="0"/>
                <w:numId w:val="3"/>
              </w:numPr>
            </w:pPr>
            <w:r>
              <w:rPr/>
              <w:t>2.4</w:t>
            </w:r>
            <w:r>
              <w:rPr>
                <w:rFonts w:ascii="宋体" w:hAnsi="宋体" w:cs="宋体" w:eastAsia="宋体"/>
                <w:b/>
                <w:sz w:val="24"/>
              </w:rPr>
              <w:t>服务交付</w:t>
            </w:r>
            <w:r>
              <w:rPr>
                <w:rFonts w:ascii="宋体" w:hAnsi="宋体" w:cs="宋体" w:eastAsia="宋体"/>
                <w:b/>
                <w:sz w:val="24"/>
              </w:rPr>
              <w:t xml:space="preserve"> </w:t>
            </w:r>
          </w:p>
          <w:p>
            <w:pPr>
              <w:pStyle w:val="null3"/>
              <w:ind w:firstLine="480"/>
              <w:jc w:val="both"/>
            </w:pPr>
            <w:r>
              <w:rPr>
                <w:rFonts w:ascii="宋体" w:hAnsi="宋体" w:cs="宋体" w:eastAsia="宋体"/>
                <w:sz w:val="24"/>
              </w:rPr>
              <w:t>自</w:t>
            </w:r>
            <w:r>
              <w:rPr>
                <w:rFonts w:ascii="宋体" w:hAnsi="宋体" w:cs="宋体" w:eastAsia="宋体"/>
                <w:sz w:val="24"/>
              </w:rPr>
              <w:t>签订合同之日起，</w:t>
            </w:r>
            <w:r>
              <w:rPr>
                <w:rFonts w:ascii="宋体" w:hAnsi="宋体" w:cs="宋体" w:eastAsia="宋体"/>
                <w:sz w:val="24"/>
              </w:rPr>
              <w:t>90个日历日内完成</w:t>
            </w:r>
            <w:r>
              <w:rPr>
                <w:rFonts w:ascii="宋体" w:hAnsi="宋体" w:cs="宋体" w:eastAsia="宋体"/>
                <w:color w:val="000000"/>
                <w:sz w:val="24"/>
              </w:rPr>
              <w:t>本项目</w:t>
            </w:r>
            <w:r>
              <w:rPr>
                <w:rFonts w:ascii="宋体" w:hAnsi="宋体" w:cs="宋体" w:eastAsia="宋体"/>
                <w:sz w:val="24"/>
              </w:rPr>
              <w:t>并交付最终测评成果。协助用户单位安全整改并出具《</w:t>
            </w:r>
            <w:r>
              <w:rPr>
                <w:rFonts w:ascii="宋体" w:hAnsi="宋体" w:cs="宋体" w:eastAsia="宋体"/>
                <w:sz w:val="24"/>
              </w:rPr>
              <w:t>XXX系统网络安全等级保护测评报告》、《XXX系统商用密码应用安全性评估报告》。</w:t>
            </w:r>
          </w:p>
        </w:tc>
      </w:tr>
    </w:tbl>
    <w:p>
      <w:pPr>
        <w:pStyle w:val="null3"/>
        <w:outlineLvl w:val="3"/>
      </w:pPr>
      <w:r>
        <w:rPr>
          <w:b/>
          <w:sz w:val="24"/>
        </w:rPr>
        <w:t>3.2.3人员配置要求</w:t>
      </w:r>
    </w:p>
    <w:p>
      <w:pPr>
        <w:pStyle w:val="null3"/>
      </w:pPr>
      <w:r>
        <w:rPr/>
        <w:t>采购包1：</w:t>
      </w:r>
    </w:p>
    <w:p>
      <w:pPr>
        <w:pStyle w:val="null3"/>
      </w:pPr>
      <w:r>
        <w:rPr/>
        <w:t>根据招标文件及合同约定执行。</w:t>
      </w:r>
    </w:p>
    <w:p>
      <w:pPr>
        <w:pStyle w:val="null3"/>
      </w:pPr>
      <w:r>
        <w:rPr/>
        <w:t>采购包2：</w:t>
      </w:r>
    </w:p>
    <w:p>
      <w:pPr>
        <w:pStyle w:val="null3"/>
      </w:pPr>
      <w:r>
        <w:rPr/>
        <w:t>根据招标文件及合同约定执行。</w:t>
      </w:r>
    </w:p>
    <w:p>
      <w:pPr>
        <w:pStyle w:val="null3"/>
        <w:outlineLvl w:val="3"/>
      </w:pPr>
      <w:r>
        <w:rPr>
          <w:b/>
          <w:sz w:val="24"/>
        </w:rPr>
        <w:t>3.2.4设施设备配置要求</w:t>
      </w:r>
    </w:p>
    <w:p>
      <w:pPr>
        <w:pStyle w:val="null3"/>
      </w:pPr>
      <w:r>
        <w:rPr/>
        <w:t>采购包1：</w:t>
      </w:r>
    </w:p>
    <w:p>
      <w:pPr>
        <w:pStyle w:val="null3"/>
      </w:pPr>
      <w:r>
        <w:rPr/>
        <w:t>根据招标文件及合同约定执行。</w:t>
      </w:r>
    </w:p>
    <w:p>
      <w:pPr>
        <w:pStyle w:val="null3"/>
      </w:pPr>
      <w:r>
        <w:rPr/>
        <w:t>采购包2：</w:t>
      </w:r>
    </w:p>
    <w:p>
      <w:pPr>
        <w:pStyle w:val="null3"/>
      </w:pPr>
      <w:r>
        <w:rPr/>
        <w:t>根据招标文件及合同约定执行。</w:t>
      </w:r>
    </w:p>
    <w:p>
      <w:pPr>
        <w:pStyle w:val="null3"/>
        <w:outlineLvl w:val="3"/>
      </w:pPr>
      <w:r>
        <w:rPr>
          <w:b/>
          <w:sz w:val="24"/>
        </w:rPr>
        <w:t>3.2.5其他要求</w:t>
      </w:r>
    </w:p>
    <w:p>
      <w:pPr>
        <w:pStyle w:val="null3"/>
      </w:pPr>
      <w:r>
        <w:rPr/>
        <w:t>采购包1：</w:t>
      </w:r>
    </w:p>
    <w:p>
      <w:pPr>
        <w:pStyle w:val="null3"/>
      </w:pPr>
      <w:r>
        <w:rPr/>
        <w:t>根据招标文件及合同约定执行。</w:t>
      </w:r>
    </w:p>
    <w:p>
      <w:pPr>
        <w:pStyle w:val="null3"/>
      </w:pPr>
      <w:r>
        <w:rPr/>
        <w:t>采购包2：</w:t>
      </w:r>
    </w:p>
    <w:p>
      <w:pPr>
        <w:pStyle w:val="null3"/>
      </w:pPr>
      <w:r>
        <w:rPr/>
        <w:t>根据招标文件及合同约定执行。</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①项目完工期：自合同签订之日起90日内。②质保期：质保期限为1年，自系统上线运转正常并验收合格，双方签订正式的《项目验收确认单》起算。</w:t>
      </w:r>
    </w:p>
    <w:p>
      <w:pPr>
        <w:pStyle w:val="null3"/>
      </w:pPr>
      <w:r>
        <w:rPr/>
        <w:t>采购包2：</w:t>
      </w:r>
    </w:p>
    <w:p>
      <w:pPr>
        <w:pStyle w:val="null3"/>
      </w:pPr>
      <w:r>
        <w:rPr/>
        <w:t>交付时限：自合同签订之日起90日内。</w:t>
      </w:r>
    </w:p>
    <w:p>
      <w:pPr>
        <w:pStyle w:val="null3"/>
        <w:outlineLvl w:val="3"/>
      </w:pPr>
      <w:r>
        <w:rPr>
          <w:b/>
          <w:sz w:val="24"/>
        </w:rPr>
        <w:t>3.3.2服务地点</w:t>
      </w:r>
    </w:p>
    <w:p>
      <w:pPr>
        <w:pStyle w:val="null3"/>
      </w:pPr>
      <w:r>
        <w:rPr/>
        <w:t>采购包1：</w:t>
      </w:r>
    </w:p>
    <w:p>
      <w:pPr>
        <w:pStyle w:val="null3"/>
      </w:pPr>
      <w:r>
        <w:rPr/>
        <w:t>陕西省人力资源和社会保障厅指定地点。</w:t>
      </w:r>
    </w:p>
    <w:p>
      <w:pPr>
        <w:pStyle w:val="null3"/>
      </w:pPr>
      <w:r>
        <w:rPr/>
        <w:t>采购包2：</w:t>
      </w:r>
    </w:p>
    <w:p>
      <w:pPr>
        <w:pStyle w:val="null3"/>
      </w:pPr>
      <w:r>
        <w:rPr/>
        <w:t>陕西省人力资源和社会保障厅指定地点。</w:t>
      </w:r>
    </w:p>
    <w:p>
      <w:pPr>
        <w:pStyle w:val="null3"/>
        <w:outlineLvl w:val="3"/>
      </w:pPr>
      <w:r>
        <w:rPr>
          <w:b/>
          <w:sz w:val="24"/>
        </w:rPr>
        <w:t>3.3.3考核（验收）标准和方法</w:t>
      </w:r>
    </w:p>
    <w:p>
      <w:pPr>
        <w:pStyle w:val="null3"/>
      </w:pPr>
      <w:r>
        <w:rPr/>
        <w:t>采购包1：</w:t>
      </w:r>
    </w:p>
    <w:p>
      <w:pPr>
        <w:pStyle w:val="null3"/>
      </w:pPr>
      <w:r>
        <w:rPr/>
        <w:t>根据招标文件及合同约定执行。</w:t>
      </w:r>
    </w:p>
    <w:p>
      <w:pPr>
        <w:pStyle w:val="null3"/>
      </w:pPr>
      <w:r>
        <w:rPr/>
        <w:t>采购包2：</w:t>
      </w:r>
    </w:p>
    <w:p>
      <w:pPr>
        <w:pStyle w:val="null3"/>
      </w:pPr>
      <w:r>
        <w:rPr/>
        <w:t>根据招标文件及合同约定执行。</w:t>
      </w:r>
    </w:p>
    <w:p>
      <w:pPr>
        <w:pStyle w:val="null3"/>
        <w:outlineLvl w:val="3"/>
      </w:pPr>
      <w:r>
        <w:rPr>
          <w:b/>
          <w:sz w:val="24"/>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采购人结算，在付款前，必须开具等额发票给采购人。合同签订后</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项目验收合格后</w:t>
      </w:r>
      <w:r>
        <w:rPr/>
        <w:t xml:space="preserve"> ，达到付款条件起 </w:t>
      </w:r>
      <w:r>
        <w:rPr/>
        <w:t>30</w:t>
      </w:r>
      <w:r>
        <w:rPr/>
        <w:t xml:space="preserve"> 日内，支付合同总金额的 </w:t>
      </w:r>
      <w:r>
        <w:rPr/>
        <w:t>50.00</w:t>
      </w:r>
      <w:r>
        <w:rPr/>
        <w:t>%。</w:t>
      </w:r>
    </w:p>
    <w:p>
      <w:pPr>
        <w:pStyle w:val="null3"/>
      </w:pPr>
      <w:r>
        <w:rPr/>
        <w:t>采购包2：</w:t>
      </w:r>
      <w:r>
        <w:rPr/>
        <w:t xml:space="preserve"> 付款条件说明： </w:t>
      </w:r>
      <w:r>
        <w:rPr/>
        <w:t>采购人结算，在付款前，必须开具等额发票给采购人。合同签订后</w:t>
      </w:r>
      <w:r>
        <w:rPr/>
        <w:t xml:space="preserve"> ，达到付款条件起 </w:t>
      </w:r>
      <w:r>
        <w:rPr/>
        <w:t>30</w:t>
      </w:r>
      <w:r>
        <w:rPr/>
        <w:t xml:space="preserve"> 日内，支付合同总金额的 </w:t>
      </w:r>
      <w:r>
        <w:rPr/>
        <w:t>50.00</w:t>
      </w:r>
      <w:r>
        <w:rPr/>
        <w:t>%。</w:t>
      </w:r>
    </w:p>
    <w:p>
      <w:pPr>
        <w:pStyle w:val="null3"/>
      </w:pPr>
      <w:r>
        <w:rPr/>
        <w:t>采购包2：</w:t>
      </w:r>
      <w:r>
        <w:rPr/>
        <w:t xml:space="preserve"> 付款条件说明： </w:t>
      </w:r>
      <w:r>
        <w:rPr/>
        <w:t>项目验收合格后</w:t>
      </w:r>
      <w:r>
        <w:rPr/>
        <w:t xml:space="preserve"> ，达到付款条件起 </w:t>
      </w:r>
      <w:r>
        <w:rPr/>
        <w:t>30</w:t>
      </w:r>
      <w:r>
        <w:rPr/>
        <w:t xml:space="preserve"> 日内，支付合同总金额的 </w:t>
      </w:r>
      <w:r>
        <w:rPr/>
        <w:t>50.00</w:t>
      </w:r>
      <w:r>
        <w:rPr/>
        <w:t>%。</w:t>
      </w:r>
    </w:p>
    <w:p>
      <w:pPr>
        <w:pStyle w:val="null3"/>
        <w:outlineLvl w:val="3"/>
      </w:pPr>
      <w:r>
        <w:rPr>
          <w:b/>
          <w:sz w:val="24"/>
        </w:rPr>
        <w:t>3.3.6违约责任与解决争议的方法</w:t>
      </w:r>
    </w:p>
    <w:p>
      <w:pPr>
        <w:pStyle w:val="null3"/>
      </w:pPr>
      <w:r>
        <w:rPr/>
        <w:t>采购包1：</w:t>
      </w:r>
    </w:p>
    <w:p>
      <w:pPr>
        <w:pStyle w:val="null3"/>
      </w:pPr>
      <w:r>
        <w:rPr/>
        <w:t>根据招标文件及合同约定执行。</w:t>
      </w:r>
    </w:p>
    <w:p>
      <w:pPr>
        <w:pStyle w:val="null3"/>
      </w:pPr>
      <w:r>
        <w:rPr/>
        <w:t>采购包2：</w:t>
      </w:r>
    </w:p>
    <w:p>
      <w:pPr>
        <w:pStyle w:val="null3"/>
      </w:pPr>
      <w:r>
        <w:rPr/>
        <w:t>根据招标文件及合同约定执行。</w:t>
      </w:r>
    </w:p>
    <w:p>
      <w:pPr>
        <w:pStyle w:val="null3"/>
        <w:jc w:val="left"/>
        <w:outlineLvl w:val="2"/>
      </w:pPr>
      <w:r>
        <w:rPr>
          <w:b/>
          <w:sz w:val="28"/>
        </w:rPr>
        <w:t>3.5其他要求</w:t>
      </w:r>
    </w:p>
    <w:p>
      <w:pPr>
        <w:pStyle w:val="null3"/>
      </w:pPr>
      <w:r>
        <w:rPr/>
        <w:t>1、本项目（2包：密码应用评估、等保测评服务）接受联合体投标。①联合体各方均应当符合《中华人民共和国政府采购法》第二十二条规定的条件，并应当向采购人提交联合协议，载明联合体各方承担的工作和义务。②联合体各方应当共同与采购人签订采购合同，就采购合同约定的事项对采购人承担连带责任。③以联合体形式参加政府采购活动的，联合体各方不得再单独参加或者与其他供应商另外组成联合体参加同一合同项下的政府采购活动。④投标保证金的缴纳可以由联合体中的牵头人提交投标保证金，以一方名义提交投标保证金，对联合体各方均具有约束力。⑤联合体参与投标，投标文件需要投标人签字盖章的，由牵头人或联合体全部成员签字盖章具有同等效力，不作为无效投标的依据。 2、投标人需要在线提交所有通过电子化交易平台实施的政府采购项目的响应文件，同时，线下提交纸质投标文件正本壹份、副本贰份、电子版壹份（U盘壹份）。 3、纸质投标文件正副本分别胶装，标明投标人名称密封递交。 4、线下纸质投标文件递交截止时间：同在线递交电子投标文件截止时间一致；线下纸质投标文件递交地点：西安市雁展路1111号莱安中心T6-15层 。 如需邮寄投标文件，仅接受顺丰速运（联系人：杭琨、联系电话：029-81206622-825）。</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投标人资格证明文件--1包</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投标人资格证明文件--1包</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投标人资格证明文件--1包</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投标人资格证明文件--2包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投标人资格证明文件--2包</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投标人资格证明文件--2包 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投标人资格证明文件--1包</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投标人资格证明文件--1包</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投标人资格证明文件--1包</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提供2023年1月至今已缴存的至少一个月的社会保障资金缴存单据或社保机构开具的社会保险参保缴费情况证明，依法不需要缴纳社会保障资金的单位应提供相关证明材料。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投标人资格证明文件--1包</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投标人资格证明文件--1包</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投标人资格证明文件--1包</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法定代表人授权书及被授权人身份证。（法定代表人直接投标只须提供其身份证明）</w:t>
            </w:r>
          </w:p>
        </w:tc>
        <w:tc>
          <w:tcPr>
            <w:tcW w:type="dxa" w:w="1661"/>
          </w:tcPr>
          <w:p>
            <w:pPr>
              <w:pStyle w:val="null3"/>
            </w:pPr>
            <w:r>
              <w:rPr/>
              <w:t>投标人资格证明文件--1包</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投标人资格证明文件--2包</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投标人资格证明文件--2包</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投标人资格证明文件--2包</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提供2023年1月至今已缴存的至少一个月的社会保障资金缴存单据或社保机构开具的社会保险参保缴费情况证明，依法不需要缴纳社会保障资金的单位应提供相关证明材料。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投标人资格证明文件--2包</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投标人资格证明文件--2包</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投标人资格证明文件--2包</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法定代表人授权书及被授权人身份证。（法定代表人直接投标只须提供其身份证明）</w:t>
            </w:r>
          </w:p>
        </w:tc>
        <w:tc>
          <w:tcPr>
            <w:tcW w:type="dxa" w:w="1661"/>
          </w:tcPr>
          <w:p>
            <w:pPr>
              <w:pStyle w:val="null3"/>
            </w:pPr>
            <w:r>
              <w:rPr/>
              <w:t>投标人资格证明文件--2包</w:t>
            </w:r>
          </w:p>
        </w:tc>
      </w:tr>
      <w:tr>
        <w:tc>
          <w:tcPr>
            <w:tcW w:type="dxa" w:w="831"/>
          </w:tcPr>
          <w:p>
            <w:pPr>
              <w:pStyle w:val="null3"/>
            </w:pPr>
            <w:r>
              <w:rPr/>
              <w:t>8</w:t>
            </w:r>
          </w:p>
        </w:tc>
        <w:tc>
          <w:tcPr>
            <w:tcW w:type="dxa" w:w="2492"/>
          </w:tcPr>
          <w:p>
            <w:pPr>
              <w:pStyle w:val="null3"/>
            </w:pPr>
            <w:r>
              <w:rPr/>
              <w:t>《商用密码应用安全性评估试点机构目录》</w:t>
            </w:r>
          </w:p>
        </w:tc>
        <w:tc>
          <w:tcPr>
            <w:tcW w:type="dxa" w:w="3322"/>
          </w:tcPr>
          <w:p>
            <w:pPr>
              <w:pStyle w:val="null3"/>
            </w:pPr>
            <w:r>
              <w:rPr/>
              <w:t>投标人须为《商用密码应用安全性评估试点机构目录》（国家密码管理局第42号公告）中的机构。（如为联合体参与，不需同时具备此资格条件。）</w:t>
            </w:r>
          </w:p>
        </w:tc>
        <w:tc>
          <w:tcPr>
            <w:tcW w:type="dxa" w:w="1661"/>
          </w:tcPr>
          <w:p>
            <w:pPr>
              <w:pStyle w:val="null3"/>
            </w:pPr>
            <w:r>
              <w:rPr/>
              <w:t>投标人资格证明文件--2包</w:t>
            </w:r>
          </w:p>
        </w:tc>
      </w:tr>
      <w:tr>
        <w:tc>
          <w:tcPr>
            <w:tcW w:type="dxa" w:w="831"/>
          </w:tcPr>
          <w:p>
            <w:pPr>
              <w:pStyle w:val="null3"/>
            </w:pPr>
            <w:r>
              <w:rPr/>
              <w:t>9</w:t>
            </w:r>
          </w:p>
        </w:tc>
        <w:tc>
          <w:tcPr>
            <w:tcW w:type="dxa" w:w="2492"/>
          </w:tcPr>
          <w:p>
            <w:pPr>
              <w:pStyle w:val="null3"/>
            </w:pPr>
            <w:r>
              <w:rPr/>
              <w:t>《网络安全等级测评与检测评估机构服务认证证书》</w:t>
            </w:r>
          </w:p>
        </w:tc>
        <w:tc>
          <w:tcPr>
            <w:tcW w:type="dxa" w:w="3322"/>
          </w:tcPr>
          <w:p>
            <w:pPr>
              <w:pStyle w:val="null3"/>
            </w:pPr>
            <w:r>
              <w:rPr/>
              <w:t>投标人具有有效期内的《网络安全等级测评与检测评估机构服务认证证书》。（如为联合体参与，不需同时具备此资格条件。）</w:t>
            </w:r>
          </w:p>
        </w:tc>
        <w:tc>
          <w:tcPr>
            <w:tcW w:type="dxa" w:w="1661"/>
          </w:tcPr>
          <w:p>
            <w:pPr>
              <w:pStyle w:val="null3"/>
            </w:pPr>
            <w:r>
              <w:rPr/>
              <w:t>投标人资格证明文件--2包</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5.3评标方法</w:t>
      </w:r>
    </w:p>
    <w:p>
      <w:pPr>
        <w:pStyle w:val="null3"/>
      </w:pPr>
      <w:r>
        <w:rPr/>
        <w:t>采购包1：综合评分法</w:t>
      </w:r>
    </w:p>
    <w:p>
      <w:pPr>
        <w:pStyle w:val="null3"/>
      </w:pPr>
      <w:r>
        <w:rPr/>
        <w:t>采购包2：综合评分法</w:t>
      </w:r>
    </w:p>
    <w:p>
      <w:pPr>
        <w:pStyle w:val="null3"/>
        <w:outlineLvl w:val="2"/>
      </w:pPr>
      <w:r>
        <w:rPr>
          <w:b/>
          <w:sz w:val="28"/>
        </w:rPr>
        <w:t>5.4评标程序</w:t>
      </w:r>
    </w:p>
    <w:p>
      <w:pPr>
        <w:pStyle w:val="null3"/>
        <w:outlineLvl w:val="3"/>
      </w:pPr>
      <w:r>
        <w:rPr>
          <w:b/>
          <w:sz w:val="24"/>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分项报价表 中小企业声明函 保证金交纳凭证保函 开标一览表（报价表）--1包 服务内容及服务要求应答表 投标人承诺书 商务条款响应说明 中小企业声明函--1包 投标函 残疾人福利性单位声明函 投标方案说明--1包 标的清单 投标文件封面 监狱企业的证明文件 投标人资格证明文件--1包</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有可能影响项目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投标文件按招标文件要求签字盖章</w:t>
            </w:r>
          </w:p>
        </w:tc>
        <w:tc>
          <w:tcPr>
            <w:tcW w:type="dxa" w:w="1661"/>
          </w:tcPr>
          <w:p>
            <w:pPr>
              <w:pStyle w:val="null3"/>
            </w:pPr>
            <w:r>
              <w:rPr/>
              <w:t>开标一览表 分项报价表 中小企业声明函 保证金交纳凭证保函 开标一览表（报价表）--1包 服务内容及服务要求应答表 投标人承诺书 商务条款响应说明 中小企业声明函--1包 投标函 残疾人福利性单位声明函 投标方案说明--1包 标的清单 投标文件封面 监狱企业的证明文件 投标人资格证明文件--1包</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 投标人资格证明文件--1包</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保证金交纳凭证保函</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商务条款响应说明 开标一览表 中小企业声明函--1包 分项报价表 投标函 中小企业声明函 投标方案说明--1包 开标一览表（报价表）--1包 标的清单 服务内容及服务要求应答表 投标人承诺书 投标人资格证明文件--1包</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投标人资格证明文件--2包 开标一览表（报价表）--2包 分项报价表 中小企业声明函 保证金交纳凭证保函 服务内容及服务要求应答表 投标人承诺书 联合体协议--2包 商务条款响应说明 投标函 残疾人福利性单位声明函 投标方案说明--2包 标的清单 投标文件封面 中小企业声明函--2包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有可能影响项目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投标文件按招标文件要求签字盖章</w:t>
            </w:r>
          </w:p>
        </w:tc>
        <w:tc>
          <w:tcPr>
            <w:tcW w:type="dxa" w:w="1661"/>
          </w:tcPr>
          <w:p>
            <w:pPr>
              <w:pStyle w:val="null3"/>
            </w:pPr>
            <w:r>
              <w:rPr/>
              <w:t>开标一览表 投标人资格证明文件--2包 开标一览表（报价表）--2包 分项报价表 中小企业声明函 保证金交纳凭证保函 服务内容及服务要求应答表 投标人承诺书 联合体协议--2包 商务条款响应说明 投标函 残疾人福利性单位声明函 投标方案说明--2包 标的清单 投标文件封面 中小企业声明函--2包 监狱企业的证明文件</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投标人资格证明文件--2包 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保证金交纳凭证保函</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商务条款响应说明 开标一览表 投标人资格证明文件--2包 开标一览表（报价表）--2包 分项报价表 投标函 投标方案说明--2包 标的清单 服务内容及服务要求应答表 投标人承诺书 联合体协议--2包 中小企业声明函--2包</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项目总体方案</w:t>
            </w:r>
          </w:p>
        </w:tc>
        <w:tc>
          <w:tcPr>
            <w:tcW w:type="dxa" w:w="2492"/>
          </w:tcPr>
          <w:p>
            <w:pPr>
              <w:pStyle w:val="null3"/>
            </w:pPr>
            <w:r>
              <w:rPr/>
              <w:t>根据对该项目理解，投标方案对项目建设背景、建设目标、建设内容、政策、技术等的理解，形成项目总体方案。 1、方案内容完整、可行，能够完全满足项目整体要求，计15分； 2、方案内容较完整、可行，具有可实施性，基本满足项目要求，计10分； 3、方案内容基本完整，合理性可行性一般，计5分； 4、方案有明显缺陷，不具备可实施性，计1分； 5、未提供的不计分。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投标方案说明--1包</w:t>
            </w:r>
          </w:p>
        </w:tc>
      </w:tr>
      <w:tr>
        <w:tc>
          <w:tcPr>
            <w:tcW w:type="dxa" w:w="831"/>
            <w:vMerge/>
          </w:tcPr>
          <w:p/>
        </w:tc>
        <w:tc>
          <w:tcPr>
            <w:tcW w:type="dxa" w:w="1661"/>
          </w:tcPr>
          <w:p>
            <w:pPr>
              <w:pStyle w:val="null3"/>
            </w:pPr>
            <w:r>
              <w:rPr/>
              <w:t>实施组织计划</w:t>
            </w:r>
          </w:p>
        </w:tc>
        <w:tc>
          <w:tcPr>
            <w:tcW w:type="dxa" w:w="2492"/>
          </w:tcPr>
          <w:p>
            <w:pPr>
              <w:pStyle w:val="null3"/>
            </w:pPr>
            <w:r>
              <w:rPr/>
              <w:t>投标人针对本项目制定明确、切实可行的实施组织计划，内容包括但不限于项目管理措施、进度计划安排、工作协调等。提供完整、详细、可行的实施方案及验收方案，实施安排合理，能够在承诺的时间内按期交付。 1、实施组织计划明确，进度安排结合本项目实际情况且切实可行，计10分； 2、实施组织计划较明确，进度安排基本结合本项目实际情况，计7分； 3、实施组织计划一般，进度安排合理性一般，计4分； 4、实施组织计划较差、进度安排未结合本项目实际情况，计1分； 5、未提供的不计分。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投标方案说明--1包</w:t>
            </w:r>
          </w:p>
        </w:tc>
      </w:tr>
      <w:tr>
        <w:tc>
          <w:tcPr>
            <w:tcW w:type="dxa" w:w="831"/>
            <w:vMerge/>
          </w:tcPr>
          <w:p/>
        </w:tc>
        <w:tc>
          <w:tcPr>
            <w:tcW w:type="dxa" w:w="1661"/>
          </w:tcPr>
          <w:p>
            <w:pPr>
              <w:pStyle w:val="null3"/>
            </w:pPr>
            <w:r>
              <w:rPr/>
              <w:t>应急方案</w:t>
            </w:r>
          </w:p>
        </w:tc>
        <w:tc>
          <w:tcPr>
            <w:tcW w:type="dxa" w:w="2492"/>
          </w:tcPr>
          <w:p>
            <w:pPr>
              <w:pStyle w:val="null3"/>
            </w:pPr>
            <w:r>
              <w:rPr/>
              <w:t>投标人针对本项目实际需求制定完整、可行的应急方案，内容包括但不限于编制应急管理机制，应急响应流程，突发事件的解决与处理等。 1、方案完整、可行，有针对性，计10分； 2、方案较完整、可行，有一定针对性，计7分； 3、方案内容基本完整，针对性一般，计4分； 4、方案有明显缺陷，不具备可实施性，计1分； 5、未提供的不计分。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投标方案说明--1包</w:t>
            </w:r>
          </w:p>
        </w:tc>
      </w:tr>
      <w:tr>
        <w:tc>
          <w:tcPr>
            <w:tcW w:type="dxa" w:w="831"/>
            <w:vMerge/>
          </w:tcPr>
          <w:p/>
        </w:tc>
        <w:tc>
          <w:tcPr>
            <w:tcW w:type="dxa" w:w="1661"/>
          </w:tcPr>
          <w:p>
            <w:pPr>
              <w:pStyle w:val="null3"/>
            </w:pPr>
            <w:r>
              <w:rPr/>
              <w:t>数据共享方案</w:t>
            </w:r>
          </w:p>
        </w:tc>
        <w:tc>
          <w:tcPr>
            <w:tcW w:type="dxa" w:w="2492"/>
          </w:tcPr>
          <w:p>
            <w:pPr>
              <w:pStyle w:val="null3"/>
            </w:pPr>
            <w:r>
              <w:rPr/>
              <w:t>投标人针对本项目实际需求制定完整、可行的数据共享方案。 1、方案完整、可行，能够满足项目整体要求，计7分； 2、方案较完整、可行，基本满足项目要求，计3分； 3、方案有明显缺陷，不具备可实施性，计1分； 4、未提供的不计分。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投标方案说明--1包</w:t>
            </w:r>
          </w:p>
        </w:tc>
      </w:tr>
      <w:tr>
        <w:tc>
          <w:tcPr>
            <w:tcW w:type="dxa" w:w="831"/>
            <w:vMerge/>
          </w:tcPr>
          <w:p/>
        </w:tc>
        <w:tc>
          <w:tcPr>
            <w:tcW w:type="dxa" w:w="1661"/>
          </w:tcPr>
          <w:p>
            <w:pPr>
              <w:pStyle w:val="null3"/>
            </w:pPr>
            <w:r>
              <w:rPr/>
              <w:t>应用接口对接方案</w:t>
            </w:r>
          </w:p>
        </w:tc>
        <w:tc>
          <w:tcPr>
            <w:tcW w:type="dxa" w:w="2492"/>
          </w:tcPr>
          <w:p>
            <w:pPr>
              <w:pStyle w:val="null3"/>
            </w:pPr>
            <w:r>
              <w:rPr/>
              <w:t>投标人针对本项目实际需求制定完整、可行的应用接口对接方案。 1、方案完整、可行，能够满足项目整体要求，计8分； 2、方案较完整、可行，基本满足项目要求，计4分； 3、方案有明显缺陷，不具备可实施性，计1分； 4、未提供的不计分。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投标方案说明--1包</w:t>
            </w:r>
          </w:p>
        </w:tc>
      </w:tr>
      <w:tr>
        <w:tc>
          <w:tcPr>
            <w:tcW w:type="dxa" w:w="831"/>
            <w:vMerge/>
          </w:tcPr>
          <w:p/>
        </w:tc>
        <w:tc>
          <w:tcPr>
            <w:tcW w:type="dxa" w:w="1661"/>
          </w:tcPr>
          <w:p>
            <w:pPr>
              <w:pStyle w:val="null3"/>
            </w:pPr>
            <w:r>
              <w:rPr/>
              <w:t>企业实力</w:t>
            </w:r>
          </w:p>
        </w:tc>
        <w:tc>
          <w:tcPr>
            <w:tcW w:type="dxa" w:w="2492"/>
          </w:tcPr>
          <w:p>
            <w:pPr>
              <w:pStyle w:val="null3"/>
            </w:pPr>
            <w:r>
              <w:rPr/>
              <w:t>1、软件著作权：具有国家版权局颁发的税务代征共享平台、社会保险信息管理系统软件著作权登记证，每个著作权计1分，最高2分。 2、投标人具有ISO9001质量管理体系认证、ISO27001信息安全管理体系认证、ISO20000信息技术服务管理体系认证证书，每提供一个计1分，共3分。 3、投标人具有软件能力成熟度证书（包括但不限于CMMI、CSMM，3级计1分，4级及以上计2分）、ITSS三级及以上证书，每提供一个计2分，共4分。 4、投标人具有人社部全国统一应用软件技术授权书（社会保险管理信息系统核心平台三版、城乡居民基本养老保险管理信息系统），每提供一个计2分，共4分。</w:t>
            </w:r>
          </w:p>
        </w:tc>
        <w:tc>
          <w:tcPr>
            <w:tcW w:type="dxa" w:w="831"/>
          </w:tcPr>
          <w:p>
            <w:pPr>
              <w:pStyle w:val="null3"/>
              <w:jc w:val="right"/>
            </w:pPr>
            <w:r>
              <w:rPr/>
              <w:t>13.00</w:t>
            </w:r>
          </w:p>
        </w:tc>
        <w:tc>
          <w:tcPr>
            <w:tcW w:type="dxa" w:w="831"/>
          </w:tcPr>
          <w:p>
            <w:pPr>
              <w:pStyle w:val="null3"/>
            </w:pPr>
            <w:r>
              <w:rPr/>
              <w:t>客观</w:t>
            </w:r>
          </w:p>
        </w:tc>
        <w:tc>
          <w:tcPr>
            <w:tcW w:type="dxa" w:w="1661"/>
          </w:tcPr>
          <w:p>
            <w:pPr>
              <w:pStyle w:val="null3"/>
            </w:pPr>
            <w:r>
              <w:rPr/>
              <w:t>投标方案说明--1包</w:t>
            </w:r>
          </w:p>
        </w:tc>
      </w:tr>
      <w:tr>
        <w:tc>
          <w:tcPr>
            <w:tcW w:type="dxa" w:w="831"/>
            <w:vMerge/>
          </w:tcPr>
          <w:p/>
        </w:tc>
        <w:tc>
          <w:tcPr>
            <w:tcW w:type="dxa" w:w="1661"/>
          </w:tcPr>
          <w:p>
            <w:pPr>
              <w:pStyle w:val="null3"/>
            </w:pPr>
            <w:r>
              <w:rPr/>
              <w:t>项目团队</w:t>
            </w:r>
          </w:p>
        </w:tc>
        <w:tc>
          <w:tcPr>
            <w:tcW w:type="dxa" w:w="2492"/>
          </w:tcPr>
          <w:p>
            <w:pPr>
              <w:pStyle w:val="null3"/>
            </w:pPr>
            <w:r>
              <w:rPr/>
              <w:t>拟投入项目团队必须为投标人公司职员或分公司职员，提供拟投入人员个人社保缴纳证明复印件，否则不计分。 1、项目经理（满分4分）： 项目经理具有信息系统项目管理师、系统集成项目管理工程师、信息安全工程师、数据库系统工程师资格证书的，每提供一个计1分，共4分。 2、团队成员（满分4分）： 团队成员（不含项目经理）具有信息系统项目管理师或PMP资格证书，每提供一个计1分，共4分。 3、人社专业技术人员（满分3分）： 投标人派驻现场服务人员必须熟悉社会保险业务，熟悉社会保险信息核心平台三版软件，其中，拥有人社部社会保险信息核心平台前台服务工程师认证优先，每提供一个计1分，共3分。 注：投标文件中需提供以上人员专业技术资格证书复印件，并加投标人公章。</w:t>
            </w:r>
          </w:p>
        </w:tc>
        <w:tc>
          <w:tcPr>
            <w:tcW w:type="dxa" w:w="831"/>
          </w:tcPr>
          <w:p>
            <w:pPr>
              <w:pStyle w:val="null3"/>
              <w:jc w:val="right"/>
            </w:pPr>
            <w:r>
              <w:rPr/>
              <w:t>11.00</w:t>
            </w:r>
          </w:p>
        </w:tc>
        <w:tc>
          <w:tcPr>
            <w:tcW w:type="dxa" w:w="831"/>
          </w:tcPr>
          <w:p>
            <w:pPr>
              <w:pStyle w:val="null3"/>
            </w:pPr>
            <w:r>
              <w:rPr/>
              <w:t>客观</w:t>
            </w:r>
          </w:p>
        </w:tc>
        <w:tc>
          <w:tcPr>
            <w:tcW w:type="dxa" w:w="1661"/>
          </w:tcPr>
          <w:p>
            <w:pPr>
              <w:pStyle w:val="null3"/>
            </w:pPr>
            <w:r>
              <w:rPr/>
              <w:t>投标方案说明--1包</w:t>
            </w:r>
          </w:p>
        </w:tc>
      </w:tr>
      <w:tr>
        <w:tc>
          <w:tcPr>
            <w:tcW w:type="dxa" w:w="831"/>
            <w:vMerge/>
          </w:tcPr>
          <w:p/>
        </w:tc>
        <w:tc>
          <w:tcPr>
            <w:tcW w:type="dxa" w:w="1661"/>
          </w:tcPr>
          <w:p>
            <w:pPr>
              <w:pStyle w:val="null3"/>
            </w:pPr>
            <w:r>
              <w:rPr/>
              <w:t>业绩</w:t>
            </w:r>
          </w:p>
        </w:tc>
        <w:tc>
          <w:tcPr>
            <w:tcW w:type="dxa" w:w="2492"/>
          </w:tcPr>
          <w:p>
            <w:pPr>
              <w:pStyle w:val="null3"/>
            </w:pPr>
            <w:r>
              <w:rPr/>
              <w:t>投标人提供2021年1月1日以来类似项目的业绩，投标文件中需附有其合同或中标（成交）通知书复印件并加盖公章，每提供一个计1分，满分6分。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投标方案说明--1包</w:t>
            </w:r>
          </w:p>
        </w:tc>
      </w:tr>
      <w:tr>
        <w:tc>
          <w:tcPr>
            <w:tcW w:type="dxa" w:w="831"/>
            <w:vMerge/>
          </w:tcPr>
          <w:p/>
        </w:tc>
        <w:tc>
          <w:tcPr>
            <w:tcW w:type="dxa" w:w="1661"/>
          </w:tcPr>
          <w:p>
            <w:pPr>
              <w:pStyle w:val="null3"/>
            </w:pPr>
            <w:r>
              <w:rPr/>
              <w:t>售后服务</w:t>
            </w:r>
          </w:p>
        </w:tc>
        <w:tc>
          <w:tcPr>
            <w:tcW w:type="dxa" w:w="2492"/>
          </w:tcPr>
          <w:p>
            <w:pPr>
              <w:pStyle w:val="null3"/>
            </w:pPr>
            <w:r>
              <w:rPr/>
              <w:t>1、投标人在项目实施地有售后服务能力（提供相关证明材料），计1分。 2、投标人制定完整的项目售后服务方案，包括售后服务承诺、售后服务流程、质量保障且具备完整的客服体系服务运维管理系统等服务支撑体系。方案完整、可行，计3分； 方案较完整、可行，计2分；方案内容有缺漏项，计1分； 未提供的不计分。 3、投标人提供驻场服务工程师，每提供一名驻场，计0.5分，共计3分。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投标方案说明--1包</w:t>
            </w:r>
          </w:p>
        </w:tc>
      </w:tr>
      <w:tr>
        <w:tc>
          <w:tcPr>
            <w:tcW w:type="dxa" w:w="831"/>
            <w:vMerge/>
          </w:tcPr>
          <w:p/>
        </w:tc>
        <w:tc>
          <w:tcPr>
            <w:tcW w:type="dxa" w:w="1661"/>
          </w:tcPr>
          <w:p>
            <w:pPr>
              <w:pStyle w:val="null3"/>
            </w:pPr>
            <w:r>
              <w:rPr/>
              <w:t>培训方案</w:t>
            </w:r>
          </w:p>
        </w:tc>
        <w:tc>
          <w:tcPr>
            <w:tcW w:type="dxa" w:w="2492"/>
          </w:tcPr>
          <w:p>
            <w:pPr>
              <w:pStyle w:val="null3"/>
            </w:pPr>
            <w:r>
              <w:rPr/>
              <w:t>投标人负责为采购人培训操作维护人员，并有完整的培训方案，列出详细的培训内容、培训方式等说明。方案完整、可行，计3分；方案较完整、可行，计2分；方案内容有缺漏项，计1分；未提供的不计分。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投标方案说明--1包</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项目实施方案</w:t>
            </w:r>
          </w:p>
        </w:tc>
        <w:tc>
          <w:tcPr>
            <w:tcW w:type="dxa" w:w="2492"/>
          </w:tcPr>
          <w:p>
            <w:pPr>
              <w:pStyle w:val="null3"/>
            </w:pPr>
            <w:r>
              <w:rPr/>
              <w:t>投标人针对本项目实际需求制定项目实施方案，包括项目需求理解、测评服务流程、实施进度计划、运用的安全测评工具、移动终端的信息安全性技术等。 1、方案完整、可行，能够完全满足项目整体要求，计12分； 2、方案较完整、可行，基本满足项目要求，计8分； 3、方案基本完整，合理性可行性一般，计4分； 4、方案有明显缺陷，不具备可实施性，计1分； 5、未提供的不计分。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投标方案说明--2包</w:t>
            </w:r>
          </w:p>
        </w:tc>
      </w:tr>
      <w:tr>
        <w:tc>
          <w:tcPr>
            <w:tcW w:type="dxa" w:w="831"/>
            <w:vMerge/>
          </w:tcPr>
          <w:p/>
        </w:tc>
        <w:tc>
          <w:tcPr>
            <w:tcW w:type="dxa" w:w="1661"/>
          </w:tcPr>
          <w:p>
            <w:pPr>
              <w:pStyle w:val="null3"/>
            </w:pPr>
            <w:r>
              <w:rPr/>
              <w:t>质量保证方案</w:t>
            </w:r>
          </w:p>
        </w:tc>
        <w:tc>
          <w:tcPr>
            <w:tcW w:type="dxa" w:w="2492"/>
          </w:tcPr>
          <w:p>
            <w:pPr>
              <w:pStyle w:val="null3"/>
            </w:pPr>
            <w:r>
              <w:rPr/>
              <w:t>投标人针对本项目实际需求制定质量保证方案，包括测试项目质量控制管理办法、测试项目质量控制措施、测试项目质量管理目标等。 1、方案完整、可行，能够完全满足项目整体要求，计10分； 2、方案较完整、可行，基本满足项目要求，计7分； 3、方案基本完整，合理性可行性一般，计4分； 4、方案有明显缺陷，不具备可实施性，计1分； 5、未提供的不计分。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投标方案说明--2包</w:t>
            </w:r>
          </w:p>
        </w:tc>
      </w:tr>
      <w:tr>
        <w:tc>
          <w:tcPr>
            <w:tcW w:type="dxa" w:w="831"/>
            <w:vMerge/>
          </w:tcPr>
          <w:p/>
        </w:tc>
        <w:tc>
          <w:tcPr>
            <w:tcW w:type="dxa" w:w="1661"/>
          </w:tcPr>
          <w:p>
            <w:pPr>
              <w:pStyle w:val="null3"/>
            </w:pPr>
            <w:r>
              <w:rPr/>
              <w:t>网络安全检测能力</w:t>
            </w:r>
          </w:p>
        </w:tc>
        <w:tc>
          <w:tcPr>
            <w:tcW w:type="dxa" w:w="2492"/>
          </w:tcPr>
          <w:p>
            <w:pPr>
              <w:pStyle w:val="null3"/>
            </w:pPr>
            <w:r>
              <w:rPr/>
              <w:t>投入本项目的安全测评工具： 1.网络安全等级保护测评工具：每个计1分，最高7分； 2.商用密码应用安全性评估工具：每个计1分，最高7分。 （提供以下证明材料之一:①投标人自主研发的提供《计算机软件著作权登记证书》复印件&lt;证书登记的著作权人须与供应商名称一致&gt;；②投标人购买的提供采购合同复印件&lt;需清晰显示安全测评工具名称，且购买方需与投标人名称一致&gt;）</w:t>
            </w:r>
          </w:p>
        </w:tc>
        <w:tc>
          <w:tcPr>
            <w:tcW w:type="dxa" w:w="831"/>
          </w:tcPr>
          <w:p>
            <w:pPr>
              <w:pStyle w:val="null3"/>
              <w:jc w:val="right"/>
            </w:pPr>
            <w:r>
              <w:rPr/>
              <w:t>14.00</w:t>
            </w:r>
          </w:p>
        </w:tc>
        <w:tc>
          <w:tcPr>
            <w:tcW w:type="dxa" w:w="831"/>
          </w:tcPr>
          <w:p>
            <w:pPr>
              <w:pStyle w:val="null3"/>
            </w:pPr>
            <w:r>
              <w:rPr/>
              <w:t>客观</w:t>
            </w:r>
          </w:p>
        </w:tc>
        <w:tc>
          <w:tcPr>
            <w:tcW w:type="dxa" w:w="1661"/>
          </w:tcPr>
          <w:p>
            <w:pPr>
              <w:pStyle w:val="null3"/>
            </w:pPr>
            <w:r>
              <w:rPr/>
              <w:t>投标方案说明--2包</w:t>
            </w:r>
          </w:p>
        </w:tc>
      </w:tr>
      <w:tr>
        <w:tc>
          <w:tcPr>
            <w:tcW w:type="dxa" w:w="831"/>
            <w:vMerge/>
          </w:tcPr>
          <w:p/>
        </w:tc>
        <w:tc>
          <w:tcPr>
            <w:tcW w:type="dxa" w:w="1661"/>
          </w:tcPr>
          <w:p>
            <w:pPr>
              <w:pStyle w:val="null3"/>
            </w:pPr>
            <w:r>
              <w:rPr/>
              <w:t>安全服务技术能力</w:t>
            </w:r>
          </w:p>
        </w:tc>
        <w:tc>
          <w:tcPr>
            <w:tcW w:type="dxa" w:w="2492"/>
          </w:tcPr>
          <w:p>
            <w:pPr>
              <w:pStyle w:val="null3"/>
            </w:pPr>
            <w:r>
              <w:rPr/>
              <w:t>2019年至今（以证书显示的收录时间为准），曾取得CNVD国家信息安全漏洞共享平台原创漏洞证明，每个计1分，最高6分。（提供原创漏洞证明复印件，证明显示的贡献者单位须与投标人名称一致）</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投标方案说明--2包</w:t>
            </w:r>
          </w:p>
        </w:tc>
      </w:tr>
      <w:tr>
        <w:tc>
          <w:tcPr>
            <w:tcW w:type="dxa" w:w="831"/>
            <w:vMerge/>
          </w:tcPr>
          <w:p/>
        </w:tc>
        <w:tc>
          <w:tcPr>
            <w:tcW w:type="dxa" w:w="1661"/>
          </w:tcPr>
          <w:p>
            <w:pPr>
              <w:pStyle w:val="null3"/>
            </w:pPr>
            <w:r>
              <w:rPr/>
              <w:t>企业实力</w:t>
            </w:r>
          </w:p>
        </w:tc>
        <w:tc>
          <w:tcPr>
            <w:tcW w:type="dxa" w:w="2492"/>
          </w:tcPr>
          <w:p>
            <w:pPr>
              <w:pStyle w:val="null3"/>
            </w:pPr>
            <w:r>
              <w:rPr/>
              <w:t>1、投标人具有中国合格评定国家认可委员会实验室认可证书（获认可的能力范围包括：信息系统安全技术分等级要求，检测标准（方法）：《信息安全技术 信息系统安全通用技术要求》），计6分。 （提供证书和附件关键页&lt;需能清晰显示名称、注册号、认可的能力范围&gt;复印件） 2、投标人具有中国合格评定国家认可委员会检验机构认可证书（获认可的能力范围包括：信息安全风险评估、网络安全等级保护测评，检测标准（方法/程序）包括：《信息安全技术 信息安全风险评估规范》、《信息安全技术 网络安全等级保护基本要求》），计6分。 （提供证书和附件关键页&lt;需能清晰显示名称、注册号、认可的能力范围&gt;复印件） 3、投标人具有中国国家认证认可监督管理委员会颁发的检验检测机构资质认定证书（CMA），检验检测能力包括：信息系统安全技术分等级要求，依据的标准（方法）名称：《信息安全技术信息系统安全通用技术要求》），计6分。 （提供证书和附表关键页&lt;需能清晰显示检验检测机构名称、检验检测能力范围&gt;复印件）</w:t>
            </w:r>
          </w:p>
        </w:tc>
        <w:tc>
          <w:tcPr>
            <w:tcW w:type="dxa" w:w="831"/>
          </w:tcPr>
          <w:p>
            <w:pPr>
              <w:pStyle w:val="null3"/>
              <w:jc w:val="right"/>
            </w:pPr>
            <w:r>
              <w:rPr/>
              <w:t>18.00</w:t>
            </w:r>
          </w:p>
        </w:tc>
        <w:tc>
          <w:tcPr>
            <w:tcW w:type="dxa" w:w="831"/>
          </w:tcPr>
          <w:p>
            <w:pPr>
              <w:pStyle w:val="null3"/>
            </w:pPr>
            <w:r>
              <w:rPr/>
              <w:t>客观</w:t>
            </w:r>
          </w:p>
        </w:tc>
        <w:tc>
          <w:tcPr>
            <w:tcW w:type="dxa" w:w="1661"/>
          </w:tcPr>
          <w:p>
            <w:pPr>
              <w:pStyle w:val="null3"/>
            </w:pPr>
            <w:r>
              <w:rPr/>
              <w:t>投标方案说明--2包</w:t>
            </w:r>
          </w:p>
        </w:tc>
      </w:tr>
      <w:tr>
        <w:tc>
          <w:tcPr>
            <w:tcW w:type="dxa" w:w="831"/>
            <w:vMerge/>
          </w:tcPr>
          <w:p/>
        </w:tc>
        <w:tc>
          <w:tcPr>
            <w:tcW w:type="dxa" w:w="1661"/>
          </w:tcPr>
          <w:p>
            <w:pPr>
              <w:pStyle w:val="null3"/>
            </w:pPr>
            <w:r>
              <w:rPr/>
              <w:t>项目团队</w:t>
            </w:r>
          </w:p>
        </w:tc>
        <w:tc>
          <w:tcPr>
            <w:tcW w:type="dxa" w:w="2492"/>
          </w:tcPr>
          <w:p>
            <w:pPr>
              <w:pStyle w:val="null3"/>
            </w:pPr>
            <w:r>
              <w:rPr/>
              <w:t>1、项目经理具备以下资质，每个计1.5分，最高6分。 ①具有高级信息系统项目管理师证书； ②具有《注册信息安全专业人员（CISP）》证书（注册信息安全专业人员）； ③通过国家密码管理局商用密码检测中心的商用密码应用安全性评估人员测评能力考核。 ④具有CISSP证书（信息系统安全认证专业人员）。 注：提供以上人员证书复印件和本单位社保缴纳证明。 2、技术负责人具备以下资质，每个计2分，最高6分。 ①具有高级信息安全等级测评师证书（或高级网络安全等级测评师证书）； ②通过国家密码管理局商用密码检测中心的商用密码应用安全性评估人员测评能力考核； ③具有网络安全高级工程师证书； 注：提供以上人员证书复印件和本单位社保缴纳证明。 3、投入本项目的团队成员（项目经理和技术负责人除外）， 具备以下资质： ①高级信息安全等级测评师证书（或高级网络安全等级测评师证书），每个计0.5分，最高5分； ②通过国家密码管理局商用密码检测中心的商用密码应用安全性评估人员测评能力考核，每个计0.5分，最高5分。 注：如有一人同时获得多个证书的，只计算一次得分，不重复计分。提供以上人员证书复印件和本单位社保缴纳证明。</w:t>
            </w:r>
          </w:p>
        </w:tc>
        <w:tc>
          <w:tcPr>
            <w:tcW w:type="dxa" w:w="831"/>
          </w:tcPr>
          <w:p>
            <w:pPr>
              <w:pStyle w:val="null3"/>
              <w:jc w:val="right"/>
            </w:pPr>
            <w:r>
              <w:rPr/>
              <w:t>22.00</w:t>
            </w:r>
          </w:p>
        </w:tc>
        <w:tc>
          <w:tcPr>
            <w:tcW w:type="dxa" w:w="831"/>
          </w:tcPr>
          <w:p>
            <w:pPr>
              <w:pStyle w:val="null3"/>
            </w:pPr>
            <w:r>
              <w:rPr/>
              <w:t>客观</w:t>
            </w:r>
          </w:p>
        </w:tc>
        <w:tc>
          <w:tcPr>
            <w:tcW w:type="dxa" w:w="1661"/>
          </w:tcPr>
          <w:p>
            <w:pPr>
              <w:pStyle w:val="null3"/>
            </w:pPr>
            <w:r>
              <w:rPr/>
              <w:t>投标方案说明--2包</w:t>
            </w:r>
          </w:p>
        </w:tc>
      </w:tr>
      <w:tr>
        <w:tc>
          <w:tcPr>
            <w:tcW w:type="dxa" w:w="831"/>
            <w:vMerge/>
          </w:tcPr>
          <w:p/>
        </w:tc>
        <w:tc>
          <w:tcPr>
            <w:tcW w:type="dxa" w:w="1661"/>
          </w:tcPr>
          <w:p>
            <w:pPr>
              <w:pStyle w:val="null3"/>
            </w:pPr>
            <w:r>
              <w:rPr/>
              <w:t>业绩</w:t>
            </w:r>
          </w:p>
        </w:tc>
        <w:tc>
          <w:tcPr>
            <w:tcW w:type="dxa" w:w="2492"/>
          </w:tcPr>
          <w:p>
            <w:pPr>
              <w:pStyle w:val="null3"/>
            </w:pPr>
            <w:r>
              <w:rPr/>
              <w:t>2021年1月至今（以合同签订时间为准），以投标人名义承担的： 1.政务网络安全等级保护测评项目业绩，每个计1分，最高4分。 2.政务信息系统商用密码应用安全性评估项目业绩，每个计1分，最高4分。 注：如有同一项目覆盖两类业绩的情况，只计算一次得分，不重复计分。提供合同复印件(至少包含合同首页、签章页以及能体现合同签订时间、项目内容的关键页),否则不计分。</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投标方案说明--2包</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 （3）本项目接受联合体投标的，若小型和微型企业的协议 合同金额占到联合体协议合同总金额30%以上的，可给予联合体4%～6%的扣除，用扣除后的价格参与评审。本项目的扣除比例为：4%。</w:t>
            </w:r>
          </w:p>
        </w:tc>
        <w:tc>
          <w:tcPr>
            <w:tcW w:type="dxa" w:w="1661"/>
          </w:tcPr>
          <w:p>
            <w:pPr>
              <w:pStyle w:val="null3"/>
            </w:pPr>
            <w:r>
              <w:rPr/>
              <w:t>开标一览表 中小企业声明函 残疾人福利性单位声明函 标的清单 监狱企业的证明文件</w:t>
            </w:r>
          </w:p>
        </w:tc>
      </w:tr>
      <w:tr>
        <w:tc>
          <w:tcPr>
            <w:tcW w:type="dxa" w:w="831"/>
          </w:tcPr>
          <w:p>
            <w:pPr>
              <w:pStyle w:val="null3"/>
            </w:pPr>
            <w:r>
              <w:rPr/>
              <w:t>2</w:t>
            </w:r>
          </w:p>
        </w:tc>
        <w:tc>
          <w:tcPr>
            <w:tcW w:type="dxa" w:w="1661"/>
          </w:tcPr>
          <w:p>
            <w:pPr>
              <w:pStyle w:val="null3"/>
            </w:pPr>
            <w:r>
              <w:rPr/>
              <w:t>小型、微型企业，监狱企业，残疾人福利性单位</w:t>
            </w:r>
          </w:p>
        </w:tc>
        <w:tc>
          <w:tcPr>
            <w:tcW w:type="dxa" w:w="1661"/>
          </w:tcPr>
          <w:p>
            <w:pPr>
              <w:pStyle w:val="null3"/>
            </w:pPr>
            <w:r>
              <w:rPr/>
              <w:t>联合协议或者分包意向协议约定小型、微型企业的合同份额占到合同总金额30%以上</w:t>
            </w:r>
          </w:p>
        </w:tc>
        <w:tc>
          <w:tcPr>
            <w:tcW w:type="dxa" w:w="831"/>
          </w:tcPr>
          <w:p>
            <w:pPr>
              <w:pStyle w:val="null3"/>
              <w:jc w:val="right"/>
            </w:pPr>
            <w:r>
              <w:rPr/>
              <w:t>4.00%</w:t>
            </w:r>
          </w:p>
        </w:tc>
        <w:tc>
          <w:tcPr>
            <w:tcW w:type="dxa" w:w="1661"/>
          </w:tcPr>
          <w:p>
            <w:pPr>
              <w:pStyle w:val="null3"/>
            </w:pPr>
            <w:r>
              <w:rPr/>
              <w:t>本项目接受联合体投标的，若小型和微型企业的协议 合同金额占到联合体协议合同总金额30%以上的，可给予联合体4%～6%的扣除，用扣除后的价格参与评审。本项目的扣除比例为：4%。</w:t>
            </w:r>
          </w:p>
        </w:tc>
        <w:tc>
          <w:tcPr>
            <w:tcW w:type="dxa" w:w="1661"/>
          </w:tcPr>
          <w:p>
            <w:pPr>
              <w:pStyle w:val="null3"/>
            </w:pPr>
            <w:r>
              <w:rPr/>
              <w:t>联合体协议--2包</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第6章投标文件格式</w:t>
      </w:r>
    </w:p>
    <w:p>
      <w:pPr>
        <w:pStyle w:val="null3"/>
        <w:outlineLvl w:val="2"/>
      </w:pPr>
      <w:r>
        <w:rPr>
          <w:b/>
          <w:sz w:val="28"/>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详见附件：开标一览表（报价表）--1包</w:t>
      </w:r>
    </w:p>
    <w:p>
      <w:pPr>
        <w:pStyle w:val="null3"/>
        <w:ind w:firstLine="960"/>
      </w:pPr>
      <w:r>
        <w:rPr/>
        <w:t>详见附件：分项报价表</w:t>
      </w:r>
    </w:p>
    <w:p>
      <w:pPr>
        <w:pStyle w:val="null3"/>
        <w:ind w:firstLine="960"/>
      </w:pPr>
      <w:r>
        <w:rPr/>
        <w:t>详见附件：服务内容及服务要求应答表</w:t>
      </w:r>
    </w:p>
    <w:p>
      <w:pPr>
        <w:pStyle w:val="null3"/>
        <w:ind w:firstLine="960"/>
      </w:pPr>
      <w:r>
        <w:rPr/>
        <w:t>详见附件：商务条款响应说明</w:t>
      </w:r>
    </w:p>
    <w:p>
      <w:pPr>
        <w:pStyle w:val="null3"/>
        <w:ind w:firstLine="960"/>
      </w:pPr>
      <w:r>
        <w:rPr/>
        <w:t>详见附件：投标人资格证明文件--1包</w:t>
      </w:r>
    </w:p>
    <w:p>
      <w:pPr>
        <w:pStyle w:val="null3"/>
        <w:ind w:firstLine="960"/>
      </w:pPr>
      <w:r>
        <w:rPr/>
        <w:t>详见附件：投标方案说明--1包</w:t>
      </w:r>
    </w:p>
    <w:p>
      <w:pPr>
        <w:pStyle w:val="null3"/>
        <w:ind w:firstLine="960"/>
      </w:pPr>
      <w:r>
        <w:rPr/>
        <w:t>详见附件：投标人承诺书</w:t>
      </w:r>
    </w:p>
    <w:p>
      <w:pPr>
        <w:pStyle w:val="null3"/>
        <w:ind w:firstLine="960"/>
      </w:pPr>
      <w:r>
        <w:rPr/>
        <w:t>详见附件：中小企业声明函--1包</w:t>
      </w:r>
    </w:p>
    <w:p>
      <w:pPr>
        <w:pStyle w:val="null3"/>
        <w:ind w:firstLine="960"/>
      </w:pPr>
      <w:r>
        <w:rPr/>
        <w:t>详见附件：保证金交纳凭证保函</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详见附件：开标一览表（报价表）--2包</w:t>
      </w:r>
    </w:p>
    <w:p>
      <w:pPr>
        <w:pStyle w:val="null3"/>
        <w:ind w:firstLine="960"/>
      </w:pPr>
      <w:r>
        <w:rPr/>
        <w:t>详见附件：分项报价表</w:t>
      </w:r>
    </w:p>
    <w:p>
      <w:pPr>
        <w:pStyle w:val="null3"/>
        <w:ind w:firstLine="960"/>
      </w:pPr>
      <w:r>
        <w:rPr/>
        <w:t>详见附件：服务内容及服务要求应答表</w:t>
      </w:r>
    </w:p>
    <w:p>
      <w:pPr>
        <w:pStyle w:val="null3"/>
        <w:ind w:firstLine="960"/>
      </w:pPr>
      <w:r>
        <w:rPr/>
        <w:t>详见附件：商务条款响应说明</w:t>
      </w:r>
    </w:p>
    <w:p>
      <w:pPr>
        <w:pStyle w:val="null3"/>
        <w:ind w:firstLine="960"/>
      </w:pPr>
      <w:r>
        <w:rPr/>
        <w:t>详见附件：投标人资格证明文件--2包</w:t>
      </w:r>
    </w:p>
    <w:p>
      <w:pPr>
        <w:pStyle w:val="null3"/>
        <w:ind w:firstLine="960"/>
      </w:pPr>
      <w:r>
        <w:rPr/>
        <w:t>详见附件：投标方案说明--2包</w:t>
      </w:r>
    </w:p>
    <w:p>
      <w:pPr>
        <w:pStyle w:val="null3"/>
        <w:ind w:firstLine="960"/>
      </w:pPr>
      <w:r>
        <w:rPr/>
        <w:t>详见附件：投标人承诺书</w:t>
      </w:r>
    </w:p>
    <w:p>
      <w:pPr>
        <w:pStyle w:val="null3"/>
        <w:ind w:firstLine="960"/>
      </w:pPr>
      <w:r>
        <w:rPr/>
        <w:t>详见附件：联合体协议--2包</w:t>
      </w:r>
    </w:p>
    <w:p>
      <w:pPr>
        <w:pStyle w:val="null3"/>
        <w:ind w:firstLine="960"/>
      </w:pPr>
      <w:r>
        <w:rPr/>
        <w:t>详见附件：中小企业声明函--2包</w:t>
      </w:r>
    </w:p>
    <w:p>
      <w:pPr>
        <w:pStyle w:val="null3"/>
        <w:ind w:firstLine="960"/>
      </w:pPr>
      <w:r>
        <w:rPr/>
        <w:t>详见附件：保证金交纳凭证保函</w:t>
      </w:r>
    </w:p>
    <w:p>
      <w:pPr>
        <w:pStyle w:val="null3"/>
      </w:pPr>
      <w:r>
        <w:rPr/>
        <w:t xml:space="preserve"> </w:t>
        <w:br/>
        <w:br w:type="page"/>
      </w:r>
    </w:p>
    <w:p>
      <w:pPr>
        <w:pStyle w:val="null3"/>
        <w:jc w:val="center"/>
        <w:outlineLvl w:val="1"/>
      </w:pPr>
      <w:r>
        <w:rPr>
          <w:b/>
          <w:sz w:val="36"/>
        </w:rPr>
        <w:t>第7章 拟签订采购合同文本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abstractNum>
  <w:abstractNum w:abstractNumId="2">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abstractNum w:abstractNumId="3">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 Id="rId7"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