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99" w:rsidRPr="007E5AF3" w:rsidRDefault="00DF4C99" w:rsidP="00DF4C99">
      <w:pPr>
        <w:spacing w:line="500" w:lineRule="exact"/>
        <w:jc w:val="both"/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</w:pPr>
      <w:r w:rsidRPr="007E5AF3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采购需求：</w:t>
      </w:r>
    </w:p>
    <w:p w:rsidR="00DF4C99" w:rsidRPr="007E5AF3" w:rsidRDefault="00DF4C99" w:rsidP="00DF4C99">
      <w:pPr>
        <w:spacing w:line="500" w:lineRule="exact"/>
        <w:jc w:val="center"/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</w:pPr>
      <w:r w:rsidRPr="007E5AF3"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  <w:t>餐厅外包服务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074"/>
        <w:gridCol w:w="7066"/>
      </w:tblGrid>
      <w:tr w:rsidR="007E5AF3" w:rsidRPr="007E5AF3" w:rsidTr="00F57A54">
        <w:trPr>
          <w:trHeight w:val="23"/>
        </w:trPr>
        <w:tc>
          <w:tcPr>
            <w:tcW w:w="1148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jc w:val="center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参数性质</w:t>
            </w:r>
          </w:p>
        </w:tc>
        <w:tc>
          <w:tcPr>
            <w:tcW w:w="1074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jc w:val="center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序号</w:t>
            </w:r>
          </w:p>
        </w:tc>
        <w:tc>
          <w:tcPr>
            <w:tcW w:w="7066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jc w:val="center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技术参数和性能指标</w:t>
            </w:r>
          </w:p>
        </w:tc>
      </w:tr>
      <w:tr w:rsidR="007E5AF3" w:rsidRPr="007E5AF3" w:rsidTr="00F57A54">
        <w:trPr>
          <w:trHeight w:val="23"/>
        </w:trPr>
        <w:tc>
          <w:tcPr>
            <w:tcW w:w="1148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jc w:val="center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1</w:t>
            </w:r>
          </w:p>
        </w:tc>
        <w:tc>
          <w:tcPr>
            <w:tcW w:w="7066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2"/>
              <w:textAlignment w:val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lang w:eastAsia="zh-CN"/>
              </w:rPr>
              <w:t>项目情况</w:t>
            </w:r>
          </w:p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陕西省田径运动管理中心餐厅总面积约500㎡，后</w:t>
            </w:r>
            <w:proofErr w:type="gramStart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厨面积</w:t>
            </w:r>
            <w:proofErr w:type="gramEnd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约210㎡。餐厅由一类运动灶、二类运动灶，三类运动灶组成，为专业运动员提供科学、丰盛、营养、安全的一日三餐及相关服务。</w:t>
            </w:r>
            <w:proofErr w:type="gramStart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每日保障约</w:t>
            </w:r>
            <w:proofErr w:type="gramEnd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260人就餐，其中：一类</w:t>
            </w:r>
            <w:proofErr w:type="gramStart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运动灶约</w:t>
            </w:r>
            <w:proofErr w:type="gramEnd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60人、二类运动灶140人，三类</w:t>
            </w:r>
            <w:proofErr w:type="gramStart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运动灶约</w:t>
            </w:r>
            <w:proofErr w:type="gramEnd"/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60人。</w:t>
            </w:r>
          </w:p>
        </w:tc>
      </w:tr>
      <w:tr w:rsidR="007E5AF3" w:rsidRPr="007E5AF3" w:rsidTr="00F57A54">
        <w:trPr>
          <w:trHeight w:val="4965"/>
        </w:trPr>
        <w:tc>
          <w:tcPr>
            <w:tcW w:w="1148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jc w:val="center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2</w:t>
            </w:r>
          </w:p>
        </w:tc>
        <w:tc>
          <w:tcPr>
            <w:tcW w:w="7066" w:type="dxa"/>
          </w:tcPr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2"/>
              <w:textAlignment w:val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lang w:eastAsia="zh-CN"/>
              </w:rPr>
              <w:t>项目服务内容</w:t>
            </w:r>
            <w:bookmarkStart w:id="0" w:name="_GoBack"/>
            <w:bookmarkEnd w:id="0"/>
          </w:p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（一）服务期限：</w:t>
            </w: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 xml:space="preserve"> </w:t>
            </w: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1年</w:t>
            </w:r>
          </w:p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（二）预算限额：87万</w:t>
            </w:r>
          </w:p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 xml:space="preserve">（三）保障田径中心全体人员就餐。全权负责陕西省田径运动管理中心餐厅的日常管理，包括人员 、卫生 、质量 、安全、反兴奋剂等内容 ( 详见服务内容清单)  </w:t>
            </w:r>
          </w:p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  <w:r w:rsidRPr="007E5AF3">
              <w:rPr>
                <w:rFonts w:ascii="宋体" w:eastAsia="宋体" w:hAnsi="宋体" w:cs="宋体" w:hint="eastAsia"/>
                <w:color w:val="000000" w:themeColor="text1"/>
                <w:sz w:val="24"/>
                <w:lang w:eastAsia="zh-CN"/>
              </w:rPr>
              <w:t>服务内容清单：</w:t>
            </w:r>
          </w:p>
          <w:tbl>
            <w:tblPr>
              <w:tblStyle w:val="TableNormal"/>
              <w:tblW w:w="4868" w:type="pct"/>
              <w:tblInd w:w="10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849"/>
              <w:gridCol w:w="4947"/>
            </w:tblGrid>
            <w:tr w:rsidR="007E5AF3" w:rsidRPr="007E5AF3" w:rsidTr="00F57A54">
              <w:trPr>
                <w:trHeight w:val="653"/>
              </w:trPr>
              <w:tc>
                <w:tcPr>
                  <w:tcW w:w="645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121" w:line="177" w:lineRule="auto"/>
                    <w:ind w:left="223"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服务项目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3"/>
                      <w:sz w:val="22"/>
                      <w:szCs w:val="22"/>
                    </w:rPr>
                    <w:t>服务要求事项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122" w:line="178" w:lineRule="auto"/>
                    <w:ind w:left="224"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3"/>
                      <w:sz w:val="22"/>
                      <w:szCs w:val="22"/>
                    </w:rPr>
                    <w:t>具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体服务内容</w:t>
                  </w:r>
                  <w:proofErr w:type="spellEnd"/>
                </w:p>
              </w:tc>
            </w:tr>
            <w:tr w:rsidR="007E5AF3" w:rsidRPr="007E5AF3" w:rsidTr="00F57A54">
              <w:trPr>
                <w:trHeight w:val="1271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ind w:firstLine="1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pacing w:val="-13"/>
                      <w:sz w:val="22"/>
                      <w:szCs w:val="22"/>
                    </w:rPr>
                  </w:pPr>
                  <w:r w:rsidRPr="007E5AF3">
                    <w:rPr>
                      <w:rFonts w:ascii="宋体" w:eastAsia="宋体" w:hAnsi="宋体" w:cs="宋体" w:hint="eastAsia"/>
                      <w:noProof/>
                      <w:snapToGrid/>
                      <w:color w:val="000000" w:themeColor="text1"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0" allowOverlap="1" wp14:anchorId="773262AB" wp14:editId="630031B4">
                        <wp:simplePos x="0" y="0"/>
                        <wp:positionH relativeFrom="page">
                          <wp:posOffset>-1686560</wp:posOffset>
                        </wp:positionH>
                        <wp:positionV relativeFrom="page">
                          <wp:posOffset>11965940</wp:posOffset>
                        </wp:positionV>
                        <wp:extent cx="362585" cy="330835"/>
                        <wp:effectExtent l="0" t="0" r="18415" b="12065"/>
                        <wp:wrapNone/>
                        <wp:docPr id="5" name="I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" cy="330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E5AF3">
                    <w:rPr>
                      <w:rFonts w:ascii="宋体" w:eastAsia="宋体" w:hAnsi="宋体" w:cs="宋体" w:hint="eastAsia"/>
                      <w:noProof/>
                      <w:snapToGrid/>
                      <w:color w:val="000000" w:themeColor="text1"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0" allowOverlap="1" wp14:anchorId="197FC2B3" wp14:editId="555D0D9D">
                        <wp:simplePos x="0" y="0"/>
                        <wp:positionH relativeFrom="page">
                          <wp:posOffset>-1954530</wp:posOffset>
                        </wp:positionH>
                        <wp:positionV relativeFrom="page">
                          <wp:posOffset>12296775</wp:posOffset>
                        </wp:positionV>
                        <wp:extent cx="267970" cy="330835"/>
                        <wp:effectExtent l="0" t="0" r="17780" b="12065"/>
                        <wp:wrapNone/>
                        <wp:docPr id="6" name="I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970" cy="330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一、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ind w:firstLine="1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人员管理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3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人事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劳资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color w:val="000000" w:themeColor="text1"/>
                      <w:spacing w:val="-7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全权负责食堂各类工作人员的人事、劳资及人身安全。负责与其签订劳务合同、按时足额发放工资，按照法律规定缴纳社保，履行并承担相关法律责任。在提供服务过程中乙方工作人员出现的一切问题（员工安全、各类纠纷）由乙方负责。</w:t>
                  </w:r>
                </w:p>
              </w:tc>
            </w:tr>
            <w:tr w:rsidR="007E5AF3" w:rsidRPr="007E5AF3" w:rsidTr="00F57A54">
              <w:trPr>
                <w:trHeight w:val="1012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工作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职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责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乙方按餐厅用餐人员实际需求配备工作人员，各类工作人员不得少于16人，根据人员变动随时向甲方提供人员名单及职责分工，积极配合、统筹协调确保餐厅的顺利运行 。</w:t>
                  </w:r>
                </w:p>
              </w:tc>
            </w:tr>
            <w:tr w:rsidR="007E5AF3" w:rsidRPr="007E5AF3" w:rsidTr="00F57A54">
              <w:trPr>
                <w:trHeight w:val="1009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工作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要求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keepLines/>
                    <w:widowControl w:val="0"/>
                    <w:kinsoku/>
                    <w:wordWrap w:val="0"/>
                    <w:overflowPunct w:val="0"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1.严格遵守甲方相关管理制度，按照甲方对于运动队作息规律及时调整工作时间，请假、调休等必须向甲方报备，不得影响餐厅正常工作的开展。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2.餐厅工作人员做到服务热情周到，干净卫生，服从管理。</w:t>
                  </w:r>
                </w:p>
              </w:tc>
            </w:tr>
            <w:tr w:rsidR="007E5AF3" w:rsidRPr="007E5AF3" w:rsidTr="00F57A54">
              <w:trPr>
                <w:trHeight w:val="1506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7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7"/>
                      <w:sz w:val="22"/>
                      <w:szCs w:val="22"/>
                    </w:rPr>
                    <w:t>考评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7"/>
                      <w:sz w:val="22"/>
                      <w:szCs w:val="22"/>
                    </w:rPr>
                    <w:t>考核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乙方应制定详细考评考核办法，全权负责对其工作人员的考核奖惩处理，每月将处理结果向甲方报备，对不能胜任岗位职责的人员，甲方有权要求乙方进行更换。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甲方制定详细考评考核办法，对乙方进行全面的日常考核，有违反相关要求的情况，将给予乙方相应经济处罚。</w:t>
                  </w:r>
                </w:p>
              </w:tc>
            </w:tr>
            <w:tr w:rsidR="007E5AF3" w:rsidRPr="007E5AF3" w:rsidTr="00F57A54">
              <w:trPr>
                <w:trHeight w:val="650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373" w:lineRule="exact"/>
                    <w:ind w:firstLine="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二、质量要求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制定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食谱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按照甲方要求，并结合田径运动项目特点，在运动营养专家指导下，制定一周七日、一 日三餐(夜训加餐)食谱，食谱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一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周一换。</w:t>
                  </w:r>
                </w:p>
              </w:tc>
            </w:tr>
            <w:tr w:rsidR="007E5AF3" w:rsidRPr="007E5AF3" w:rsidTr="00F57A54">
              <w:trPr>
                <w:trHeight w:val="1742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确保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质量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1.严格按照食药监局要求，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做好食材分类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管理。严格按照操作流程进行烹任，减少食物营养在烹制过程中的流失。同时根据运动员膳食营养需求供应菜品，科学搭配，合理膳食，并依据季节天气的变化及时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调整食材供应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，定期推出新式菜肴，保证菜品种类 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2.讲究烹调技艺，色、香、味、形、营养俱佳，不断创新品种，引进新技术，新品种，多风味，适应广大运动员需求。</w:t>
                  </w:r>
                </w:p>
              </w:tc>
            </w:tr>
            <w:tr w:rsidR="007E5AF3" w:rsidRPr="007E5AF3" w:rsidTr="00F57A54">
              <w:trPr>
                <w:trHeight w:val="90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373" w:lineRule="exact"/>
                    <w:ind w:firstLine="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3"/>
                      <w:sz w:val="22"/>
                      <w:szCs w:val="22"/>
                    </w:rPr>
                    <w:t>三、卫生管理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餐厅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卫生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autoSpaceDE/>
                    <w:autoSpaceDN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采取有效措施，清除卫生死角，添设防蝇设施，消除老鼠、蟑螂、苍蝇和其它有害昆虫及其滋生条件。环境卫生坚持一餐一小扫 、一天一中扫、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一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周一大扫，做到墙角无蛛网、墙面无污迹、地面无灰尘。每天做到早中晚三次消杀，并做好记录。物品摆放应分类分架，离地、离墙，标有物品名称标志。就餐结束后，及时清扫、整理操作间和食堂，确保符合食药监部门检查要求 。</w:t>
                  </w:r>
                </w:p>
              </w:tc>
            </w:tr>
            <w:tr w:rsidR="007E5AF3" w:rsidRPr="007E5AF3" w:rsidTr="00F57A54">
              <w:trPr>
                <w:trHeight w:val="2531"/>
              </w:trPr>
              <w:tc>
                <w:tcPr>
                  <w:tcW w:w="645" w:type="pct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个人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卫生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负责组织餐厅工作人员按相关规定做好体检，取得卫生检疫部门的《健康证》，持证上岗。要求工作人员做好“四勤”(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即勤洗手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、勤剪指甲、勤洗衣服、勤换衣服)、“三白”(白帽子、白衣服、白口罩)。工作前、处理食品原料后、便后均用肥皂及流动清水洗手，接触直接入口食品之前先洗手消毒。操作间内必须穿戴清洁的工作衣帽，并把头发置于帽内。加工和传递饭菜时带好口罩。不得在操作间和食堂内吸烟，不留长指甲，涂指甲油，不戴首饰。离开食堂或进入厕所前必须脱下工作衣帽。外出回来时必须洗手消毒方可进入食堂操作间。不得面对食品打喷嚏、咳嗽及其他有碍食品卫生的行为。</w:t>
                  </w:r>
                </w:p>
              </w:tc>
            </w:tr>
            <w:tr w:rsidR="007E5AF3" w:rsidRPr="007E5AF3" w:rsidTr="00F57A54">
              <w:trPr>
                <w:trHeight w:val="1473"/>
              </w:trPr>
              <w:tc>
                <w:tcPr>
                  <w:tcW w:w="645" w:type="pct"/>
                  <w:vMerge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餐饮具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卫生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食品加工前，要保证菜板、刀具以及容器的卫生。生熟食菜板、刀具、用具等要分开使用，不得混用。餐饮具洗刷消毒要按“一刮二洗三冲四消毒五保洁”的程序操作。洗刷餐饮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具必须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有专用水池，不得与清洗蔬菜、肉类等其他水池混用。洗涤、消毒餐饮具使用洗涤剂必须符合食品洗涤剂、消毒剂卫生标准和要求，消毒后的餐饮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具必须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储存在消毒柜中备用 。</w:t>
                  </w:r>
                </w:p>
              </w:tc>
            </w:tr>
            <w:tr w:rsidR="007E5AF3" w:rsidRPr="007E5AF3" w:rsidTr="00F57A54">
              <w:trPr>
                <w:trHeight w:val="989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248" w:lineRule="auto"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4"/>
                      <w:sz w:val="22"/>
                      <w:szCs w:val="22"/>
                    </w:rPr>
                    <w:t>四、管理运行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设备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资产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管理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1.乙方负责保障餐厅设备完善，运转良好，对餐厅各类资产负责。如空调、桌椅、通风系统、排油烟系统、炒锅、蒸箱、货架、和面机、压面机、不锈钢案板、洗碗机、消毒柜、保洁柜、大冰柜等。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2.定期对各类设施设备进行保洁清理和检查维护，发现问题确需维修更换的， 向甲方申请报修。</w:t>
                  </w:r>
                </w:p>
              </w:tc>
            </w:tr>
            <w:tr w:rsidR="007E5AF3" w:rsidRPr="007E5AF3" w:rsidTr="00F57A54">
              <w:trPr>
                <w:trHeight w:val="899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规范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服务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管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理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乙方应按照甲方要求按时开饭 保证就餐时间。就餐前确保就餐环境的卫生整洁；就餐期间保证桌面干净、地面无菜汤，保证就餐人员的就餐需求 。</w:t>
                  </w:r>
                </w:p>
              </w:tc>
            </w:tr>
            <w:tr w:rsidR="007E5AF3" w:rsidRPr="007E5AF3" w:rsidTr="00F57A54">
              <w:trPr>
                <w:trHeight w:val="772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建立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管理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台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账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乙方应建立食堂管理台账，每月对食堂用餐人数及采购量进行成本核算。对食堂“择洗、加工、储存”等环节实施规范化管理，严禁将食物原材料及食品私自外带。严禁浪费，倡导光盘行为，全面落</w:t>
                  </w: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lastRenderedPageBreak/>
                    <w:t>实节约措施，节约粮食 。</w:t>
                  </w:r>
                </w:p>
              </w:tc>
            </w:tr>
            <w:tr w:rsidR="007E5AF3" w:rsidRPr="007E5AF3" w:rsidTr="00F57A54">
              <w:trPr>
                <w:trHeight w:val="937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组织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技能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培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训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乙方应定期组织技能培训和参观学习，有效提高饭菜质量及食堂服务水平 。</w:t>
                  </w:r>
                </w:p>
              </w:tc>
            </w:tr>
            <w:tr w:rsidR="007E5AF3" w:rsidRPr="007E5AF3" w:rsidTr="00F57A54">
              <w:trPr>
                <w:trHeight w:val="565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做好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0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活动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0"/>
                      <w:sz w:val="22"/>
                      <w:szCs w:val="22"/>
                    </w:rPr>
                    <w:t>保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障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遇节假日等期间召开联欢会 、聚餐等活动，按照甲方统一安排，提供用餐接待和服务保障 。</w:t>
                  </w:r>
                </w:p>
              </w:tc>
            </w:tr>
            <w:tr w:rsidR="007E5AF3" w:rsidRPr="007E5AF3" w:rsidTr="00F57A54">
              <w:trPr>
                <w:trHeight w:val="868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ind w:firstLine="17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2"/>
                      <w:sz w:val="22"/>
                      <w:szCs w:val="22"/>
                    </w:rPr>
                    <w:t>五、安全管理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12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2"/>
                      <w:sz w:val="22"/>
                      <w:szCs w:val="22"/>
                    </w:rPr>
                    <w:t>安全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12"/>
                      <w:sz w:val="22"/>
                      <w:szCs w:val="22"/>
                    </w:rPr>
                    <w:t>检查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负责食堂防火、防盗和安全生产工作，安全规范操作食堂机械设备。随手关闭水、电、煤气等。每日下班前，专人负责对水、电、煤气、炉灶等进行安全检查。无条件接受、配合食药监管部门、燃气公司及甲方的定期检查。</w:t>
                  </w:r>
                </w:p>
              </w:tc>
            </w:tr>
            <w:tr w:rsidR="007E5AF3" w:rsidRPr="007E5AF3" w:rsidTr="00F57A54">
              <w:trPr>
                <w:trHeight w:val="899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制定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应急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预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z w:val="22"/>
                      <w:szCs w:val="22"/>
                    </w:rPr>
                    <w:t>案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制定食品安全应急预案，编制应急处置流程，严格遵守食品操作规范，有效预防食品事故发生 。</w:t>
                  </w:r>
                </w:p>
              </w:tc>
            </w:tr>
            <w:tr w:rsidR="007E5AF3" w:rsidRPr="007E5AF3" w:rsidTr="00F57A54">
              <w:trPr>
                <w:trHeight w:val="900"/>
              </w:trPr>
              <w:tc>
                <w:tcPr>
                  <w:tcW w:w="645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7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六、反兴奋剂管理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落实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2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反兴奋</w:t>
                  </w: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剂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要求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乙方应严格按照反兴奋剂相关要求，做好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食材制作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和留样等工作。定期配合开展反兴奋剂相关知识的学习，对于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重点食材进行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兴奋剂抽样检测，坚决杜绝外卖食品上餐桌，确保食品兴奋剂安全。</w:t>
                  </w:r>
                </w:p>
              </w:tc>
            </w:tr>
            <w:tr w:rsidR="007E5AF3" w:rsidRPr="007E5AF3" w:rsidTr="00F57A54">
              <w:trPr>
                <w:trHeight w:val="744"/>
              </w:trPr>
              <w:tc>
                <w:tcPr>
                  <w:tcW w:w="645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7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pacing w:val="2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</w:rPr>
                    <w:t>七、其他</w:t>
                  </w:r>
                  <w:proofErr w:type="spellEnd"/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外训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保障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按照甲方要求，每年至少保证4名厨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师能够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保障甲方外训队组外训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期间办灶工作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，全年外训时间不少于8个月，厨师外训出差期间相关费用由乙方全部承担。</w:t>
                  </w:r>
                </w:p>
              </w:tc>
            </w:tr>
            <w:tr w:rsidR="007E5AF3" w:rsidRPr="007E5AF3" w:rsidTr="00F57A54">
              <w:trPr>
                <w:trHeight w:val="756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7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pacing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赛事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8"/>
                      <w:sz w:val="22"/>
                      <w:szCs w:val="22"/>
                    </w:rPr>
                    <w:t>保障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如遇甲方举办各类赛事，乙方需全力保障赛事期间相关人员（裁判员、志愿者、工作人员）临时就餐，产生相关服务费双方另行协商。</w:t>
                  </w:r>
                </w:p>
              </w:tc>
            </w:tr>
            <w:tr w:rsidR="007E5AF3" w:rsidRPr="007E5AF3" w:rsidTr="00F57A54">
              <w:trPr>
                <w:trHeight w:val="1009"/>
              </w:trPr>
              <w:tc>
                <w:tcPr>
                  <w:tcW w:w="64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7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pacing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9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9"/>
                      <w:sz w:val="22"/>
                      <w:szCs w:val="22"/>
                    </w:rPr>
                    <w:t>住宿</w:t>
                  </w:r>
                  <w:proofErr w:type="spellEnd"/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8"/>
                      <w:sz w:val="22"/>
                      <w:szCs w:val="22"/>
                    </w:rPr>
                  </w:pPr>
                  <w:proofErr w:type="spellStart"/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9"/>
                      <w:sz w:val="22"/>
                      <w:szCs w:val="22"/>
                    </w:rPr>
                    <w:t>保障</w:t>
                  </w:r>
                  <w:proofErr w:type="spellEnd"/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甲方为乙方提供男女各一间宿舍，乙方负责宿舍管理，包括宿舍及公共区域卫生、宿舍人员安全管理，严禁“黄赌毒”，出现的各类安全事故由乙方负责。</w:t>
                  </w:r>
                </w:p>
              </w:tc>
            </w:tr>
            <w:tr w:rsidR="007E5AF3" w:rsidRPr="007E5AF3" w:rsidTr="00F57A54">
              <w:trPr>
                <w:trHeight w:val="427"/>
              </w:trPr>
              <w:tc>
                <w:tcPr>
                  <w:tcW w:w="645" w:type="pc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before="75"/>
                    <w:jc w:val="center"/>
                    <w:textAlignment w:val="center"/>
                    <w:rPr>
                      <w:rFonts w:ascii="宋体" w:eastAsia="宋体" w:hAnsi="宋体" w:cs="宋体"/>
                      <w:color w:val="000000" w:themeColor="text1"/>
                      <w:spacing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2"/>
                      <w:sz w:val="22"/>
                      <w:szCs w:val="22"/>
                      <w:lang w:eastAsia="zh-CN"/>
                    </w:rPr>
                    <w:t>八、考核</w:t>
                  </w:r>
                </w:p>
              </w:tc>
              <w:tc>
                <w:tcPr>
                  <w:tcW w:w="638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jc w:val="center"/>
                    <w:rPr>
                      <w:rFonts w:ascii="宋体" w:eastAsia="宋体" w:hAnsi="宋体" w:cs="宋体"/>
                      <w:color w:val="000000" w:themeColor="text1"/>
                      <w:spacing w:val="-9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color w:val="000000" w:themeColor="text1"/>
                      <w:spacing w:val="-9"/>
                      <w:sz w:val="22"/>
                      <w:szCs w:val="22"/>
                      <w:lang w:eastAsia="zh-CN"/>
                    </w:rPr>
                    <w:t>考核</w:t>
                  </w:r>
                </w:p>
              </w:tc>
              <w:tc>
                <w:tcPr>
                  <w:tcW w:w="3716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1.会议制度。中心分管领导每周组织召开伙食工作例会，及时将中心人员对伙食的意见和建议等通报餐饮公司负责人，并进行整改。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2.专人监管。中心安排专人负责监督检查，每天填写周量化考核表和卫生安全检查表，考核表依据供应商响应文件和中心要求由采购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人制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定。监督</w:t>
                  </w: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lastRenderedPageBreak/>
                    <w:t>检查时发现问题应及时提醒纠正，或拍照并及时向餐饮公司负责人反映。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3.严格监管。中心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食堂周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量化考核中同类问题第一次发生给予警告，第二次发生将按照考核表扣相应分数。每月底进行统计形成月量化考核统计汇总表，于次月5日前</w:t>
                  </w:r>
                  <w:proofErr w:type="gramStart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报中心</w:t>
                  </w:r>
                  <w:proofErr w:type="gramEnd"/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领导。每月餐饮公司负责人同时在监督检查清单签字确认。</w:t>
                  </w:r>
                </w:p>
                <w:p w:rsidR="00DF4C99" w:rsidRPr="007E5AF3" w:rsidRDefault="00DF4C99" w:rsidP="00F57A54">
                  <w:pPr>
                    <w:widowControl w:val="0"/>
                    <w:kinsoku/>
                    <w:wordWrap w:val="0"/>
                    <w:overflowPunct w:val="0"/>
                    <w:topLinePunct/>
                    <w:spacing w:line="400" w:lineRule="exact"/>
                    <w:ind w:leftChars="50" w:left="105" w:rightChars="50" w:right="105"/>
                    <w:jc w:val="both"/>
                    <w:rPr>
                      <w:rFonts w:ascii="宋体" w:eastAsia="宋体" w:hAnsi="宋体" w:cs="宋体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</w:pPr>
                  <w:r w:rsidRPr="007E5AF3">
                    <w:rPr>
                      <w:rFonts w:ascii="宋体" w:eastAsia="宋体" w:hAnsi="宋体" w:cs="宋体" w:hint="eastAsia"/>
                      <w:snapToGrid/>
                      <w:color w:val="000000" w:themeColor="text1"/>
                      <w:kern w:val="2"/>
                      <w:sz w:val="22"/>
                      <w:szCs w:val="22"/>
                      <w:lang w:eastAsia="zh-CN"/>
                    </w:rPr>
                    <w:t>4.经济处罚。月量化考核统计汇总表扣1分等同于罚100元，同样问题再次发生翻倍处罚。此处增加督办一次扣5分，督办二次10分，处罚金额从中心每季度支付的服务费中扣除。</w:t>
                  </w:r>
                </w:p>
              </w:tc>
            </w:tr>
          </w:tbl>
          <w:p w:rsidR="00DF4C99" w:rsidRPr="007E5AF3" w:rsidRDefault="00DF4C99" w:rsidP="00F57A54">
            <w:pPr>
              <w:pStyle w:val="a6"/>
              <w:kinsoku/>
              <w:autoSpaceDE/>
              <w:autoSpaceDN/>
              <w:adjustRightInd/>
              <w:snapToGrid/>
              <w:spacing w:after="0" w:line="500" w:lineRule="exact"/>
              <w:ind w:firstLineChars="200" w:firstLine="480"/>
              <w:textAlignment w:val="auto"/>
              <w:rPr>
                <w:rFonts w:ascii="宋体" w:eastAsia="宋体" w:hAnsi="宋体" w:cs="宋体"/>
                <w:color w:val="000000" w:themeColor="text1"/>
                <w:sz w:val="24"/>
                <w:lang w:eastAsia="zh-CN"/>
              </w:rPr>
            </w:pPr>
          </w:p>
        </w:tc>
      </w:tr>
    </w:tbl>
    <w:p w:rsidR="006A00F4" w:rsidRPr="007E5AF3" w:rsidRDefault="006A00F4">
      <w:pPr>
        <w:rPr>
          <w:color w:val="000000" w:themeColor="text1"/>
        </w:rPr>
      </w:pPr>
    </w:p>
    <w:sectPr w:rsidR="006A00F4" w:rsidRPr="007E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99"/>
    <w:rsid w:val="0006223D"/>
    <w:rsid w:val="0026710F"/>
    <w:rsid w:val="003007D4"/>
    <w:rsid w:val="00447356"/>
    <w:rsid w:val="006A00F4"/>
    <w:rsid w:val="007E5AF3"/>
    <w:rsid w:val="00B669BB"/>
    <w:rsid w:val="00DF4C99"/>
    <w:rsid w:val="00E32639"/>
    <w:rsid w:val="00F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D99A"/>
  <w15:chartTrackingRefBased/>
  <w15:docId w15:val="{633B291F-6D37-41EB-A43A-6FC5B402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C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autoRedefine/>
    <w:qFormat/>
    <w:rsid w:val="0006223D"/>
    <w:pPr>
      <w:keepNext/>
      <w:keepLines/>
      <w:widowControl w:val="0"/>
      <w:kinsoku/>
      <w:autoSpaceDE/>
      <w:autoSpaceDN/>
      <w:spacing w:before="240" w:after="240" w:line="360" w:lineRule="auto"/>
      <w:jc w:val="center"/>
      <w:textAlignment w:val="auto"/>
      <w:outlineLvl w:val="0"/>
    </w:pPr>
    <w:rPr>
      <w:rFonts w:ascii="Calibri" w:eastAsia="宋体" w:hAnsi="Calibri" w:cs="Times New Roman"/>
      <w:b/>
      <w:bCs/>
      <w:color w:val="auto"/>
      <w:kern w:val="44"/>
      <w:sz w:val="32"/>
      <w:szCs w:val="44"/>
      <w:lang w:eastAsia="zh-CN"/>
    </w:rPr>
  </w:style>
  <w:style w:type="paragraph" w:styleId="2">
    <w:name w:val="heading 2"/>
    <w:basedOn w:val="a"/>
    <w:next w:val="a"/>
    <w:link w:val="20"/>
    <w:autoRedefine/>
    <w:unhideWhenUsed/>
    <w:qFormat/>
    <w:rsid w:val="0006223D"/>
    <w:pPr>
      <w:keepNext/>
      <w:keepLines/>
      <w:widowControl w:val="0"/>
      <w:kinsoku/>
      <w:autoSpaceDE/>
      <w:autoSpaceDN/>
      <w:spacing w:before="300" w:after="300" w:line="360" w:lineRule="auto"/>
      <w:jc w:val="both"/>
      <w:textAlignment w:val="auto"/>
      <w:outlineLvl w:val="1"/>
    </w:pPr>
    <w:rPr>
      <w:rFonts w:asciiTheme="majorHAnsi" w:eastAsiaTheme="majorEastAsia" w:hAnsiTheme="majorHAnsi" w:cstheme="majorBidi"/>
      <w:bCs/>
      <w:color w:val="auto"/>
      <w:sz w:val="28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447356"/>
    <w:pPr>
      <w:keepNext/>
      <w:keepLines/>
      <w:widowControl w:val="0"/>
      <w:kinsoku/>
      <w:autoSpaceDE/>
      <w:autoSpaceDN/>
      <w:spacing w:line="360" w:lineRule="auto"/>
      <w:jc w:val="both"/>
      <w:textAlignment w:val="auto"/>
      <w:outlineLvl w:val="3"/>
    </w:pPr>
    <w:rPr>
      <w:rFonts w:asciiTheme="majorHAnsi" w:eastAsiaTheme="majorEastAsia" w:hAnsiTheme="majorHAnsi" w:cstheme="majorBidi"/>
      <w:b/>
      <w:bCs/>
      <w:color w:val="auto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6223D"/>
    <w:rPr>
      <w:rFonts w:ascii="Calibri" w:eastAsia="宋体" w:hAnsi="Calibri" w:cs="Times New Roman"/>
      <w:b/>
      <w:bCs/>
      <w:snapToGrid w:val="0"/>
      <w:kern w:val="44"/>
      <w:sz w:val="32"/>
      <w:szCs w:val="44"/>
    </w:rPr>
  </w:style>
  <w:style w:type="paragraph" w:styleId="TOC1">
    <w:name w:val="toc 1"/>
    <w:basedOn w:val="a"/>
    <w:next w:val="a"/>
    <w:autoRedefine/>
    <w:uiPriority w:val="39"/>
    <w:qFormat/>
    <w:rsid w:val="0026710F"/>
    <w:pPr>
      <w:widowControl w:val="0"/>
      <w:tabs>
        <w:tab w:val="right" w:leader="dot" w:pos="9458"/>
      </w:tabs>
      <w:kinsoku/>
      <w:autoSpaceDE/>
      <w:autoSpaceDN/>
      <w:spacing w:line="360" w:lineRule="auto"/>
      <w:textAlignment w:val="auto"/>
    </w:pPr>
    <w:rPr>
      <w:rFonts w:ascii="Calibri" w:eastAsia="宋体" w:hAnsi="Calibri" w:cs="Calibri"/>
      <w:bCs/>
      <w:caps/>
      <w:color w:val="auto"/>
      <w:sz w:val="24"/>
      <w:szCs w:val="20"/>
      <w:lang w:eastAsia="zh-CN"/>
    </w:rPr>
  </w:style>
  <w:style w:type="paragraph" w:styleId="TOC2">
    <w:name w:val="toc 2"/>
    <w:basedOn w:val="a"/>
    <w:next w:val="a"/>
    <w:autoRedefine/>
    <w:uiPriority w:val="39"/>
    <w:qFormat/>
    <w:rsid w:val="00E32639"/>
    <w:pPr>
      <w:widowControl w:val="0"/>
      <w:kinsoku/>
      <w:autoSpaceDE/>
      <w:autoSpaceDN/>
      <w:spacing w:line="360" w:lineRule="auto"/>
      <w:ind w:left="210"/>
      <w:textAlignment w:val="auto"/>
    </w:pPr>
    <w:rPr>
      <w:rFonts w:ascii="Calibri" w:eastAsia="宋体" w:hAnsi="Calibri" w:cs="Calibri"/>
      <w:smallCaps/>
      <w:color w:val="auto"/>
      <w:sz w:val="24"/>
      <w:szCs w:val="20"/>
      <w:lang w:eastAsia="zh-CN"/>
    </w:rPr>
  </w:style>
  <w:style w:type="character" w:customStyle="1" w:styleId="2Char">
    <w:name w:val="标题 2 Char"/>
    <w:basedOn w:val="a0"/>
    <w:uiPriority w:val="9"/>
    <w:semiHidden/>
    <w:rsid w:val="00E326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rsid w:val="0006223D"/>
    <w:rPr>
      <w:rFonts w:asciiTheme="majorHAnsi" w:eastAsiaTheme="majorEastAsia" w:hAnsiTheme="majorHAnsi" w:cstheme="majorBidi"/>
      <w:bCs/>
      <w:snapToGrid w:val="0"/>
      <w:sz w:val="28"/>
      <w:szCs w:val="32"/>
    </w:rPr>
  </w:style>
  <w:style w:type="paragraph" w:customStyle="1" w:styleId="a3">
    <w:name w:val="招标文件项目名称"/>
    <w:basedOn w:val="a4"/>
    <w:link w:val="Char"/>
    <w:autoRedefine/>
    <w:qFormat/>
    <w:rsid w:val="003007D4"/>
    <w:pPr>
      <w:adjustRightInd w:val="0"/>
      <w:snapToGrid w:val="0"/>
      <w:spacing w:line="800" w:lineRule="exact"/>
      <w:ind w:firstLineChars="0" w:firstLine="0"/>
      <w:jc w:val="center"/>
    </w:pPr>
    <w:rPr>
      <w:rFonts w:ascii="方正小标宋简体" w:eastAsia="方正小标宋简体" w:hAnsi="方正小标宋简体" w:cs="方正小标宋简体"/>
      <w:color w:val="000000"/>
      <w:sz w:val="48"/>
      <w:szCs w:val="48"/>
    </w:rPr>
  </w:style>
  <w:style w:type="character" w:customStyle="1" w:styleId="Char">
    <w:name w:val="招标文件项目名称 Char"/>
    <w:basedOn w:val="a0"/>
    <w:link w:val="a3"/>
    <w:rsid w:val="003007D4"/>
    <w:rPr>
      <w:rFonts w:ascii="方正小标宋简体" w:eastAsia="方正小标宋简体" w:hAnsi="方正小标宋简体" w:cs="方正小标宋简体"/>
      <w:color w:val="000000"/>
      <w:sz w:val="48"/>
      <w:szCs w:val="48"/>
    </w:rPr>
  </w:style>
  <w:style w:type="paragraph" w:styleId="a4">
    <w:name w:val="Normal Indent"/>
    <w:basedOn w:val="a"/>
    <w:uiPriority w:val="99"/>
    <w:semiHidden/>
    <w:unhideWhenUsed/>
    <w:rsid w:val="003007D4"/>
    <w:pPr>
      <w:widowControl w:val="0"/>
      <w:kinsoku/>
      <w:autoSpaceDE/>
      <w:autoSpaceDN/>
      <w:adjustRightInd/>
      <w:snapToGrid/>
      <w:spacing w:line="360" w:lineRule="auto"/>
      <w:ind w:firstLineChars="200" w:firstLine="420"/>
      <w:jc w:val="both"/>
      <w:textAlignment w:val="auto"/>
    </w:pPr>
    <w:rPr>
      <w:rFonts w:ascii="Calibri" w:eastAsia="宋体" w:hAnsi="Calibri" w:cs="Times New Roman"/>
      <w:color w:val="auto"/>
      <w:sz w:val="24"/>
      <w:szCs w:val="22"/>
      <w:lang w:eastAsia="zh-CN"/>
    </w:rPr>
  </w:style>
  <w:style w:type="paragraph" w:customStyle="1" w:styleId="a5">
    <w:name w:val="瑞通招标文件封面招标编号"/>
    <w:basedOn w:val="a"/>
    <w:next w:val="a"/>
    <w:link w:val="Char0"/>
    <w:autoRedefine/>
    <w:qFormat/>
    <w:rsid w:val="00F76BFA"/>
    <w:pPr>
      <w:widowControl w:val="0"/>
      <w:kinsoku/>
      <w:overflowPunct w:val="0"/>
      <w:topLinePunct/>
      <w:autoSpaceDE/>
      <w:autoSpaceDN/>
      <w:spacing w:line="440" w:lineRule="exact"/>
      <w:ind w:firstLineChars="200" w:firstLine="602"/>
      <w:textAlignment w:val="auto"/>
    </w:pPr>
    <w:rPr>
      <w:rFonts w:ascii="宋体" w:eastAsia="方正小标宋简体" w:hAnsi="宋体" w:cs="方正小标宋简体"/>
      <w:b/>
      <w:sz w:val="30"/>
      <w:szCs w:val="30"/>
      <w:lang w:eastAsia="zh-CN"/>
    </w:rPr>
  </w:style>
  <w:style w:type="character" w:customStyle="1" w:styleId="Char0">
    <w:name w:val="瑞通招标文件封面招标编号 Char"/>
    <w:link w:val="a5"/>
    <w:rsid w:val="00F76BFA"/>
    <w:rPr>
      <w:rFonts w:ascii="宋体" w:eastAsia="方正小标宋简体" w:hAnsi="宋体" w:cs="方正小标宋简体"/>
      <w:b/>
      <w:color w:val="000000"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4473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6">
    <w:name w:val="Body Text"/>
    <w:basedOn w:val="a"/>
    <w:link w:val="a7"/>
    <w:qFormat/>
    <w:rsid w:val="00DF4C99"/>
    <w:pPr>
      <w:spacing w:after="120"/>
    </w:pPr>
  </w:style>
  <w:style w:type="character" w:customStyle="1" w:styleId="a7">
    <w:name w:val="正文文本 字符"/>
    <w:basedOn w:val="a0"/>
    <w:link w:val="a6"/>
    <w:rsid w:val="00DF4C99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styleId="a8">
    <w:name w:val="Table Grid"/>
    <w:basedOn w:val="a1"/>
    <w:qFormat/>
    <w:rsid w:val="00DF4C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DF4C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2024-04-03T09:58:00Z</dcterms:created>
  <dcterms:modified xsi:type="dcterms:W3CDTF">2024-04-03T10:00:00Z</dcterms:modified>
</cp:coreProperties>
</file>