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2BB88">
      <w:pPr>
        <w:jc w:val="center"/>
        <w:rPr>
          <w:rFonts w:hint="eastAsia"/>
          <w:b/>
          <w:color w:val="auto"/>
          <w:sz w:val="44"/>
          <w:szCs w:val="44"/>
          <w:highlight w:val="none"/>
        </w:rPr>
      </w:pPr>
    </w:p>
    <w:p w14:paraId="46C101F8">
      <w:pPr>
        <w:jc w:val="center"/>
        <w:rPr>
          <w:rFonts w:hint="eastAsia"/>
          <w:b/>
          <w:color w:val="auto"/>
          <w:sz w:val="44"/>
          <w:szCs w:val="44"/>
          <w:highlight w:val="none"/>
        </w:rPr>
      </w:pPr>
    </w:p>
    <w:p w14:paraId="2DBCE83E">
      <w:pPr>
        <w:jc w:val="center"/>
        <w:rPr>
          <w:rFonts w:hint="eastAsia"/>
          <w:b/>
          <w:color w:val="auto"/>
          <w:sz w:val="44"/>
          <w:szCs w:val="44"/>
          <w:highlight w:val="none"/>
        </w:rPr>
      </w:pPr>
    </w:p>
    <w:p w14:paraId="70213025">
      <w:pPr>
        <w:jc w:val="center"/>
        <w:rPr>
          <w:rFonts w:hint="eastAsia"/>
          <w:b/>
          <w:color w:val="auto"/>
          <w:sz w:val="48"/>
          <w:szCs w:val="48"/>
          <w:highlight w:val="none"/>
          <w:lang w:val="en-US" w:eastAsia="zh-CN"/>
        </w:rPr>
      </w:pPr>
      <w:r>
        <w:rPr>
          <w:rFonts w:hint="eastAsia"/>
          <w:b/>
          <w:color w:val="auto"/>
          <w:sz w:val="48"/>
          <w:szCs w:val="48"/>
          <w:highlight w:val="none"/>
        </w:rPr>
        <w:t>陕西中医药大学第二附属医院</w:t>
      </w:r>
      <w:r>
        <w:rPr>
          <w:rFonts w:hint="eastAsia"/>
          <w:b/>
          <w:color w:val="auto"/>
          <w:sz w:val="48"/>
          <w:szCs w:val="48"/>
          <w:highlight w:val="none"/>
          <w:lang w:val="en-US" w:eastAsia="zh-CN"/>
        </w:rPr>
        <w:t>2024-2025年度西咸院区污水处理站委托运营管理项目</w:t>
      </w:r>
    </w:p>
    <w:p w14:paraId="552B8091">
      <w:pPr>
        <w:jc w:val="center"/>
        <w:rPr>
          <w:rFonts w:hint="eastAsia"/>
          <w:b/>
          <w:color w:val="auto"/>
          <w:sz w:val="48"/>
          <w:szCs w:val="48"/>
          <w:highlight w:val="none"/>
        </w:rPr>
      </w:pPr>
    </w:p>
    <w:p w14:paraId="4795A44A">
      <w:pPr>
        <w:jc w:val="center"/>
        <w:rPr>
          <w:rFonts w:hint="eastAsia"/>
          <w:b/>
          <w:color w:val="auto"/>
          <w:sz w:val="48"/>
          <w:szCs w:val="48"/>
          <w:highlight w:val="none"/>
        </w:rPr>
      </w:pPr>
    </w:p>
    <w:p w14:paraId="1942A572">
      <w:pPr>
        <w:jc w:val="center"/>
        <w:rPr>
          <w:rFonts w:hint="eastAsia"/>
          <w:b/>
          <w:color w:val="auto"/>
          <w:sz w:val="48"/>
          <w:szCs w:val="48"/>
          <w:highlight w:val="none"/>
        </w:rPr>
      </w:pPr>
    </w:p>
    <w:p w14:paraId="244374DB">
      <w:pPr>
        <w:jc w:val="center"/>
        <w:rPr>
          <w:rFonts w:hint="eastAsia"/>
          <w:b/>
          <w:color w:val="auto"/>
          <w:sz w:val="48"/>
          <w:szCs w:val="48"/>
          <w:highlight w:val="none"/>
        </w:rPr>
      </w:pPr>
      <w:r>
        <w:rPr>
          <w:rFonts w:hint="eastAsia"/>
          <w:b/>
          <w:color w:val="auto"/>
          <w:sz w:val="48"/>
          <w:szCs w:val="48"/>
          <w:highlight w:val="none"/>
          <w:lang w:eastAsia="zh-CN"/>
        </w:rPr>
        <w:t>服</w:t>
      </w:r>
      <w:r>
        <w:rPr>
          <w:rFonts w:hint="eastAsia"/>
          <w:b/>
          <w:color w:val="auto"/>
          <w:sz w:val="48"/>
          <w:szCs w:val="48"/>
          <w:highlight w:val="none"/>
          <w:lang w:val="en-US" w:eastAsia="zh-CN"/>
        </w:rPr>
        <w:t xml:space="preserve"> </w:t>
      </w:r>
      <w:r>
        <w:rPr>
          <w:rFonts w:hint="eastAsia"/>
          <w:b/>
          <w:color w:val="auto"/>
          <w:sz w:val="48"/>
          <w:szCs w:val="48"/>
          <w:highlight w:val="none"/>
          <w:lang w:eastAsia="zh-CN"/>
        </w:rPr>
        <w:t>务</w:t>
      </w:r>
      <w:r>
        <w:rPr>
          <w:rFonts w:hint="eastAsia"/>
          <w:b/>
          <w:color w:val="auto"/>
          <w:sz w:val="48"/>
          <w:szCs w:val="48"/>
          <w:highlight w:val="none"/>
        </w:rPr>
        <w:t xml:space="preserve"> 合 同</w:t>
      </w:r>
    </w:p>
    <w:p w14:paraId="66A75EF7">
      <w:pPr>
        <w:ind w:firstLine="2940" w:firstLineChars="1050"/>
        <w:rPr>
          <w:rFonts w:hint="eastAsia"/>
          <w:color w:val="auto"/>
          <w:sz w:val="28"/>
          <w:szCs w:val="28"/>
          <w:highlight w:val="none"/>
        </w:rPr>
      </w:pPr>
    </w:p>
    <w:p w14:paraId="0D2104AD">
      <w:pPr>
        <w:jc w:val="center"/>
        <w:rPr>
          <w:rFonts w:hint="eastAsia"/>
          <w:b/>
          <w:color w:val="auto"/>
          <w:sz w:val="44"/>
          <w:szCs w:val="44"/>
          <w:highlight w:val="none"/>
        </w:rPr>
      </w:pPr>
    </w:p>
    <w:p w14:paraId="06EEBE40">
      <w:pPr>
        <w:pStyle w:val="3"/>
        <w:rPr>
          <w:rFonts w:hint="eastAsia"/>
          <w:color w:val="auto"/>
          <w:highlight w:val="none"/>
        </w:rPr>
      </w:pPr>
    </w:p>
    <w:p w14:paraId="7522E94F">
      <w:pPr>
        <w:jc w:val="center"/>
        <w:rPr>
          <w:rFonts w:hint="eastAsia"/>
          <w:b/>
          <w:color w:val="auto"/>
          <w:sz w:val="44"/>
          <w:szCs w:val="44"/>
          <w:highlight w:val="none"/>
        </w:rPr>
      </w:pPr>
    </w:p>
    <w:p w14:paraId="5A2263A4">
      <w:pPr>
        <w:jc w:val="center"/>
        <w:rPr>
          <w:rFonts w:hint="eastAsia"/>
          <w:b/>
          <w:color w:val="auto"/>
          <w:sz w:val="44"/>
          <w:szCs w:val="44"/>
          <w:highlight w:val="none"/>
        </w:rPr>
      </w:pPr>
    </w:p>
    <w:p w14:paraId="06A41266">
      <w:pPr>
        <w:jc w:val="left"/>
        <w:rPr>
          <w:rFonts w:hint="eastAsia"/>
          <w:b/>
          <w:color w:val="auto"/>
          <w:sz w:val="44"/>
          <w:szCs w:val="44"/>
          <w:highlight w:val="none"/>
        </w:rPr>
      </w:pPr>
    </w:p>
    <w:p w14:paraId="711562E6">
      <w:pPr>
        <w:ind w:firstLine="1100" w:firstLineChars="249"/>
        <w:rPr>
          <w:rFonts w:hint="eastAsia"/>
          <w:b/>
          <w:color w:val="auto"/>
          <w:sz w:val="44"/>
          <w:szCs w:val="44"/>
          <w:highlight w:val="none"/>
        </w:rPr>
      </w:pPr>
    </w:p>
    <w:p w14:paraId="1631A749">
      <w:pPr>
        <w:jc w:val="center"/>
        <w:rPr>
          <w:rFonts w:hint="eastAsia" w:eastAsia="宋体"/>
          <w:color w:val="auto"/>
          <w:sz w:val="32"/>
          <w:szCs w:val="32"/>
          <w:highlight w:val="none"/>
          <w:lang w:val="en-US" w:eastAsia="zh-CN"/>
        </w:rPr>
      </w:pPr>
      <w:r>
        <w:rPr>
          <w:rFonts w:hint="eastAsia"/>
          <w:color w:val="auto"/>
          <w:sz w:val="32"/>
          <w:szCs w:val="32"/>
          <w:highlight w:val="none"/>
          <w:lang w:val="en-US" w:eastAsia="zh-CN"/>
        </w:rPr>
        <w:t xml:space="preserve"> </w:t>
      </w:r>
      <w:r>
        <w:rPr>
          <w:rFonts w:hint="eastAsia"/>
          <w:color w:val="auto"/>
          <w:sz w:val="32"/>
          <w:szCs w:val="32"/>
          <w:highlight w:val="none"/>
        </w:rPr>
        <w:t>甲 方：</w:t>
      </w:r>
      <w:r>
        <w:rPr>
          <w:rFonts w:hint="eastAsia"/>
          <w:color w:val="auto"/>
          <w:sz w:val="32"/>
          <w:szCs w:val="32"/>
          <w:highlight w:val="none"/>
          <w:u w:val="single"/>
          <w:lang w:val="en-US" w:eastAsia="zh-CN"/>
        </w:rPr>
        <w:t xml:space="preserve"> </w:t>
      </w:r>
      <w:r>
        <w:rPr>
          <w:rFonts w:hint="eastAsia"/>
          <w:color w:val="auto"/>
          <w:sz w:val="32"/>
          <w:szCs w:val="32"/>
          <w:highlight w:val="none"/>
          <w:u w:val="single"/>
        </w:rPr>
        <w:t>陕西中医药大学第二附属医院</w:t>
      </w:r>
      <w:r>
        <w:rPr>
          <w:rFonts w:hint="eastAsia"/>
          <w:color w:val="auto"/>
          <w:sz w:val="32"/>
          <w:szCs w:val="32"/>
          <w:highlight w:val="none"/>
          <w:u w:val="single"/>
          <w:lang w:val="en-US" w:eastAsia="zh-CN"/>
        </w:rPr>
        <w:t xml:space="preserve"> </w:t>
      </w:r>
    </w:p>
    <w:p w14:paraId="2DF169B9">
      <w:pPr>
        <w:ind w:firstLine="1600" w:firstLineChars="500"/>
        <w:rPr>
          <w:rFonts w:hint="eastAsia" w:eastAsia="宋体"/>
          <w:color w:val="auto"/>
          <w:sz w:val="32"/>
          <w:szCs w:val="32"/>
          <w:highlight w:val="none"/>
          <w:u w:val="single"/>
          <w:lang w:val="en-US" w:eastAsia="zh-CN"/>
        </w:rPr>
      </w:pPr>
      <w:r>
        <w:rPr>
          <w:rFonts w:hint="eastAsia"/>
          <w:color w:val="auto"/>
          <w:sz w:val="32"/>
          <w:szCs w:val="32"/>
          <w:highlight w:val="none"/>
        </w:rPr>
        <w:t>乙 方：</w:t>
      </w:r>
      <w:r>
        <w:rPr>
          <w:rFonts w:hint="eastAsia"/>
          <w:color w:val="auto"/>
          <w:sz w:val="32"/>
          <w:szCs w:val="32"/>
          <w:highlight w:val="none"/>
          <w:u w:val="single"/>
          <w:lang w:val="en-US" w:eastAsia="zh-CN"/>
        </w:rPr>
        <w:t xml:space="preserve"> </w:t>
      </w:r>
      <w:r>
        <w:rPr>
          <w:rFonts w:hint="eastAsia"/>
          <w:color w:val="auto"/>
          <w:sz w:val="32"/>
          <w:szCs w:val="32"/>
          <w:highlight w:val="none"/>
          <w:u w:val="single"/>
          <w:lang w:eastAsia="zh-CN"/>
        </w:rPr>
        <w:t xml:space="preserve">  </w:t>
      </w:r>
      <w:r>
        <w:rPr>
          <w:rFonts w:hint="eastAsia"/>
          <w:color w:val="auto"/>
          <w:sz w:val="32"/>
          <w:szCs w:val="32"/>
          <w:highlight w:val="none"/>
          <w:u w:val="single"/>
          <w:lang w:val="en-US" w:eastAsia="zh-CN"/>
        </w:rPr>
        <w:t xml:space="preserve">     </w:t>
      </w:r>
    </w:p>
    <w:p w14:paraId="63F5B56F">
      <w:pPr>
        <w:ind w:firstLine="1760" w:firstLineChars="550"/>
        <w:rPr>
          <w:rFonts w:hint="eastAsia"/>
          <w:color w:val="auto"/>
          <w:sz w:val="32"/>
          <w:szCs w:val="32"/>
          <w:highlight w:val="none"/>
          <w:u w:val="single"/>
        </w:rPr>
      </w:pPr>
    </w:p>
    <w:p w14:paraId="6A47146C">
      <w:pPr>
        <w:rPr>
          <w:rFonts w:hint="eastAsia"/>
          <w:color w:val="auto"/>
          <w:sz w:val="32"/>
          <w:szCs w:val="32"/>
          <w:highlight w:val="none"/>
        </w:rPr>
      </w:pPr>
    </w:p>
    <w:p w14:paraId="3339336E">
      <w:pPr>
        <w:pStyle w:val="3"/>
        <w:ind w:left="0" w:leftChars="0" w:firstLine="0" w:firstLineChars="0"/>
        <w:rPr>
          <w:rFonts w:hint="eastAsia"/>
          <w:color w:val="auto"/>
          <w:highlight w:val="none"/>
        </w:rPr>
        <w:sectPr>
          <w:headerReference r:id="rId3" w:type="default"/>
          <w:footerReference r:id="rId4" w:type="default"/>
          <w:pgSz w:w="11906" w:h="16838"/>
          <w:pgMar w:top="1440" w:right="1800" w:bottom="1402" w:left="1620" w:header="851" w:footer="992" w:gutter="0"/>
          <w:cols w:space="720" w:num="1"/>
          <w:docGrid w:type="lines" w:linePitch="312" w:charSpace="0"/>
        </w:sectPr>
      </w:pPr>
    </w:p>
    <w:p w14:paraId="64A33DE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rPr>
        <w:t>陕西中医药大学第二附属医院</w:t>
      </w:r>
      <w:r>
        <w:rPr>
          <w:rFonts w:hint="eastAsia" w:ascii="宋体" w:hAnsi="宋体" w:eastAsia="宋体" w:cs="宋体"/>
          <w:color w:val="auto"/>
          <w:sz w:val="24"/>
          <w:szCs w:val="24"/>
          <w:highlight w:val="none"/>
        </w:rPr>
        <w:t>，其注册登记地址为：</w:t>
      </w:r>
      <w:r>
        <w:rPr>
          <w:rFonts w:hint="eastAsia" w:ascii="宋体" w:hAnsi="宋体" w:eastAsia="宋体" w:cs="宋体"/>
          <w:color w:val="auto"/>
          <w:sz w:val="24"/>
          <w:szCs w:val="24"/>
          <w:highlight w:val="none"/>
          <w:u w:val="single"/>
        </w:rPr>
        <w:t>陕西省咸阳市渭阳西路5号</w:t>
      </w:r>
      <w:r>
        <w:rPr>
          <w:rFonts w:hint="eastAsia" w:ascii="宋体" w:hAnsi="宋体" w:eastAsia="宋体" w:cs="宋体"/>
          <w:color w:val="auto"/>
          <w:sz w:val="24"/>
          <w:szCs w:val="24"/>
          <w:highlight w:val="none"/>
        </w:rPr>
        <w:t>，法定代表人为：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0FF489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hAnsi="宋体" w:cs="宋体"/>
          <w:color w:val="auto"/>
          <w:sz w:val="24"/>
          <w:highlight w:val="none"/>
          <w:u w:val="single"/>
          <w:lang w:eastAsia="zh-CN"/>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lang w:eastAsia="zh-CN"/>
        </w:rPr>
        <w:t xml:space="preserve"> </w:t>
      </w:r>
      <w:r>
        <w:rPr>
          <w:rFonts w:hint="eastAsia" w:hAnsi="宋体" w:cs="宋体"/>
          <w:color w:val="auto"/>
          <w:sz w:val="24"/>
          <w:highlight w:val="none"/>
        </w:rPr>
        <w:t>，其注册登记地址为：</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rPr>
        <w:t>，法定代表人为：</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w:t>
      </w:r>
      <w:r>
        <w:rPr>
          <w:rFonts w:hint="eastAsia" w:ascii="宋体" w:hAnsi="宋体" w:eastAsia="宋体" w:cs="宋体"/>
          <w:color w:val="auto"/>
          <w:sz w:val="24"/>
          <w:szCs w:val="24"/>
          <w:highlight w:val="none"/>
        </w:rPr>
        <w:t xml:space="preserve"> </w:t>
      </w:r>
    </w:p>
    <w:p w14:paraId="3D1530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bookmarkStart w:id="0" w:name="_Toc347332106"/>
      <w:bookmarkStart w:id="1" w:name="_Toc3226"/>
      <w:r>
        <w:rPr>
          <w:rFonts w:hint="eastAsia" w:ascii="宋体" w:hAnsi="宋体" w:eastAsia="宋体" w:cs="宋体"/>
          <w:color w:val="auto"/>
          <w:sz w:val="24"/>
          <w:szCs w:val="24"/>
          <w:highlight w:val="none"/>
        </w:rPr>
        <w:t>依照《中华人民共和国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》及其他有关法律、行政法规，遵循平等、自愿、公平和诚实信用的原则，签订本合同。</w:t>
      </w:r>
    </w:p>
    <w:bookmarkEnd w:id="0"/>
    <w:bookmarkEnd w:id="1"/>
    <w:p w14:paraId="1E10278E">
      <w:pPr>
        <w:numPr>
          <w:ilvl w:val="0"/>
          <w:numId w:val="0"/>
        </w:numPr>
        <w:spacing w:line="360" w:lineRule="auto"/>
        <w:ind w:left="426" w:leftChars="0"/>
        <w:rPr>
          <w:b/>
          <w:color w:val="auto"/>
          <w:sz w:val="24"/>
          <w:szCs w:val="24"/>
          <w:highlight w:val="none"/>
        </w:rPr>
      </w:pPr>
      <w:r>
        <w:rPr>
          <w:rFonts w:hint="eastAsia" w:ascii="宋体" w:hAnsi="宋体" w:eastAsia="宋体" w:cs="宋体"/>
          <w:b/>
          <w:bCs/>
          <w:color w:val="auto"/>
          <w:sz w:val="24"/>
          <w:szCs w:val="24"/>
          <w:highlight w:val="none"/>
        </w:rPr>
        <w:t>一、</w:t>
      </w:r>
      <w:r>
        <w:rPr>
          <w:rFonts w:hint="eastAsia"/>
          <w:b/>
          <w:color w:val="auto"/>
          <w:sz w:val="24"/>
          <w:szCs w:val="24"/>
          <w:highlight w:val="none"/>
        </w:rPr>
        <w:t>项目基本情况</w:t>
      </w:r>
    </w:p>
    <w:p w14:paraId="6CA656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b w:val="0"/>
          <w:bCs/>
          <w:color w:val="auto"/>
          <w:sz w:val="24"/>
          <w:szCs w:val="24"/>
          <w:highlight w:val="none"/>
        </w:rPr>
      </w:pPr>
      <w:r>
        <w:rPr>
          <w:rFonts w:hint="eastAsia"/>
          <w:b w:val="0"/>
          <w:bCs/>
          <w:color w:val="auto"/>
          <w:sz w:val="24"/>
          <w:szCs w:val="24"/>
          <w:highlight w:val="none"/>
        </w:rPr>
        <w:t>陕西中医药大学第二附属医院</w:t>
      </w:r>
      <w:r>
        <w:rPr>
          <w:rFonts w:hint="eastAsia" w:ascii="宋体" w:hAnsi="宋体" w:cs="宋体"/>
          <w:b w:val="0"/>
          <w:bCs/>
          <w:sz w:val="24"/>
          <w:highlight w:val="none"/>
          <w:lang w:eastAsia="zh-CN"/>
        </w:rPr>
        <w:t>西咸院区</w:t>
      </w:r>
      <w:r>
        <w:rPr>
          <w:rFonts w:hint="eastAsia" w:ascii="宋体" w:hAnsi="宋体" w:cs="宋体"/>
          <w:b w:val="0"/>
          <w:bCs/>
          <w:sz w:val="24"/>
          <w:highlight w:val="none"/>
        </w:rPr>
        <w:t>污水处理站</w:t>
      </w:r>
      <w:r>
        <w:rPr>
          <w:rFonts w:hint="eastAsia" w:ascii="宋体" w:hAnsi="宋体" w:cs="宋体"/>
          <w:b w:val="0"/>
          <w:bCs/>
          <w:sz w:val="24"/>
          <w:highlight w:val="none"/>
          <w:lang w:eastAsia="zh-CN"/>
        </w:rPr>
        <w:t>、感染性疾病门诊污水预处理系统、检验科废水预处理设备、医废暂存处污水预处理设备</w:t>
      </w:r>
      <w:r>
        <w:rPr>
          <w:rFonts w:hint="eastAsia"/>
          <w:b w:val="0"/>
          <w:bCs/>
          <w:color w:val="auto"/>
          <w:sz w:val="24"/>
          <w:szCs w:val="24"/>
          <w:highlight w:val="none"/>
        </w:rPr>
        <w:t>委托运营管理项目</w:t>
      </w:r>
      <w:r>
        <w:rPr>
          <w:rFonts w:hint="eastAsia"/>
          <w:b w:val="0"/>
          <w:bCs/>
          <w:color w:val="auto"/>
          <w:sz w:val="24"/>
          <w:szCs w:val="24"/>
          <w:highlight w:val="none"/>
          <w:lang w:eastAsia="zh-CN"/>
        </w:rPr>
        <w:t>，</w:t>
      </w:r>
      <w:r>
        <w:rPr>
          <w:rFonts w:hint="eastAsia"/>
          <w:b w:val="0"/>
          <w:bCs/>
          <w:color w:val="auto"/>
          <w:sz w:val="24"/>
          <w:szCs w:val="24"/>
          <w:highlight w:val="none"/>
        </w:rPr>
        <w:t>主要包括医院将污水处理站的日常运营管理全权委托服务商负责，负责与污水处理站日常运行相关的一切工作。包括</w:t>
      </w:r>
      <w:r>
        <w:rPr>
          <w:rFonts w:hint="eastAsia"/>
          <w:b w:val="0"/>
          <w:bCs/>
          <w:color w:val="auto"/>
          <w:sz w:val="24"/>
          <w:szCs w:val="24"/>
          <w:highlight w:val="none"/>
          <w:lang w:eastAsia="zh-CN"/>
        </w:rPr>
        <w:t>：</w:t>
      </w:r>
      <w:r>
        <w:rPr>
          <w:rFonts w:hint="eastAsia"/>
          <w:b w:val="0"/>
          <w:bCs/>
          <w:color w:val="auto"/>
          <w:sz w:val="24"/>
          <w:szCs w:val="24"/>
          <w:highlight w:val="none"/>
        </w:rPr>
        <w:t>人员配备、日常运行管理及所需各类药品等、设备日常维护保养，保证出水水质按要求达标并符合环保主管单位要求。按照环保主管单位要求进行水质检测并向院方以及环保主管单位提供水质检测报告及相关资料，配合院方各类检查，按照环保主管部门要求做好日常运行值班记录及各类材料上报，确保污水处理站安全等工作。</w:t>
      </w:r>
    </w:p>
    <w:p w14:paraId="06222EFC">
      <w:pPr>
        <w:numPr>
          <w:ilvl w:val="0"/>
          <w:numId w:val="0"/>
        </w:numPr>
        <w:spacing w:line="360" w:lineRule="auto"/>
        <w:ind w:left="426" w:leftChars="0"/>
        <w:rPr>
          <w:rFonts w:hint="eastAsia"/>
          <w:b/>
          <w:color w:val="auto"/>
          <w:sz w:val="24"/>
          <w:szCs w:val="24"/>
          <w:highlight w:val="none"/>
          <w:lang w:eastAsia="zh-CN"/>
        </w:rPr>
      </w:pPr>
      <w:r>
        <w:rPr>
          <w:rFonts w:hint="eastAsia"/>
          <w:b/>
          <w:color w:val="auto"/>
          <w:sz w:val="24"/>
          <w:szCs w:val="24"/>
          <w:highlight w:val="none"/>
          <w:lang w:eastAsia="zh-CN"/>
        </w:rPr>
        <w:t>二、合同期限</w:t>
      </w:r>
    </w:p>
    <w:p w14:paraId="6CDE80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本合同有效期自合同生效之日起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日至</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日止。</w:t>
      </w:r>
    </w:p>
    <w:p w14:paraId="26750259">
      <w:pPr>
        <w:spacing w:line="360" w:lineRule="auto"/>
        <w:ind w:firstLine="482" w:firstLineChars="200"/>
        <w:rPr>
          <w:rFonts w:hint="eastAsia" w:eastAsia="宋体"/>
          <w:b/>
          <w:color w:val="auto"/>
          <w:sz w:val="24"/>
          <w:szCs w:val="32"/>
          <w:highlight w:val="none"/>
          <w:lang w:eastAsia="zh-CN"/>
        </w:rPr>
      </w:pPr>
      <w:r>
        <w:rPr>
          <w:rFonts w:hint="eastAsia"/>
          <w:b/>
          <w:color w:val="auto"/>
          <w:sz w:val="24"/>
          <w:szCs w:val="32"/>
          <w:highlight w:val="none"/>
        </w:rPr>
        <w:t>三</w:t>
      </w:r>
      <w:r>
        <w:rPr>
          <w:rFonts w:hint="eastAsia"/>
          <w:b/>
          <w:color w:val="auto"/>
          <w:sz w:val="24"/>
          <w:szCs w:val="32"/>
          <w:highlight w:val="none"/>
          <w:lang w:eastAsia="zh-CN"/>
        </w:rPr>
        <w:t>、</w:t>
      </w:r>
      <w:r>
        <w:rPr>
          <w:rFonts w:hint="eastAsia"/>
          <w:b/>
          <w:color w:val="auto"/>
          <w:sz w:val="24"/>
          <w:szCs w:val="32"/>
          <w:highlight w:val="none"/>
        </w:rPr>
        <w:t>合同价款</w:t>
      </w:r>
      <w:r>
        <w:rPr>
          <w:rFonts w:hint="eastAsia"/>
          <w:b/>
          <w:color w:val="auto"/>
          <w:sz w:val="24"/>
          <w:szCs w:val="32"/>
          <w:highlight w:val="none"/>
          <w:lang w:eastAsia="zh-CN"/>
        </w:rPr>
        <w:t>及支付方式</w:t>
      </w:r>
    </w:p>
    <w:p w14:paraId="7EF79EEB">
      <w:pPr>
        <w:pStyle w:val="6"/>
        <w:spacing w:line="360" w:lineRule="auto"/>
        <w:ind w:firstLine="480" w:firstLineChars="200"/>
        <w:rPr>
          <w:rFonts w:hint="eastAsia"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运营管理费：</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本项目合同单价为固定价格，不随市场变化而调整。本项目合同价格为完成合同规定的工作所需要的全部费用，包括但不限于人员成本（含劳动保险、福利、加班费等）、检测费、药剂费、劳保用品及办公用品费、环保检测费、设备维修保养费、污泥处置费、管理费、保险费、税费等</w:t>
      </w:r>
      <w:r>
        <w:rPr>
          <w:rFonts w:hint="eastAsia" w:hAnsi="宋体" w:cs="宋体"/>
          <w:color w:val="auto"/>
          <w:sz w:val="24"/>
          <w:szCs w:val="24"/>
          <w:highlight w:val="none"/>
        </w:rPr>
        <w:t>。</w:t>
      </w:r>
    </w:p>
    <w:p w14:paraId="235D4E3D">
      <w:pPr>
        <w:pStyle w:val="6"/>
        <w:spacing w:line="360" w:lineRule="auto"/>
        <w:ind w:firstLine="480" w:firstLineChars="200"/>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2、</w:t>
      </w:r>
      <w:r>
        <w:rPr>
          <w:rFonts w:hint="eastAsia" w:hAnsi="宋体" w:cs="宋体"/>
          <w:b w:val="0"/>
          <w:bCs w:val="0"/>
          <w:color w:val="auto"/>
          <w:sz w:val="24"/>
          <w:szCs w:val="24"/>
          <w:highlight w:val="none"/>
          <w:lang w:val="en-US" w:eastAsia="zh-CN"/>
        </w:rPr>
        <w:t>支付方式：根据月考核结果按季度支付管理费，成交供应商运营管理每满一个季度，在当季结束后五个工作日内由甲方一次性无息支付相关运营费。</w:t>
      </w:r>
    </w:p>
    <w:p w14:paraId="700DE6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3、付款方式：转账支票、银行承兑汇票、网银转账等。以银行承兑汇票支付时，甲方不予承担贴息、手续费；乙方收款信息如下：</w:t>
      </w:r>
    </w:p>
    <w:p w14:paraId="2CDAFF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乙方账户</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 xml:space="preserve">                </w:t>
      </w:r>
    </w:p>
    <w:p w14:paraId="221627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账</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855AB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行</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50F563E9">
      <w:pPr>
        <w:numPr>
          <w:ilvl w:val="0"/>
          <w:numId w:val="0"/>
        </w:numPr>
        <w:spacing w:line="360" w:lineRule="auto"/>
        <w:ind w:firstLine="482" w:firstLineChars="200"/>
        <w:rPr>
          <w:b/>
          <w:color w:val="auto"/>
          <w:sz w:val="24"/>
          <w:szCs w:val="24"/>
          <w:highlight w:val="none"/>
        </w:rPr>
      </w:pPr>
      <w:r>
        <w:rPr>
          <w:rFonts w:hint="eastAsia"/>
          <w:b/>
          <w:color w:val="auto"/>
          <w:sz w:val="24"/>
          <w:szCs w:val="24"/>
          <w:highlight w:val="none"/>
          <w:lang w:eastAsia="zh-CN"/>
        </w:rPr>
        <w:t>四、</w:t>
      </w:r>
      <w:r>
        <w:rPr>
          <w:rFonts w:hint="eastAsia"/>
          <w:b/>
          <w:color w:val="auto"/>
          <w:sz w:val="24"/>
          <w:szCs w:val="24"/>
          <w:highlight w:val="none"/>
        </w:rPr>
        <w:t>服务内容与质量标准</w:t>
      </w:r>
      <w:bookmarkStart w:id="2" w:name="_GoBack"/>
      <w:bookmarkEnd w:id="2"/>
    </w:p>
    <w:p w14:paraId="3AAD56E5">
      <w:pPr>
        <w:tabs>
          <w:tab w:val="left" w:pos="42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（一）运行处理要求</w:t>
      </w:r>
    </w:p>
    <w:p w14:paraId="6401A351">
      <w:pPr>
        <w:keepNext w:val="0"/>
        <w:keepLines w:val="0"/>
        <w:pageBreakBefore w:val="0"/>
        <w:widowControl w:val="0"/>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1、污水处理站设备、设施的正常运行、日常维护与保养等，有效地提高污水处理站的运行效率，降低经济投资风险，环保风险，使污水处理站有效的稳定运行；</w:t>
      </w:r>
    </w:p>
    <w:p w14:paraId="61107B26">
      <w:pPr>
        <w:keepNext w:val="0"/>
        <w:keepLines w:val="0"/>
        <w:pageBreakBefore w:val="0"/>
        <w:widowControl w:val="0"/>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rPr>
        <w:t>2、负责院区医疗污水、</w:t>
      </w:r>
      <w:r>
        <w:rPr>
          <w:rFonts w:hint="eastAsia" w:ascii="宋体" w:hAnsi="宋体" w:eastAsia="宋体" w:cs="宋体"/>
          <w:color w:val="auto"/>
          <w:sz w:val="24"/>
          <w:szCs w:val="24"/>
          <w:highlight w:val="none"/>
          <w:lang w:eastAsia="zh-CN"/>
        </w:rPr>
        <w:t>废水</w:t>
      </w:r>
      <w:r>
        <w:rPr>
          <w:rFonts w:hint="eastAsia" w:ascii="宋体" w:hAnsi="宋体" w:eastAsia="宋体" w:cs="宋体"/>
          <w:color w:val="auto"/>
          <w:sz w:val="24"/>
          <w:szCs w:val="24"/>
          <w:highlight w:val="none"/>
        </w:rPr>
        <w:t>的集中处理，确保污水排放水质符合《医疗机构水污染物排放标准》（GB18466-2005）预处理标准要求，</w:t>
      </w:r>
      <w:r>
        <w:rPr>
          <w:rFonts w:hint="eastAsia" w:ascii="宋体" w:hAnsi="宋体" w:eastAsia="宋体" w:cs="宋体"/>
          <w:color w:val="auto"/>
          <w:sz w:val="24"/>
          <w:szCs w:val="24"/>
          <w:highlight w:val="none"/>
          <w:lang w:eastAsia="zh-CN"/>
        </w:rPr>
        <w:t>医疗污泥</w:t>
      </w:r>
      <w:r>
        <w:rPr>
          <w:rFonts w:hint="eastAsia" w:ascii="宋体" w:hAnsi="宋体" w:cs="宋体"/>
          <w:color w:val="auto"/>
          <w:sz w:val="24"/>
          <w:szCs w:val="24"/>
          <w:highlight w:val="none"/>
          <w:lang w:val="en-US" w:eastAsia="zh-CN"/>
        </w:rPr>
        <w:t>及危险废物</w:t>
      </w:r>
      <w:r>
        <w:rPr>
          <w:rFonts w:hint="eastAsia" w:ascii="宋体" w:hAnsi="宋体" w:eastAsia="宋体" w:cs="宋体"/>
          <w:color w:val="auto"/>
          <w:sz w:val="24"/>
          <w:szCs w:val="24"/>
          <w:highlight w:val="none"/>
          <w:lang w:eastAsia="zh-CN"/>
        </w:rPr>
        <w:t>采取切实可行的方式进行处置</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每年至少清掏2次</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并交</w:t>
      </w:r>
      <w:r>
        <w:rPr>
          <w:rFonts w:hint="eastAsia" w:ascii="宋体" w:hAnsi="宋体" w:eastAsia="宋体" w:cs="宋体"/>
          <w:color w:val="auto"/>
          <w:kern w:val="2"/>
          <w:sz w:val="24"/>
          <w:szCs w:val="22"/>
          <w:highlight w:val="none"/>
          <w:lang w:val="en-US" w:eastAsia="zh-CN" w:bidi="ar-SA"/>
        </w:rPr>
        <w:t>由有资质的第三方按规范处理，污水处理站周边大气及噪声符合相关标准。</w:t>
      </w:r>
      <w:r>
        <w:rPr>
          <w:rFonts w:hint="eastAsia" w:ascii="宋体" w:hAnsi="宋体" w:eastAsia="宋体" w:cs="宋体"/>
          <w:color w:val="auto"/>
          <w:sz w:val="24"/>
          <w:szCs w:val="24"/>
          <w:highlight w:val="none"/>
          <w:lang w:val="zh-CN"/>
        </w:rPr>
        <w:t>若因</w:t>
      </w:r>
      <w:r>
        <w:rPr>
          <w:rFonts w:hint="eastAsia" w:ascii="宋体" w:hAnsi="宋体" w:cs="宋体"/>
          <w:color w:val="auto"/>
          <w:sz w:val="24"/>
          <w:szCs w:val="24"/>
          <w:highlight w:val="none"/>
          <w:lang w:val="zh-CN"/>
        </w:rPr>
        <w:t>乙方</w:t>
      </w:r>
      <w:r>
        <w:rPr>
          <w:rFonts w:hint="eastAsia" w:ascii="宋体" w:hAnsi="宋体" w:eastAsia="宋体" w:cs="宋体"/>
          <w:color w:val="auto"/>
          <w:sz w:val="24"/>
          <w:szCs w:val="24"/>
          <w:highlight w:val="none"/>
          <w:lang w:val="zh-CN"/>
        </w:rPr>
        <w:t>原因私自停运或水、废气、噪声、污泥未达到标准或处置造成的后果及处罚，扣除当月全部服务费且造成院方所有损失均由</w:t>
      </w:r>
      <w:r>
        <w:rPr>
          <w:rFonts w:hint="eastAsia" w:ascii="宋体" w:hAnsi="宋体" w:cs="宋体"/>
          <w:color w:val="auto"/>
          <w:sz w:val="24"/>
          <w:szCs w:val="24"/>
          <w:highlight w:val="none"/>
          <w:lang w:val="zh-CN"/>
        </w:rPr>
        <w:t>乙方</w:t>
      </w:r>
      <w:r>
        <w:rPr>
          <w:rFonts w:hint="eastAsia" w:ascii="宋体" w:hAnsi="宋体" w:eastAsia="宋体" w:cs="宋体"/>
          <w:color w:val="auto"/>
          <w:sz w:val="24"/>
          <w:szCs w:val="24"/>
          <w:highlight w:val="none"/>
          <w:lang w:val="zh-CN"/>
        </w:rPr>
        <w:t>承担。</w:t>
      </w:r>
    </w:p>
    <w:p w14:paraId="62CFFCE7">
      <w:pPr>
        <w:keepNext w:val="0"/>
        <w:keepLines w:val="0"/>
        <w:pageBreakBefore w:val="0"/>
        <w:widowControl w:val="0"/>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3、服从环保部门及医院的监督管理，按照我院排污许可证副本中对排污单位自行监测要求内容</w:t>
      </w:r>
      <w:r>
        <w:rPr>
          <w:rFonts w:hint="eastAsia" w:ascii="宋体" w:hAnsi="宋体" w:cs="宋体"/>
          <w:color w:val="auto"/>
          <w:sz w:val="24"/>
          <w:szCs w:val="24"/>
          <w:highlight w:val="none"/>
          <w:lang w:eastAsia="zh-CN"/>
        </w:rPr>
        <w:t>（</w:t>
      </w:r>
      <w:r>
        <w:rPr>
          <w:rFonts w:hint="eastAsia" w:ascii="宋体" w:hAnsi="宋体" w:cs="宋体"/>
          <w:b w:val="0"/>
          <w:bCs/>
          <w:color w:val="000000"/>
          <w:sz w:val="24"/>
          <w:szCs w:val="24"/>
          <w:highlight w:val="none"/>
          <w:lang w:val="en-US" w:eastAsia="zh-CN"/>
        </w:rPr>
        <w:t>污水所有排口、有组织废气、无组织废气、厂界噪声</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进行相应监测和检测并出具合格报告；如监测中发现有不达标</w:t>
      </w:r>
      <w:r>
        <w:rPr>
          <w:rFonts w:hint="eastAsia" w:ascii="宋体" w:hAnsi="宋体" w:cs="宋体"/>
          <w:color w:val="auto"/>
          <w:sz w:val="24"/>
          <w:szCs w:val="24"/>
          <w:highlight w:val="none"/>
          <w:lang w:val="en-US" w:eastAsia="zh-CN"/>
        </w:rPr>
        <w:t>或者漏检项目等</w:t>
      </w:r>
      <w:r>
        <w:rPr>
          <w:rFonts w:hint="eastAsia" w:ascii="宋体" w:hAnsi="宋体" w:eastAsia="宋体" w:cs="宋体"/>
          <w:color w:val="auto"/>
          <w:sz w:val="24"/>
          <w:szCs w:val="24"/>
          <w:highlight w:val="none"/>
        </w:rPr>
        <w:t>行为，</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承担由此而造成的一切经济损失及法律责任。</w:t>
      </w:r>
    </w:p>
    <w:p w14:paraId="45A2506C">
      <w:pPr>
        <w:keepNext w:val="0"/>
        <w:keepLines w:val="0"/>
        <w:pageBreakBefore w:val="0"/>
        <w:widowControl w:val="0"/>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zh-CN" w:eastAsia="zh-CN"/>
        </w:rPr>
      </w:pPr>
      <w:r>
        <w:rPr>
          <w:rFonts w:hint="eastAsia" w:ascii="宋体" w:hAnsi="宋体" w:cs="宋体"/>
          <w:color w:val="auto"/>
          <w:sz w:val="24"/>
          <w:highlight w:val="none"/>
        </w:rPr>
        <w:t>4、每天专人进行污水处理，填写污水处理站运行情况记录表，按月报送医院存档；</w:t>
      </w:r>
      <w:r>
        <w:rPr>
          <w:rFonts w:hint="eastAsia" w:ascii="宋体" w:hAnsi="宋体" w:cs="宋体"/>
          <w:color w:val="auto"/>
          <w:sz w:val="24"/>
          <w:highlight w:val="none"/>
          <w:lang w:val="zh-CN"/>
        </w:rPr>
        <w:t>按照环保部门、医院各职能部门的要求上报和汇总数据材料。</w:t>
      </w:r>
    </w:p>
    <w:p w14:paraId="225C6860">
      <w:pPr>
        <w:keepNext w:val="0"/>
        <w:keepLines w:val="0"/>
        <w:pageBreakBefore w:val="0"/>
        <w:widowControl w:val="0"/>
        <w:tabs>
          <w:tab w:val="left" w:pos="42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乙</w:t>
      </w:r>
      <w:r>
        <w:rPr>
          <w:rFonts w:hint="eastAsia" w:ascii="宋体" w:hAnsi="宋体" w:cs="宋体"/>
          <w:color w:val="auto"/>
          <w:sz w:val="24"/>
          <w:highlight w:val="none"/>
        </w:rPr>
        <w:t>方自行采购合格的消毒用品、自行监测试剂、</w:t>
      </w:r>
      <w:r>
        <w:rPr>
          <w:rFonts w:hint="eastAsia" w:ascii="宋体" w:hAnsi="宋体" w:cs="宋体"/>
          <w:color w:val="auto"/>
          <w:sz w:val="24"/>
          <w:highlight w:val="none"/>
          <w:lang w:val="zh-CN"/>
        </w:rPr>
        <w:t>各类预防和防护用品、用具、及</w:t>
      </w:r>
      <w:r>
        <w:rPr>
          <w:rFonts w:hint="eastAsia" w:ascii="宋体" w:hAnsi="宋体" w:cs="宋体"/>
          <w:color w:val="auto"/>
          <w:sz w:val="24"/>
          <w:highlight w:val="none"/>
        </w:rPr>
        <w:t>化验检测设备、维修维护设备</w:t>
      </w:r>
      <w:r>
        <w:rPr>
          <w:rFonts w:hint="eastAsia" w:ascii="宋体" w:hAnsi="宋体" w:cs="宋体"/>
          <w:color w:val="auto"/>
          <w:sz w:val="24"/>
          <w:highlight w:val="none"/>
          <w:lang w:val="zh-CN"/>
        </w:rPr>
        <w:t>等，</w:t>
      </w:r>
      <w:r>
        <w:rPr>
          <w:rFonts w:hint="eastAsia" w:ascii="宋体" w:hAnsi="宋体" w:cs="宋体"/>
          <w:color w:val="auto"/>
          <w:sz w:val="24"/>
          <w:highlight w:val="none"/>
        </w:rPr>
        <w:t>做好相应的保管及使用，确保项目运行中各环节的安全。</w:t>
      </w:r>
    </w:p>
    <w:p w14:paraId="3E2F7A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b w:val="0"/>
          <w:bCs/>
          <w:color w:val="000000"/>
          <w:sz w:val="24"/>
          <w:szCs w:val="24"/>
          <w:highlight w:val="none"/>
          <w:lang w:val="en-US" w:eastAsia="zh-CN"/>
        </w:rPr>
        <w:t>6、</w:t>
      </w:r>
      <w:r>
        <w:rPr>
          <w:rFonts w:hint="eastAsia" w:ascii="宋体" w:hAnsi="宋体" w:eastAsia="宋体" w:cs="宋体"/>
          <w:color w:val="auto"/>
          <w:sz w:val="24"/>
          <w:szCs w:val="24"/>
          <w:highlight w:val="none"/>
          <w:lang w:val="en-US" w:eastAsia="zh-CN"/>
        </w:rPr>
        <w:t>按时在全国排污许可相关平台填报我院污水处理站周、月、季度、年度污水及相关因子检测结果以及月度、季度、年度污水执行报告。（根据平台要求上报）</w:t>
      </w:r>
    </w:p>
    <w:p w14:paraId="74A1F1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highlight w:val="none"/>
          <w:lang w:val="en-US" w:eastAsia="zh-CN"/>
        </w:rPr>
        <w:t>7</w:t>
      </w:r>
      <w:r>
        <w:rPr>
          <w:rFonts w:hint="eastAsia" w:ascii="宋体" w:hAnsi="宋体" w:cs="宋体"/>
          <w:b w:val="0"/>
          <w:bCs/>
          <w:color w:val="auto"/>
          <w:sz w:val="24"/>
          <w:highlight w:val="none"/>
          <w:lang w:eastAsia="zh-CN"/>
        </w:rPr>
        <w:t>、</w:t>
      </w:r>
      <w:r>
        <w:rPr>
          <w:rFonts w:hint="eastAsia" w:ascii="宋体" w:hAnsi="宋体" w:cs="宋体"/>
          <w:b w:val="0"/>
          <w:bCs/>
          <w:color w:val="auto"/>
          <w:sz w:val="24"/>
          <w:highlight w:val="none"/>
          <w:lang w:val="en-US" w:eastAsia="zh-CN"/>
        </w:rPr>
        <w:t>在线监测运维设备的日常巡查，对异常情况及时上报。</w:t>
      </w:r>
    </w:p>
    <w:p w14:paraId="7527DFEB">
      <w:pPr>
        <w:keepNext w:val="0"/>
        <w:keepLines w:val="0"/>
        <w:pageBreakBefore w:val="0"/>
        <w:widowControl w:val="0"/>
        <w:tabs>
          <w:tab w:val="left" w:pos="42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b w:val="0"/>
          <w:bCs/>
          <w:color w:val="000000"/>
          <w:sz w:val="24"/>
          <w:szCs w:val="24"/>
          <w:highlight w:val="none"/>
          <w:lang w:val="en-US" w:eastAsia="zh-CN"/>
        </w:rPr>
      </w:pPr>
      <w:r>
        <w:rPr>
          <w:rFonts w:hint="eastAsia" w:ascii="宋体" w:hAnsi="宋体" w:cs="宋体"/>
          <w:b w:val="0"/>
          <w:bCs/>
          <w:color w:val="000000"/>
          <w:sz w:val="24"/>
          <w:szCs w:val="24"/>
          <w:highlight w:val="none"/>
          <w:lang w:val="en-US" w:eastAsia="zh-CN"/>
        </w:rPr>
        <w:t>8、公示标识管理：（1）设置岗位及区域责任公示牌，包括供应商项目负责人、运维人员的照片、资格证书和联系方式，如遇情况调整，需在3日内更新完毕；（2）污水处理运维制度、操作流程、岗位职责、污水处理工艺流程图等公示上墙；（3）标志标牌制作费用由供应商承担。</w:t>
      </w:r>
    </w:p>
    <w:p w14:paraId="4B6B8D08">
      <w:pPr>
        <w:keepNext w:val="0"/>
        <w:keepLines w:val="0"/>
        <w:pageBreakBefore w:val="0"/>
        <w:widowControl w:val="0"/>
        <w:tabs>
          <w:tab w:val="left" w:pos="42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b w:val="0"/>
          <w:bCs/>
          <w:color w:val="000000"/>
          <w:sz w:val="24"/>
          <w:szCs w:val="24"/>
          <w:highlight w:val="none"/>
          <w:lang w:val="en-US" w:eastAsia="zh-CN"/>
        </w:rPr>
        <w:t>9、所有档案资料至少保存三年，污水处理运维公司发生变化时，在甲方监督下做好档案资料交接工作，并做好三方签字。</w:t>
      </w:r>
    </w:p>
    <w:p w14:paraId="785F2F1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rPr>
        <w:t>（二）设备管理及维护要求</w:t>
      </w:r>
    </w:p>
    <w:p w14:paraId="0A1B6BD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1、设备管理</w:t>
      </w:r>
      <w:r>
        <w:rPr>
          <w:rFonts w:hint="eastAsia" w:ascii="宋体" w:hAnsi="宋体" w:cs="宋体"/>
          <w:b w:val="0"/>
          <w:bCs/>
          <w:sz w:val="24"/>
          <w:szCs w:val="24"/>
          <w:highlight w:val="none"/>
          <w:lang w:eastAsia="zh-CN"/>
        </w:rPr>
        <w:t>：制定各种设备操作规程，</w:t>
      </w:r>
      <w:r>
        <w:rPr>
          <w:rFonts w:hint="eastAsia" w:ascii="宋体" w:hAnsi="宋体" w:eastAsia="宋体" w:cs="宋体"/>
          <w:b w:val="0"/>
          <w:bCs/>
          <w:sz w:val="24"/>
          <w:szCs w:val="24"/>
          <w:highlight w:val="none"/>
        </w:rPr>
        <w:t>操作人员必须严格按照操作规程进行操作，同时做好</w:t>
      </w:r>
      <w:r>
        <w:rPr>
          <w:rFonts w:hint="eastAsia" w:ascii="宋体" w:hAnsi="宋体" w:cs="宋体"/>
          <w:b w:val="0"/>
          <w:bCs/>
          <w:sz w:val="24"/>
          <w:szCs w:val="24"/>
          <w:highlight w:val="none"/>
          <w:lang w:eastAsia="zh-CN"/>
        </w:rPr>
        <w:t>相应台账</w:t>
      </w:r>
      <w:r>
        <w:rPr>
          <w:rFonts w:hint="eastAsia" w:ascii="宋体" w:hAnsi="宋体" w:eastAsia="宋体" w:cs="宋体"/>
          <w:b w:val="0"/>
          <w:bCs/>
          <w:sz w:val="24"/>
          <w:szCs w:val="24"/>
          <w:highlight w:val="none"/>
        </w:rPr>
        <w:t xml:space="preserve">。 </w:t>
      </w:r>
    </w:p>
    <w:p w14:paraId="58A4F6C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cs="宋体"/>
          <w:b w:val="0"/>
          <w:bCs/>
          <w:sz w:val="24"/>
          <w:szCs w:val="24"/>
          <w:highlight w:val="none"/>
          <w:lang w:val="en-US" w:eastAsia="zh-CN"/>
        </w:rPr>
        <w:t>2、</w:t>
      </w:r>
      <w:r>
        <w:rPr>
          <w:rFonts w:hint="eastAsia" w:ascii="宋体" w:hAnsi="宋体" w:eastAsia="宋体" w:cs="宋体"/>
          <w:b w:val="0"/>
          <w:bCs/>
          <w:sz w:val="24"/>
          <w:szCs w:val="24"/>
          <w:highlight w:val="none"/>
        </w:rPr>
        <w:t>设备</w:t>
      </w:r>
      <w:r>
        <w:rPr>
          <w:rFonts w:hint="eastAsia" w:ascii="宋体" w:hAnsi="宋体" w:cs="宋体"/>
          <w:b w:val="0"/>
          <w:bCs/>
          <w:sz w:val="24"/>
          <w:szCs w:val="24"/>
          <w:highlight w:val="none"/>
          <w:lang w:eastAsia="zh-CN"/>
        </w:rPr>
        <w:t>维护：</w:t>
      </w:r>
      <w:r>
        <w:rPr>
          <w:rFonts w:hint="eastAsia" w:ascii="宋体" w:hAnsi="宋体" w:eastAsia="宋体" w:cs="宋体"/>
          <w:b w:val="0"/>
          <w:bCs/>
          <w:sz w:val="24"/>
          <w:szCs w:val="24"/>
          <w:highlight w:val="none"/>
        </w:rPr>
        <w:t>各种设备都应制订</w:t>
      </w:r>
      <w:r>
        <w:rPr>
          <w:rFonts w:hint="eastAsia" w:ascii="宋体" w:hAnsi="宋体" w:cs="宋体"/>
          <w:b w:val="0"/>
          <w:bCs/>
          <w:sz w:val="24"/>
          <w:szCs w:val="24"/>
          <w:highlight w:val="none"/>
          <w:lang w:val="en-US" w:eastAsia="zh-CN"/>
        </w:rPr>
        <w:t>月度</w:t>
      </w:r>
      <w:r>
        <w:rPr>
          <w:rFonts w:hint="eastAsia" w:ascii="宋体" w:hAnsi="宋体" w:cs="宋体"/>
          <w:b w:val="0"/>
          <w:bCs/>
          <w:sz w:val="24"/>
          <w:szCs w:val="24"/>
          <w:highlight w:val="none"/>
          <w:lang w:eastAsia="zh-CN"/>
        </w:rPr>
        <w:t>维护</w:t>
      </w:r>
      <w:r>
        <w:rPr>
          <w:rFonts w:hint="eastAsia" w:ascii="宋体" w:hAnsi="宋体" w:eastAsia="宋体" w:cs="宋体"/>
          <w:b w:val="0"/>
          <w:bCs/>
          <w:sz w:val="24"/>
          <w:szCs w:val="24"/>
          <w:highlight w:val="none"/>
        </w:rPr>
        <w:t>保养计划，包括进行清洁、调整、紧固、润滑和防腐等内容</w:t>
      </w:r>
      <w:r>
        <w:rPr>
          <w:rFonts w:hint="eastAsia" w:ascii="宋体" w:hAnsi="宋体" w:cs="宋体"/>
          <w:b w:val="0"/>
          <w:bCs/>
          <w:sz w:val="24"/>
          <w:szCs w:val="24"/>
          <w:highlight w:val="none"/>
          <w:lang w:eastAsia="zh-CN"/>
        </w:rPr>
        <w:t>，维护保养周期包括例行保养、定期保养、停放保养、换季保养等，形成台账，确保设备达到以下</w:t>
      </w:r>
      <w:r>
        <w:rPr>
          <w:rFonts w:hint="eastAsia" w:ascii="宋体" w:hAnsi="宋体" w:eastAsia="宋体" w:cs="宋体"/>
          <w:b w:val="0"/>
          <w:bCs/>
          <w:sz w:val="24"/>
          <w:szCs w:val="24"/>
          <w:highlight w:val="none"/>
        </w:rPr>
        <w:t>标准：</w:t>
      </w:r>
    </w:p>
    <w:p w14:paraId="61C91CC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2.1</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设备性能良好，满足污水处理生产工艺要求</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p>
    <w:p w14:paraId="0D83B84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2.2、操作控制的安全系统装置齐全、动作灵敏可靠</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p>
    <w:p w14:paraId="163B1C8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2.3、运行稳定，无异常振动和噪音</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p>
    <w:p w14:paraId="5B86B6A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2.4、电器设备的绝缘程度和安全防护装置应符合电器安全规程</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p>
    <w:p w14:paraId="09C794E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2.5、设备的通风、散热和冷却、隔音系统齐全完整，效果良好，温升在额定范围内</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p>
    <w:p w14:paraId="458F053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2.6、设备内外整洁，润滑良好，无泄露</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p>
    <w:p w14:paraId="2C99BFE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2.7、运转记录技术资料齐全。 </w:t>
      </w:r>
    </w:p>
    <w:p w14:paraId="65F9F3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sz w:val="24"/>
          <w:szCs w:val="24"/>
          <w:highlight w:val="none"/>
        </w:rPr>
        <w:t>3</w:t>
      </w:r>
      <w:r>
        <w:rPr>
          <w:rFonts w:hint="eastAsia" w:ascii="宋体" w:hAnsi="宋体" w:cs="宋体"/>
          <w:b w:val="0"/>
          <w:bCs/>
          <w:sz w:val="24"/>
          <w:szCs w:val="24"/>
          <w:highlight w:val="none"/>
          <w:lang w:eastAsia="zh-CN"/>
        </w:rPr>
        <w:t>、</w:t>
      </w:r>
      <w:r>
        <w:rPr>
          <w:rFonts w:hint="eastAsia" w:ascii="宋体" w:hAnsi="宋体" w:eastAsia="宋体" w:cs="宋体"/>
          <w:b w:val="0"/>
          <w:bCs/>
          <w:sz w:val="24"/>
          <w:szCs w:val="24"/>
          <w:highlight w:val="none"/>
        </w:rPr>
        <w:t>设备</w:t>
      </w:r>
      <w:r>
        <w:rPr>
          <w:rFonts w:hint="eastAsia" w:ascii="宋体" w:hAnsi="宋体" w:cs="宋体"/>
          <w:b w:val="0"/>
          <w:bCs/>
          <w:sz w:val="24"/>
          <w:szCs w:val="24"/>
          <w:highlight w:val="none"/>
          <w:lang w:eastAsia="zh-CN"/>
        </w:rPr>
        <w:t>检修：</w:t>
      </w:r>
      <w:r>
        <w:rPr>
          <w:rFonts w:hint="eastAsia" w:ascii="宋体" w:hAnsi="宋体" w:eastAsia="宋体" w:cs="宋体"/>
          <w:b w:val="0"/>
          <w:bCs/>
          <w:sz w:val="24"/>
          <w:szCs w:val="24"/>
          <w:highlight w:val="none"/>
        </w:rPr>
        <w:t>对主要设备应制订设备检修标准和</w:t>
      </w:r>
      <w:r>
        <w:rPr>
          <w:rFonts w:hint="eastAsia" w:ascii="宋体" w:hAnsi="宋体" w:cs="宋体"/>
          <w:b w:val="0"/>
          <w:bCs/>
          <w:sz w:val="24"/>
          <w:szCs w:val="24"/>
          <w:highlight w:val="none"/>
          <w:lang w:val="en-US" w:eastAsia="zh-CN"/>
        </w:rPr>
        <w:t>月度检修</w:t>
      </w:r>
      <w:r>
        <w:rPr>
          <w:rFonts w:hint="eastAsia" w:ascii="宋体" w:hAnsi="宋体" w:eastAsia="宋体" w:cs="宋体"/>
          <w:b w:val="0"/>
          <w:bCs/>
          <w:sz w:val="24"/>
          <w:szCs w:val="24"/>
          <w:highlight w:val="none"/>
        </w:rPr>
        <w:t>计划，通过检修，恢复技术性能。对主要设备必须明确检修周期，实行定期检修。每次检修都应作详细记录</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lang w:val="en-US" w:eastAsia="zh-CN"/>
        </w:rPr>
        <w:t>单处或单个零配件</w:t>
      </w:r>
      <w:r>
        <w:rPr>
          <w:rFonts w:hint="eastAsia" w:ascii="宋体" w:hAnsi="宋体" w:eastAsia="宋体" w:cs="宋体"/>
          <w:b w:val="0"/>
          <w:bCs/>
          <w:color w:val="auto"/>
          <w:sz w:val="24"/>
          <w:szCs w:val="24"/>
          <w:highlight w:val="none"/>
          <w:lang w:val="zh-CN"/>
        </w:rPr>
        <w:t>产生的材料和人工费、维修费用</w:t>
      </w:r>
      <w:r>
        <w:rPr>
          <w:rFonts w:hint="eastAsia" w:ascii="宋体" w:hAnsi="宋体" w:cs="宋体"/>
          <w:b w:val="0"/>
          <w:bCs/>
          <w:color w:val="FF0000"/>
          <w:sz w:val="24"/>
          <w:szCs w:val="24"/>
          <w:highlight w:val="none"/>
          <w:lang w:val="en-US" w:eastAsia="zh-CN"/>
        </w:rPr>
        <w:t>5</w:t>
      </w:r>
      <w:r>
        <w:rPr>
          <w:rFonts w:hint="eastAsia" w:ascii="宋体" w:hAnsi="宋体" w:eastAsia="宋体" w:cs="宋体"/>
          <w:b w:val="0"/>
          <w:bCs/>
          <w:color w:val="FF0000"/>
          <w:sz w:val="24"/>
          <w:szCs w:val="24"/>
          <w:highlight w:val="none"/>
          <w:lang w:val="zh-CN"/>
        </w:rPr>
        <w:t>000元</w:t>
      </w:r>
      <w:r>
        <w:rPr>
          <w:rFonts w:hint="eastAsia" w:ascii="宋体" w:hAnsi="宋体" w:eastAsia="宋体" w:cs="宋体"/>
          <w:b w:val="0"/>
          <w:bCs/>
          <w:color w:val="auto"/>
          <w:sz w:val="24"/>
          <w:szCs w:val="24"/>
          <w:highlight w:val="none"/>
          <w:lang w:val="zh-CN"/>
        </w:rPr>
        <w:t>以内由</w:t>
      </w:r>
      <w:r>
        <w:rPr>
          <w:rFonts w:hint="eastAsia" w:ascii="宋体" w:hAnsi="宋体" w:cs="宋体"/>
          <w:b w:val="0"/>
          <w:bCs/>
          <w:color w:val="auto"/>
          <w:sz w:val="24"/>
          <w:szCs w:val="24"/>
          <w:highlight w:val="none"/>
          <w:lang w:val="zh-CN"/>
        </w:rPr>
        <w:t>乙方</w:t>
      </w:r>
      <w:r>
        <w:rPr>
          <w:rFonts w:hint="eastAsia" w:ascii="宋体" w:hAnsi="宋体" w:eastAsia="宋体" w:cs="宋体"/>
          <w:b w:val="0"/>
          <w:bCs/>
          <w:color w:val="auto"/>
          <w:sz w:val="24"/>
          <w:szCs w:val="24"/>
          <w:highlight w:val="none"/>
          <w:lang w:val="zh-CN"/>
        </w:rPr>
        <w:t>承担</w:t>
      </w:r>
      <w:r>
        <w:rPr>
          <w:rFonts w:hint="eastAsia" w:ascii="宋体" w:hAnsi="宋体" w:cs="宋体"/>
          <w:b w:val="0"/>
          <w:bCs/>
          <w:color w:val="auto"/>
          <w:sz w:val="24"/>
          <w:szCs w:val="24"/>
          <w:highlight w:val="none"/>
          <w:lang w:val="zh-CN"/>
        </w:rPr>
        <w:t>，</w:t>
      </w:r>
      <w:r>
        <w:rPr>
          <w:rFonts w:hint="eastAsia" w:ascii="宋体" w:hAnsi="宋体" w:cs="宋体"/>
          <w:b w:val="0"/>
          <w:bCs/>
          <w:color w:val="FF0000"/>
          <w:sz w:val="24"/>
          <w:szCs w:val="24"/>
          <w:highlight w:val="none"/>
          <w:lang w:val="en-US" w:eastAsia="zh-CN"/>
        </w:rPr>
        <w:t>5</w:t>
      </w:r>
      <w:r>
        <w:rPr>
          <w:rFonts w:hint="eastAsia" w:ascii="宋体" w:hAnsi="宋体" w:eastAsia="宋体" w:cs="宋体"/>
          <w:b w:val="0"/>
          <w:bCs/>
          <w:color w:val="FF0000"/>
          <w:sz w:val="24"/>
          <w:szCs w:val="24"/>
          <w:highlight w:val="none"/>
          <w:lang w:val="zh-CN"/>
        </w:rPr>
        <w:t>000元</w:t>
      </w:r>
      <w:r>
        <w:rPr>
          <w:rFonts w:hint="eastAsia" w:ascii="宋体" w:hAnsi="宋体" w:eastAsia="宋体" w:cs="宋体"/>
          <w:b w:val="0"/>
          <w:bCs/>
          <w:color w:val="auto"/>
          <w:sz w:val="24"/>
          <w:szCs w:val="24"/>
          <w:highlight w:val="none"/>
          <w:lang w:val="zh-CN"/>
        </w:rPr>
        <w:t>以上的费用由</w:t>
      </w:r>
      <w:r>
        <w:rPr>
          <w:rFonts w:hint="eastAsia" w:ascii="宋体" w:hAnsi="宋体" w:cs="宋体"/>
          <w:b w:val="0"/>
          <w:bCs/>
          <w:color w:val="auto"/>
          <w:sz w:val="24"/>
          <w:szCs w:val="24"/>
          <w:highlight w:val="none"/>
          <w:lang w:val="zh-CN"/>
        </w:rPr>
        <w:t>甲方</w:t>
      </w:r>
      <w:r>
        <w:rPr>
          <w:rFonts w:hint="eastAsia" w:ascii="宋体" w:hAnsi="宋体" w:eastAsia="宋体" w:cs="宋体"/>
          <w:b w:val="0"/>
          <w:bCs/>
          <w:color w:val="auto"/>
          <w:sz w:val="24"/>
          <w:szCs w:val="24"/>
          <w:highlight w:val="none"/>
          <w:lang w:val="zh-CN"/>
        </w:rPr>
        <w:t>承担</w:t>
      </w:r>
      <w:r>
        <w:rPr>
          <w:rFonts w:hint="eastAsia" w:ascii="宋体" w:hAnsi="宋体" w:eastAsia="宋体" w:cs="宋体"/>
          <w:b w:val="0"/>
          <w:bCs/>
          <w:color w:val="auto"/>
          <w:sz w:val="24"/>
          <w:szCs w:val="24"/>
          <w:highlight w:val="none"/>
        </w:rPr>
        <w:t>。</w:t>
      </w:r>
    </w:p>
    <w:p w14:paraId="14E79E8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、设备</w:t>
      </w:r>
      <w:r>
        <w:rPr>
          <w:rFonts w:hint="eastAsia" w:ascii="宋体" w:hAnsi="宋体" w:cs="宋体"/>
          <w:b w:val="0"/>
          <w:bCs/>
          <w:color w:val="auto"/>
          <w:sz w:val="24"/>
          <w:szCs w:val="24"/>
          <w:highlight w:val="none"/>
          <w:lang w:eastAsia="zh-CN"/>
        </w:rPr>
        <w:t>档案：</w:t>
      </w:r>
      <w:r>
        <w:rPr>
          <w:rFonts w:hint="eastAsia" w:ascii="宋体" w:hAnsi="宋体" w:eastAsia="宋体" w:cs="宋体"/>
          <w:b w:val="0"/>
          <w:bCs/>
          <w:color w:val="auto"/>
          <w:sz w:val="24"/>
          <w:szCs w:val="24"/>
          <w:highlight w:val="none"/>
        </w:rPr>
        <w:t xml:space="preserve">包括技术资料、运行记录、维修记录三个部分。 </w:t>
      </w:r>
    </w:p>
    <w:p w14:paraId="6793135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 xml:space="preserve">第一部分是设备的说明书、图纸资料、出厂合格证明、安装记录、验收记录等。 </w:t>
      </w:r>
    </w:p>
    <w:p w14:paraId="59091CF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第二部分是对设备</w:t>
      </w:r>
      <w:r>
        <w:rPr>
          <w:rFonts w:hint="eastAsia" w:ascii="宋体" w:hAnsi="宋体" w:cs="宋体"/>
          <w:b w:val="0"/>
          <w:bCs/>
          <w:color w:val="auto"/>
          <w:sz w:val="24"/>
          <w:szCs w:val="24"/>
          <w:highlight w:val="none"/>
          <w:lang w:eastAsia="zh-CN"/>
        </w:rPr>
        <w:t>日常</w:t>
      </w:r>
      <w:r>
        <w:rPr>
          <w:rFonts w:hint="eastAsia" w:ascii="宋体" w:hAnsi="宋体" w:eastAsia="宋体" w:cs="宋体"/>
          <w:b w:val="0"/>
          <w:bCs/>
          <w:color w:val="auto"/>
          <w:sz w:val="24"/>
          <w:szCs w:val="24"/>
          <w:highlight w:val="none"/>
        </w:rPr>
        <w:t xml:space="preserve">运行状况的记录，由运行操作人员填写。如每台设备的每日运行时间、运行状况、累计运行时间，每次加油的时间，加油部位、品种、数量，故障发生的时间及详细情况，易损件的更换情况等。 </w:t>
      </w:r>
    </w:p>
    <w:p w14:paraId="0055EB0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第三部分是设备维修</w:t>
      </w:r>
      <w:r>
        <w:rPr>
          <w:rFonts w:hint="eastAsia" w:ascii="宋体" w:hAnsi="宋体" w:cs="宋体"/>
          <w:b w:val="0"/>
          <w:bCs/>
          <w:color w:val="auto"/>
          <w:sz w:val="24"/>
          <w:szCs w:val="24"/>
          <w:highlight w:val="none"/>
          <w:lang w:val="en-US" w:eastAsia="zh-CN"/>
        </w:rPr>
        <w:t>保养</w:t>
      </w:r>
      <w:r>
        <w:rPr>
          <w:rFonts w:hint="eastAsia" w:ascii="宋体" w:hAnsi="宋体" w:eastAsia="宋体" w:cs="宋体"/>
          <w:b w:val="0"/>
          <w:bCs/>
          <w:color w:val="auto"/>
          <w:sz w:val="24"/>
          <w:szCs w:val="24"/>
          <w:highlight w:val="none"/>
        </w:rPr>
        <w:t>档案，包括大、中修的时间，维修中发现的问题、处理方法等</w:t>
      </w:r>
      <w:r>
        <w:rPr>
          <w:rFonts w:hint="eastAsia" w:ascii="宋体" w:hAnsi="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由维修人员及设备管理技术人员填写</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lang w:val="en-US" w:eastAsia="zh-CN"/>
        </w:rPr>
        <w:t>每月维修保养现场工作照片交甲方监管部门</w:t>
      </w:r>
      <w:r>
        <w:rPr>
          <w:rFonts w:hint="eastAsia" w:ascii="宋体" w:hAnsi="宋体" w:eastAsia="宋体" w:cs="宋体"/>
          <w:b w:val="0"/>
          <w:bCs/>
          <w:color w:val="auto"/>
          <w:sz w:val="24"/>
          <w:szCs w:val="24"/>
          <w:highlight w:val="none"/>
        </w:rPr>
        <w:t>。</w:t>
      </w:r>
    </w:p>
    <w:p w14:paraId="51283BB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根据以上三部分档案，设备管理技术人员可对设备运行状况和事故进行综合分析，据此对下一步维修保养提出要求。可以此为依据制定出设备维修计划或设备更新计划。</w:t>
      </w:r>
    </w:p>
    <w:p w14:paraId="476845DF">
      <w:pPr>
        <w:tabs>
          <w:tab w:val="left" w:pos="42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（三）人员配置及管理制度</w:t>
      </w:r>
    </w:p>
    <w:p w14:paraId="5B68AA73">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1、为确保污水处理站安全平稳运行，第三方运营公司须按照以下原则进行人员配置：</w:t>
      </w:r>
    </w:p>
    <w:p w14:paraId="0B28B7AB">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1.1站区要求24小时有人值守，</w:t>
      </w:r>
      <w:r>
        <w:rPr>
          <w:rFonts w:hint="eastAsia" w:ascii="宋体" w:hAnsi="宋体" w:eastAsia="宋体" w:cs="宋体"/>
          <w:color w:val="auto"/>
          <w:sz w:val="24"/>
          <w:szCs w:val="24"/>
          <w:highlight w:val="none"/>
          <w:lang w:val="en-US" w:eastAsia="zh-CN"/>
        </w:rPr>
        <w:t>人员总数不少于</w:t>
      </w:r>
      <w:r>
        <w:rPr>
          <w:rFonts w:hint="eastAsia"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w:t>
      </w:r>
    </w:p>
    <w:p w14:paraId="0D47EBB4">
      <w:pPr>
        <w:pStyle w:val="6"/>
        <w:spacing w:line="360" w:lineRule="auto"/>
        <w:ind w:firstLine="480" w:firstLineChars="200"/>
        <w:rPr>
          <w:rFonts w:hint="eastAsia" w:hAnsi="宋体" w:cs="宋体"/>
          <w:color w:val="auto"/>
          <w:sz w:val="24"/>
          <w:szCs w:val="24"/>
          <w:highlight w:val="none"/>
        </w:rPr>
      </w:pPr>
      <w:r>
        <w:rPr>
          <w:rFonts w:hint="eastAsia" w:ascii="宋体" w:hAnsi="宋体" w:eastAsia="宋体" w:cs="宋体"/>
          <w:color w:val="auto"/>
          <w:sz w:val="24"/>
          <w:szCs w:val="24"/>
          <w:highlight w:val="none"/>
        </w:rPr>
        <w:t>1.2</w:t>
      </w:r>
      <w:r>
        <w:rPr>
          <w:rFonts w:hint="eastAsia" w:hAnsi="宋体" w:cs="宋体"/>
          <w:color w:val="auto"/>
          <w:sz w:val="24"/>
          <w:szCs w:val="24"/>
          <w:highlight w:val="none"/>
          <w:lang w:eastAsia="zh-CN"/>
        </w:rPr>
        <w:t>乙方</w:t>
      </w:r>
      <w:r>
        <w:rPr>
          <w:rFonts w:hint="eastAsia" w:ascii="宋体" w:hAnsi="宋体" w:eastAsia="宋体" w:cs="宋体"/>
          <w:color w:val="auto"/>
          <w:sz w:val="24"/>
          <w:szCs w:val="24"/>
          <w:highlight w:val="none"/>
        </w:rPr>
        <w:t>须配置项目负责人、技术负责人</w:t>
      </w:r>
      <w:r>
        <w:rPr>
          <w:rFonts w:hint="eastAsia" w:hAnsi="宋体" w:eastAsia="宋体" w:cs="宋体"/>
          <w:color w:val="auto"/>
          <w:sz w:val="24"/>
          <w:szCs w:val="24"/>
          <w:highlight w:val="none"/>
          <w:lang w:eastAsia="zh-CN"/>
        </w:rPr>
        <w:t>及其他人员</w:t>
      </w:r>
      <w:r>
        <w:rPr>
          <w:rFonts w:hint="eastAsia" w:ascii="宋体" w:hAnsi="宋体" w:eastAsia="宋体" w:cs="宋体"/>
          <w:color w:val="auto"/>
          <w:sz w:val="24"/>
          <w:szCs w:val="24"/>
          <w:highlight w:val="none"/>
        </w:rPr>
        <w:t>，项目技术负责人须具有项目相关专业中级及以上职称。</w:t>
      </w:r>
    </w:p>
    <w:p w14:paraId="22613C76">
      <w:pPr>
        <w:pStyle w:val="6"/>
        <w:numPr>
          <w:ilvl w:val="0"/>
          <w:numId w:val="1"/>
        </w:numPr>
        <w:spacing w:line="360" w:lineRule="auto"/>
        <w:ind w:firstLine="480" w:firstLineChars="200"/>
        <w:rPr>
          <w:rFonts w:hint="eastAsia" w:hAnsi="宋体" w:eastAsia="宋体" w:cs="宋体"/>
          <w:color w:val="auto"/>
          <w:sz w:val="24"/>
          <w:szCs w:val="24"/>
          <w:highlight w:val="none"/>
          <w:lang w:eastAsia="zh-CN"/>
        </w:rPr>
      </w:pPr>
      <w:r>
        <w:rPr>
          <w:rFonts w:hint="eastAsia" w:hAnsi="宋体" w:cs="宋体"/>
          <w:color w:val="auto"/>
          <w:sz w:val="24"/>
          <w:szCs w:val="24"/>
          <w:highlight w:val="none"/>
        </w:rPr>
        <w:t>技术培训要求</w:t>
      </w:r>
      <w:r>
        <w:rPr>
          <w:rFonts w:hint="eastAsia" w:hAnsi="宋体" w:cs="宋体"/>
          <w:color w:val="auto"/>
          <w:sz w:val="24"/>
          <w:szCs w:val="24"/>
          <w:highlight w:val="none"/>
          <w:lang w:eastAsia="zh-CN"/>
        </w:rPr>
        <w:t>：乙方</w:t>
      </w:r>
      <w:r>
        <w:rPr>
          <w:rFonts w:hint="eastAsia" w:hAnsi="宋体" w:cs="宋体"/>
          <w:color w:val="auto"/>
          <w:sz w:val="24"/>
          <w:szCs w:val="24"/>
          <w:highlight w:val="none"/>
        </w:rPr>
        <w:t>应组织对运行维护管理人员进行技术培训，使其了解处理工艺，熟悉本岗位设施、设备的运行要求和技术指标，熟悉掌握本岗位工作技能。</w:t>
      </w:r>
    </w:p>
    <w:p w14:paraId="4A276D81">
      <w:pPr>
        <w:pStyle w:val="6"/>
        <w:numPr>
          <w:ilvl w:val="0"/>
          <w:numId w:val="1"/>
        </w:num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制度要求</w:t>
      </w:r>
    </w:p>
    <w:p w14:paraId="67F3A558">
      <w:pPr>
        <w:pStyle w:val="6"/>
        <w:numPr>
          <w:ilvl w:val="0"/>
          <w:numId w:val="0"/>
        </w:num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3.1</w:t>
      </w:r>
      <w:r>
        <w:rPr>
          <w:rFonts w:hint="eastAsia" w:hAnsi="宋体" w:cs="宋体"/>
          <w:color w:val="auto"/>
          <w:sz w:val="24"/>
          <w:szCs w:val="24"/>
          <w:highlight w:val="none"/>
          <w:lang w:eastAsia="zh-CN"/>
        </w:rPr>
        <w:t>乙方</w:t>
      </w:r>
      <w:r>
        <w:rPr>
          <w:rFonts w:hint="eastAsia" w:hAnsi="宋体" w:cs="宋体"/>
          <w:color w:val="auto"/>
          <w:sz w:val="24"/>
          <w:szCs w:val="24"/>
          <w:highlight w:val="none"/>
        </w:rPr>
        <w:t>应制定相关管理办法及考核标准，根据</w:t>
      </w:r>
      <w:r>
        <w:rPr>
          <w:rFonts w:hint="eastAsia" w:hAnsi="宋体" w:cs="宋体"/>
          <w:color w:val="auto"/>
          <w:sz w:val="24"/>
          <w:szCs w:val="24"/>
          <w:highlight w:val="none"/>
          <w:lang w:eastAsia="zh-CN"/>
        </w:rPr>
        <w:t>甲方</w:t>
      </w:r>
      <w:r>
        <w:rPr>
          <w:rFonts w:hint="eastAsia" w:hAnsi="宋体" w:cs="宋体"/>
          <w:color w:val="auto"/>
          <w:sz w:val="24"/>
          <w:szCs w:val="24"/>
          <w:highlight w:val="none"/>
        </w:rPr>
        <w:t>管理办法制定具体的管理制度、相关岗位工作职责、运行维护管理制度、操作规程、安全规程、纪律规范等，组织协调好日常运行管理工作，确保运行管理服务工作高质量完成。</w:t>
      </w:r>
    </w:p>
    <w:p w14:paraId="7675ABF1">
      <w:pPr>
        <w:pStyle w:val="6"/>
        <w:numPr>
          <w:ilvl w:val="0"/>
          <w:numId w:val="0"/>
        </w:num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3.2</w:t>
      </w:r>
      <w:r>
        <w:rPr>
          <w:rFonts w:hint="eastAsia" w:hAnsi="宋体" w:cs="宋体"/>
          <w:color w:val="auto"/>
          <w:sz w:val="24"/>
          <w:szCs w:val="24"/>
          <w:highlight w:val="none"/>
          <w:lang w:eastAsia="zh-CN"/>
        </w:rPr>
        <w:t>乙方</w:t>
      </w:r>
      <w:r>
        <w:rPr>
          <w:rFonts w:hint="eastAsia" w:hAnsi="宋体" w:cs="宋体"/>
          <w:color w:val="auto"/>
          <w:sz w:val="24"/>
          <w:szCs w:val="24"/>
          <w:highlight w:val="none"/>
        </w:rPr>
        <w:t>应建立运营期间各类紧急情况下的应急预案，以应对和处理各种突发事件如战争、自然灾害、疫情、涉及发生危害周边设施财产、生态环境及人员生命的公共安全事故等。</w:t>
      </w:r>
    </w:p>
    <w:p w14:paraId="5B64D1C7">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（四）考核管理要求</w:t>
      </w:r>
    </w:p>
    <w:p w14:paraId="24973FDA">
      <w:pPr>
        <w:tabs>
          <w:tab w:val="left" w:pos="42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按照招标文件、合同约定的服务标准及管理制度定期对</w:t>
      </w:r>
      <w:r>
        <w:rPr>
          <w:rFonts w:hint="eastAsia" w:ascii="宋体" w:hAnsi="宋体" w:eastAsia="宋体" w:cs="宋体"/>
          <w:color w:val="auto"/>
          <w:sz w:val="24"/>
          <w:szCs w:val="24"/>
          <w:highlight w:val="none"/>
          <w:lang w:eastAsia="zh-CN"/>
        </w:rPr>
        <w:t>承包</w:t>
      </w:r>
      <w:r>
        <w:rPr>
          <w:rFonts w:hint="eastAsia" w:ascii="宋体" w:hAnsi="宋体" w:eastAsia="宋体" w:cs="宋体"/>
          <w:color w:val="auto"/>
          <w:sz w:val="24"/>
          <w:szCs w:val="24"/>
          <w:highlight w:val="none"/>
        </w:rPr>
        <w:t>人的服务进行综合评价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每月考核分数不应低于90分，对考核分数90分(不包含)至85分(包含)的，每低1分扣1%当月服务费；对85分(包含)-80分(包含)的，每低1分扣2%当月服务费；得分80分以下为不合格，甲方有权终止合同。(具体细则见</w:t>
      </w:r>
      <w:r>
        <w:rPr>
          <w:rFonts w:hint="eastAsia" w:ascii="宋体" w:hAnsi="宋体" w:eastAsia="宋体" w:cs="宋体"/>
          <w:color w:val="auto"/>
          <w:sz w:val="24"/>
          <w:szCs w:val="24"/>
          <w:highlight w:val="none"/>
          <w:lang w:eastAsia="zh-CN"/>
        </w:rPr>
        <w:t>附</w:t>
      </w:r>
      <w:r>
        <w:rPr>
          <w:rFonts w:hint="eastAsia" w:ascii="宋体" w:hAnsi="宋体" w:eastAsia="宋体" w:cs="宋体"/>
          <w:color w:val="auto"/>
          <w:sz w:val="24"/>
          <w:szCs w:val="24"/>
          <w:highlight w:val="none"/>
        </w:rPr>
        <w:t>表)</w:t>
      </w:r>
    </w:p>
    <w:p w14:paraId="7437F3E3">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highlight w:val="none"/>
        </w:rPr>
        <w:t>（五）</w:t>
      </w:r>
      <w:r>
        <w:rPr>
          <w:rFonts w:hint="eastAsia" w:ascii="宋体" w:hAnsi="宋体" w:eastAsia="宋体" w:cs="宋体"/>
          <w:color w:val="auto"/>
          <w:sz w:val="24"/>
          <w:szCs w:val="24"/>
          <w:highlight w:val="none"/>
        </w:rPr>
        <w:t>安全防护、文明运行的要求</w:t>
      </w:r>
    </w:p>
    <w:p w14:paraId="0E86CE5F">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必须落实安全生产措施，按</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以及有关部门的要求，维护作业人员上岗前必须进行安全教育和技术培训，为上岗工人配置统一的工作服和安全防护用品，自行解决安全作业问题。</w:t>
      </w:r>
    </w:p>
    <w:p w14:paraId="11FEB020">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应按实际上岗人数自行到有关部门申办有关用工手续，为员工劳动购买保险手续和办理暂住证等手续，安排好下属人员的住宿和安全教育管理工作。</w:t>
      </w:r>
    </w:p>
    <w:p w14:paraId="33217F9E">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3、本项目用电未经</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以及有关部门的同意，</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不得擅自改变原供电线路和驳接线路挪作他用。</w:t>
      </w:r>
    </w:p>
    <w:p w14:paraId="0F6F4883">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按要求定期进行安全隐患排查工作，杜绝任何用电设施发生漏电现象，确保安全、正常运行。</w:t>
      </w:r>
    </w:p>
    <w:p w14:paraId="3321D61D">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在检查维护水泵、闸阀门、管道、集水池等设备设施时，必须采取防硫化氢等有毒有害气体的安全措施。</w:t>
      </w:r>
    </w:p>
    <w:p w14:paraId="63CA2509">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做好安全标示、防护等工作，确保人员安全。</w:t>
      </w:r>
    </w:p>
    <w:p w14:paraId="49223DE1">
      <w:pPr>
        <w:tabs>
          <w:tab w:val="left" w:pos="42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7、安全生产：</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应按照国家及地方有关安全生产的法律、法规制定安全生产规章制度和措施，制定应急预案，建立安全生产教育和检查机构，并定期向我院汇报，接受检查并按照我院的意见进行整改。</w:t>
      </w:r>
    </w:p>
    <w:p w14:paraId="2075C75C">
      <w:pPr>
        <w:tabs>
          <w:tab w:val="left" w:pos="420"/>
        </w:tabs>
        <w:spacing w:line="360" w:lineRule="auto"/>
        <w:ind w:firstLine="480" w:firstLineChars="200"/>
        <w:rPr>
          <w:rFonts w:hint="eastAsia" w:ascii="宋体" w:hAnsi="宋体" w:cs="宋体"/>
          <w:color w:val="auto"/>
          <w:sz w:val="24"/>
          <w:highlight w:val="none"/>
        </w:rPr>
      </w:pPr>
      <w:r>
        <w:rPr>
          <w:rFonts w:hint="eastAsia" w:ascii="宋体" w:hAnsi="宋体" w:eastAsia="宋体" w:cs="宋体"/>
          <w:color w:val="auto"/>
          <w:sz w:val="24"/>
          <w:szCs w:val="24"/>
          <w:highlight w:val="none"/>
        </w:rPr>
        <w:t>8、本项目的安全生产责任由</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承担。</w:t>
      </w:r>
    </w:p>
    <w:p w14:paraId="6BE73A1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五、</w:t>
      </w:r>
      <w:r>
        <w:rPr>
          <w:rFonts w:hint="eastAsia" w:ascii="宋体" w:hAnsi="宋体" w:eastAsia="宋体" w:cs="宋体"/>
          <w:b/>
          <w:bCs/>
          <w:color w:val="auto"/>
          <w:sz w:val="24"/>
          <w:szCs w:val="24"/>
          <w:highlight w:val="none"/>
        </w:rPr>
        <w:t>甲方的权利与义务</w:t>
      </w:r>
    </w:p>
    <w:p w14:paraId="386500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4FF01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2、负责检查监督乙方管理工作的实施及制度的执行情况。</w:t>
      </w:r>
    </w:p>
    <w:p w14:paraId="5F932D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、根据本合同规定，按时向乙方支付应付服务费用。</w:t>
      </w:r>
    </w:p>
    <w:p w14:paraId="2F0373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、甲方保证对乙方的监管将按照国家、省市、行业标准、相关法律、法规、规章及规范的规定执行。</w:t>
      </w:r>
    </w:p>
    <w:p w14:paraId="1F3236F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六</w:t>
      </w:r>
      <w:r>
        <w:rPr>
          <w:rFonts w:hint="eastAsia" w:ascii="宋体" w:hAnsi="宋体" w:eastAsia="宋体" w:cs="宋体"/>
          <w:b/>
          <w:bCs/>
          <w:color w:val="auto"/>
          <w:sz w:val="24"/>
          <w:szCs w:val="24"/>
          <w:highlight w:val="none"/>
        </w:rPr>
        <w:t>、乙方的权利与义务</w:t>
      </w:r>
    </w:p>
    <w:p w14:paraId="1C3378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1、运营期间，乙方必须保证生产污水的达标排放。如污水处理不</w:t>
      </w:r>
      <w:r>
        <w:rPr>
          <w:rFonts w:hint="eastAsia" w:ascii="宋体" w:hAnsi="宋体" w:cs="宋体"/>
          <w:color w:val="auto"/>
          <w:sz w:val="24"/>
          <w:szCs w:val="24"/>
          <w:highlight w:val="none"/>
          <w:lang w:eastAsia="zh-CN"/>
        </w:rPr>
        <w:t>达</w:t>
      </w:r>
      <w:r>
        <w:rPr>
          <w:rFonts w:hint="eastAsia" w:ascii="宋体" w:hAnsi="宋体" w:eastAsia="宋体" w:cs="宋体"/>
          <w:color w:val="auto"/>
          <w:sz w:val="24"/>
          <w:szCs w:val="24"/>
          <w:highlight w:val="none"/>
        </w:rPr>
        <w:t>标，或造成重大污染事故，造成相关部门处罚的，乙方负责全部责任并承担排污费及相关罚款。如果给甲方或第三方造成损失，由乙方全部承担相关责任。</w:t>
      </w:r>
    </w:p>
    <w:p w14:paraId="731F85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、乙方必须按照</w:t>
      </w:r>
      <w:r>
        <w:rPr>
          <w:rFonts w:hint="eastAsia" w:ascii="宋体" w:hAnsi="宋体" w:eastAsia="宋体" w:cs="宋体"/>
          <w:color w:val="auto"/>
          <w:sz w:val="24"/>
          <w:szCs w:val="24"/>
          <w:highlight w:val="none"/>
          <w:lang w:eastAsia="zh-CN"/>
        </w:rPr>
        <w:t>相关规范</w:t>
      </w:r>
      <w:r>
        <w:rPr>
          <w:rFonts w:hint="eastAsia" w:ascii="宋体" w:hAnsi="宋体" w:eastAsia="宋体" w:cs="宋体"/>
          <w:color w:val="auto"/>
          <w:sz w:val="24"/>
          <w:szCs w:val="24"/>
          <w:highlight w:val="none"/>
        </w:rPr>
        <w:t>要求操作，如因污水处理站发现不合格项，                                                                                                                    乙方必须无条件按照甲方要求进行整改，甲方因此遭受的所有损失由乙方承担。</w:t>
      </w:r>
    </w:p>
    <w:p w14:paraId="44F10A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乙方在运营期间，必须严格按污水处理站设备操作流程，安全操作规程进行操作，确保污水处理达标排放，并保证人身安全。如果在运营内发生安全事故，全部责任完全由乙方承担。若甲方因此遭受索赔的，甲方有权就其支出的全部费用（包括但不限于赔偿费、诉讼费、保全费、保险费、律师费、差旅费等）向乙方追偿。</w:t>
      </w:r>
    </w:p>
    <w:p w14:paraId="427C4B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、乙方保证严格遵守国家、省市、行业标准、相关法律、法规、规章及规范的规定。</w:t>
      </w:r>
    </w:p>
    <w:p w14:paraId="01A059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、乙方保证接受甲方及其他相关政府部门的监管。</w:t>
      </w:r>
    </w:p>
    <w:p w14:paraId="00E33D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、在运营期内，乙方负责项目设施设备的管理、运行、维修、维护，并在托管运营期结束时将项目设施完好、无偿移交给甲方，并保证正常运行。</w:t>
      </w:r>
    </w:p>
    <w:p w14:paraId="7F5E5D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、乙方应在每月开始的头五个工作日内向甲方提交水质、水量报告</w:t>
      </w:r>
      <w:r>
        <w:rPr>
          <w:rFonts w:hint="eastAsia" w:ascii="宋体" w:hAnsi="宋体" w:eastAsia="宋体" w:cs="宋体"/>
          <w:color w:val="auto"/>
          <w:sz w:val="24"/>
          <w:szCs w:val="24"/>
          <w:highlight w:val="none"/>
          <w:lang w:eastAsia="zh-CN"/>
        </w:rPr>
        <w:t>、运行记录、维修记录</w:t>
      </w:r>
      <w:r>
        <w:rPr>
          <w:rFonts w:hint="eastAsia" w:ascii="宋体" w:hAnsi="宋体" w:eastAsia="宋体" w:cs="宋体"/>
          <w:color w:val="auto"/>
          <w:sz w:val="24"/>
          <w:szCs w:val="24"/>
          <w:highlight w:val="none"/>
        </w:rPr>
        <w:t>等资料纸质版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份。</w:t>
      </w:r>
    </w:p>
    <w:p w14:paraId="44D010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、乙方有义务配合甲方做好上级部门的监督检查工作，并提供相关资料。</w:t>
      </w:r>
    </w:p>
    <w:p w14:paraId="5DFBDD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、乙方在发现安全生产及水质污染等重大隐患时，应立即通知甲方现场负责人。</w:t>
      </w:r>
    </w:p>
    <w:p w14:paraId="2312D71E">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、乙方在服务期间所聘用人员出现的劳资纠纷、合同纠纷及连带法律责任由乙方自行解决，与甲方无关。</w:t>
      </w:r>
    </w:p>
    <w:p w14:paraId="325D9A8E">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、污水处理站一切设备、房屋由于乙方人为损坏，乙方承担其维修费用并给与同等价位的经济补偿。</w:t>
      </w:r>
    </w:p>
    <w:p w14:paraId="230850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、乙方自行采购为履行本合同内容所需的设备、工具等，费用由乙方自行承担。</w:t>
      </w:r>
    </w:p>
    <w:p w14:paraId="4F0105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、乙方做好每日消毒与工作记录，发现问题及时纠正，做好各项运行监测指标，每季度向甲方提供第三方检测公司水质检测报告。</w:t>
      </w:r>
    </w:p>
    <w:p w14:paraId="7F1FC95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七</w:t>
      </w:r>
      <w:r>
        <w:rPr>
          <w:rFonts w:hint="eastAsia" w:ascii="宋体" w:hAnsi="宋体" w:eastAsia="宋体" w:cs="宋体"/>
          <w:b/>
          <w:bCs/>
          <w:color w:val="auto"/>
          <w:sz w:val="24"/>
          <w:szCs w:val="24"/>
          <w:highlight w:val="none"/>
        </w:rPr>
        <w:t>、项目资产所有权</w:t>
      </w:r>
    </w:p>
    <w:p w14:paraId="7C158F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1、托管运营期间，污水处理站内的所有设施、建筑物及其他地上附着物的所有权、设备的所有权及土地使用权归甲方所有。</w:t>
      </w:r>
    </w:p>
    <w:p w14:paraId="138279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2、托管运营期间，因污水处理需要并经甲方书面同意后新增的设备、设施，</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000元以内的由乙方</w:t>
      </w:r>
      <w:r>
        <w:rPr>
          <w:rFonts w:hint="eastAsia" w:ascii="宋体" w:hAnsi="宋体" w:eastAsia="宋体" w:cs="宋体"/>
          <w:color w:val="auto"/>
          <w:sz w:val="24"/>
          <w:szCs w:val="24"/>
          <w:highlight w:val="none"/>
          <w:lang w:eastAsia="zh-CN"/>
        </w:rPr>
        <w:t>承担</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000元以上的由甲方</w:t>
      </w:r>
      <w:r>
        <w:rPr>
          <w:rFonts w:hint="eastAsia" w:ascii="宋体" w:hAnsi="宋体" w:eastAsia="宋体" w:cs="宋体"/>
          <w:color w:val="auto"/>
          <w:sz w:val="24"/>
          <w:szCs w:val="24"/>
          <w:highlight w:val="none"/>
          <w:lang w:eastAsia="zh-CN"/>
        </w:rPr>
        <w:t>承担</w:t>
      </w:r>
      <w:r>
        <w:rPr>
          <w:rFonts w:hint="eastAsia" w:ascii="宋体" w:hAnsi="宋体" w:eastAsia="宋体" w:cs="宋体"/>
          <w:color w:val="auto"/>
          <w:sz w:val="24"/>
          <w:szCs w:val="24"/>
          <w:highlight w:val="none"/>
        </w:rPr>
        <w:t>。</w:t>
      </w:r>
    </w:p>
    <w:p w14:paraId="479DC84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八</w:t>
      </w:r>
      <w:r>
        <w:rPr>
          <w:rFonts w:hint="eastAsia" w:ascii="宋体" w:hAnsi="宋体" w:eastAsia="宋体" w:cs="宋体"/>
          <w:b/>
          <w:bCs/>
          <w:color w:val="auto"/>
          <w:sz w:val="24"/>
          <w:szCs w:val="24"/>
          <w:highlight w:val="none"/>
        </w:rPr>
        <w:t>、水质检测</w:t>
      </w:r>
    </w:p>
    <w:p w14:paraId="165209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1、进水和出水的水质应通过日常检测指标确定。乙方应按照国家规定的检测分析方法进行检测，并</w:t>
      </w:r>
      <w:r>
        <w:rPr>
          <w:rFonts w:hint="eastAsia" w:ascii="宋体" w:hAnsi="宋体" w:eastAsia="宋体" w:cs="宋体"/>
          <w:color w:val="auto"/>
          <w:sz w:val="24"/>
          <w:szCs w:val="24"/>
          <w:highlight w:val="none"/>
          <w:lang w:eastAsia="zh-CN"/>
        </w:rPr>
        <w:t>形成记录，如出现水质出现异常应在</w:t>
      </w:r>
      <w:r>
        <w:rPr>
          <w:rFonts w:hint="eastAsia" w:ascii="宋体" w:hAnsi="宋体" w:eastAsia="宋体" w:cs="宋体"/>
          <w:color w:val="auto"/>
          <w:sz w:val="24"/>
          <w:szCs w:val="24"/>
          <w:highlight w:val="none"/>
          <w:lang w:val="en-US" w:eastAsia="zh-CN"/>
        </w:rPr>
        <w:t>1小时</w:t>
      </w:r>
      <w:r>
        <w:rPr>
          <w:rFonts w:hint="eastAsia" w:ascii="宋体" w:hAnsi="宋体" w:eastAsia="宋体" w:cs="宋体"/>
          <w:color w:val="auto"/>
          <w:sz w:val="24"/>
          <w:szCs w:val="24"/>
          <w:highlight w:val="none"/>
        </w:rPr>
        <w:t>内如实向甲方报告检测结果。</w:t>
      </w:r>
    </w:p>
    <w:p w14:paraId="79B502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2、乙方应接受经甲方委托的具有资质的检测机构按照规定的程序、办法、标准和周期进行检测。</w:t>
      </w:r>
    </w:p>
    <w:p w14:paraId="30FD2A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3、乙方应记录日常检测和</w:t>
      </w:r>
      <w:r>
        <w:rPr>
          <w:rFonts w:hint="eastAsia" w:ascii="宋体" w:hAnsi="宋体" w:eastAsia="宋体" w:cs="宋体"/>
          <w:color w:val="auto"/>
          <w:sz w:val="24"/>
          <w:szCs w:val="24"/>
          <w:highlight w:val="none"/>
          <w:lang w:eastAsia="zh-CN"/>
        </w:rPr>
        <w:t>第三方</w:t>
      </w:r>
      <w:r>
        <w:rPr>
          <w:rFonts w:hint="eastAsia" w:ascii="宋体" w:hAnsi="宋体" w:eastAsia="宋体" w:cs="宋体"/>
          <w:color w:val="auto"/>
          <w:sz w:val="24"/>
          <w:szCs w:val="24"/>
          <w:highlight w:val="none"/>
        </w:rPr>
        <w:t>检测的所有结果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对于进出水质严重不符合本协议规定标准的检测</w:t>
      </w:r>
      <w:r>
        <w:rPr>
          <w:rFonts w:hint="eastAsia" w:ascii="宋体" w:hAnsi="宋体" w:eastAsia="宋体" w:cs="宋体"/>
          <w:color w:val="auto"/>
          <w:sz w:val="24"/>
          <w:szCs w:val="24"/>
          <w:highlight w:val="none"/>
          <w:lang w:eastAsia="zh-CN"/>
        </w:rPr>
        <w:t>结果</w:t>
      </w:r>
      <w:r>
        <w:rPr>
          <w:rFonts w:hint="eastAsia" w:ascii="宋体" w:hAnsi="宋体" w:eastAsia="宋体" w:cs="宋体"/>
          <w:color w:val="auto"/>
          <w:sz w:val="24"/>
          <w:szCs w:val="24"/>
          <w:highlight w:val="none"/>
        </w:rPr>
        <w:t>应立即报送</w:t>
      </w:r>
      <w:r>
        <w:rPr>
          <w:rFonts w:hint="eastAsia" w:ascii="宋体" w:hAnsi="宋体" w:eastAsia="宋体" w:cs="宋体"/>
          <w:color w:val="auto"/>
          <w:sz w:val="24"/>
          <w:szCs w:val="24"/>
          <w:highlight w:val="none"/>
          <w:lang w:eastAsia="zh-CN"/>
        </w:rPr>
        <w:t>，因乙方的检测结果不准确或不及时上报，给甲方或第三方造成损失，由乙方全部承担相关责任</w:t>
      </w:r>
      <w:r>
        <w:rPr>
          <w:rFonts w:hint="eastAsia" w:ascii="宋体" w:hAnsi="宋体" w:eastAsia="宋体" w:cs="宋体"/>
          <w:color w:val="auto"/>
          <w:sz w:val="24"/>
          <w:szCs w:val="24"/>
          <w:highlight w:val="none"/>
        </w:rPr>
        <w:t>。</w:t>
      </w:r>
    </w:p>
    <w:p w14:paraId="196588C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、安全责任及风险承担</w:t>
      </w:r>
    </w:p>
    <w:p w14:paraId="4F5379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1、乙方负责自身及第三方人身及货物在运输、装卸、维修维护中的安全，甲方不负任何连带责任。</w:t>
      </w:r>
    </w:p>
    <w:p w14:paraId="233368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2、乙方必须严格执行国家和上级、地方各有关安全生产的文件、政策、法规，同时严格遵守甲方规定的有关安全、文明现场管理制度。</w:t>
      </w:r>
    </w:p>
    <w:p w14:paraId="6A74ED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3、乙方在托管运营期间，所有进入托管区域现场的车辆必须听从甲方项目管理人员及的指挥。</w:t>
      </w:r>
    </w:p>
    <w:p w14:paraId="0F5D2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4、乙方所有进入托管区域现场的人员、设备、机具应自觉遵守交通安全运输法规，不违章作业，严禁酒后作业。</w:t>
      </w:r>
    </w:p>
    <w:p w14:paraId="7236B9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5、由于乙方违反上述规定或自身责任造成甲方或第三方人员伤害的，由乙方承担全部责任和费用，并承担因此给甲方造成的一切费用（包括但不限于赔偿费、诉讼费、保全费、保险费、律师费、差旅费等）。</w:t>
      </w:r>
    </w:p>
    <w:p w14:paraId="1671BCE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十、违约责任</w:t>
      </w:r>
    </w:p>
    <w:p w14:paraId="5AFA78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1、甲方在本协议期内，不得与任何第三方签署与本协议项下的任何事宜构成竞争的任何协议及违反本协议项下的任何事宜的任何协议。</w:t>
      </w:r>
    </w:p>
    <w:p w14:paraId="567171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经甲方发现，若乙方未能按协议规定派驻足量现场</w:t>
      </w:r>
      <w:r>
        <w:rPr>
          <w:rFonts w:hint="eastAsia" w:ascii="宋体" w:hAnsi="宋体" w:cs="宋体"/>
          <w:color w:val="auto"/>
          <w:sz w:val="24"/>
          <w:szCs w:val="24"/>
          <w:highlight w:val="none"/>
          <w:lang w:val="en-US" w:eastAsia="zh-CN"/>
        </w:rPr>
        <w:t>运维</w:t>
      </w:r>
      <w:r>
        <w:rPr>
          <w:rFonts w:hint="eastAsia" w:ascii="宋体" w:hAnsi="宋体" w:eastAsia="宋体" w:cs="宋体"/>
          <w:color w:val="auto"/>
          <w:sz w:val="24"/>
          <w:szCs w:val="24"/>
          <w:highlight w:val="none"/>
        </w:rPr>
        <w:t>人员的，甲方有权扣除当季运营管理费用的20%作为违约金，如发现两次以上相同问题，甲方有权单方解除本合同，并要求乙方</w:t>
      </w:r>
      <w:r>
        <w:rPr>
          <w:rFonts w:hint="eastAsia" w:ascii="宋体" w:hAnsi="宋体" w:eastAsia="宋体" w:cs="宋体"/>
          <w:color w:val="auto"/>
          <w:sz w:val="24"/>
          <w:szCs w:val="24"/>
          <w:highlight w:val="none"/>
          <w:lang w:val="en-US" w:eastAsia="zh-CN"/>
        </w:rPr>
        <w:t>退还缺少人员服务费并</w:t>
      </w:r>
      <w:r>
        <w:rPr>
          <w:rFonts w:hint="eastAsia" w:ascii="宋体" w:hAnsi="宋体" w:eastAsia="宋体" w:cs="宋体"/>
          <w:color w:val="auto"/>
          <w:sz w:val="24"/>
          <w:szCs w:val="24"/>
          <w:highlight w:val="none"/>
        </w:rPr>
        <w:t>承担违约责任。</w:t>
      </w:r>
    </w:p>
    <w:p w14:paraId="15BFF1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若乙方以市场价格波动等其他任何理由而未经甲方书面同意自行停止供应本合同约定的药剂或其他产品，则视为乙方违约，乙方除应承担因此给甲方造成的一切损失外，乙方另支付当年托管运营费用总额的5%作为违约金。</w:t>
      </w:r>
    </w:p>
    <w:p w14:paraId="12F35D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上述乙方应承担的违约金、赔偿金及合同规定应扣款项，甲方有权在当期付款金额中直接扣除，不足扣的由乙方另行支付。甲方未扣除该等款项的，不视为甲方放弃其应享有的权利，而作为乙方欠甲方的到期债务，甲方保留随时清还该债务的权利。</w:t>
      </w:r>
    </w:p>
    <w:p w14:paraId="79527F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、在协议期内，属乙方自身的原因导致乙方所排放的出水不达标</w:t>
      </w:r>
      <w:r>
        <w:rPr>
          <w:rFonts w:hint="eastAsia" w:ascii="宋体" w:hAnsi="宋体" w:cs="宋体"/>
          <w:color w:val="auto"/>
          <w:sz w:val="24"/>
          <w:szCs w:val="24"/>
          <w:highlight w:val="none"/>
          <w:lang w:val="en-US" w:eastAsia="zh-CN"/>
        </w:rPr>
        <w:t>或其他原因</w:t>
      </w:r>
      <w:r>
        <w:rPr>
          <w:rFonts w:hint="eastAsia" w:ascii="宋体" w:hAnsi="宋体" w:eastAsia="宋体" w:cs="宋体"/>
          <w:color w:val="auto"/>
          <w:sz w:val="24"/>
          <w:szCs w:val="24"/>
          <w:highlight w:val="none"/>
        </w:rPr>
        <w:t>受到政府及有关部门的行政处罚或追究任何法律责任时，由乙方承担一切经济损失及一切法律责任，同时甲方将扣除当年托管运营费用总额的10%作为违约金，如发生两次此类事件，甲方有权单方解除该合同。</w:t>
      </w:r>
    </w:p>
    <w:p w14:paraId="7D5EB8F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b w:val="0"/>
          <w:bCs/>
          <w:color w:val="auto"/>
          <w:sz w:val="24"/>
          <w:szCs w:val="24"/>
          <w:highlight w:val="none"/>
          <w:lang w:val="en-US"/>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乙方因非不可抗力因素造成设备无法正常工作，处理站无法达到协议规定的污水处理效果时，乙方应在24小时内解决故障，如24小时内无法解决，甲方有权采取任何临时处置措施（包括但不限于委托第三人），由此产生的全部费用及风险由乙方负责。</w:t>
      </w:r>
    </w:p>
    <w:p w14:paraId="402DBE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如因乙方原因造成设备无法正常工作，</w:t>
      </w:r>
      <w:r>
        <w:rPr>
          <w:rFonts w:hint="eastAsia" w:ascii="宋体" w:hAnsi="宋体" w:cs="宋体"/>
          <w:color w:val="auto"/>
          <w:sz w:val="24"/>
          <w:szCs w:val="24"/>
          <w:highlight w:val="none"/>
          <w:lang w:val="en-US" w:eastAsia="zh-CN"/>
        </w:rPr>
        <w:t>污水</w:t>
      </w:r>
      <w:r>
        <w:rPr>
          <w:rFonts w:hint="eastAsia" w:ascii="宋体" w:hAnsi="宋体" w:eastAsia="宋体" w:cs="宋体"/>
          <w:color w:val="auto"/>
          <w:sz w:val="24"/>
          <w:szCs w:val="24"/>
          <w:highlight w:val="none"/>
        </w:rPr>
        <w:t>处理站无法达到协议规定的污水处理效果时，甲方有权单次扣除当年托管运营费用总额的5%作为违约金。如处理站无法达到协议规定的污水处理效果连续时间超过一周时，或叠加时间超过两周时，甲方有权单方解除合同</w:t>
      </w:r>
      <w:r>
        <w:rPr>
          <w:rFonts w:hint="eastAsia" w:ascii="宋体" w:hAnsi="宋体" w:cs="宋体"/>
          <w:color w:val="auto"/>
          <w:sz w:val="24"/>
          <w:szCs w:val="24"/>
          <w:highlight w:val="none"/>
          <w:lang w:eastAsia="zh-CN"/>
        </w:rPr>
        <w:t>，</w:t>
      </w:r>
      <w:r>
        <w:rPr>
          <w:rFonts w:hint="eastAsia" w:ascii="宋体" w:hAnsi="宋体" w:cs="宋体"/>
          <w:b w:val="0"/>
          <w:bCs/>
          <w:color w:val="auto"/>
          <w:sz w:val="24"/>
          <w:szCs w:val="24"/>
          <w:highlight w:val="none"/>
          <w:u w:val="none"/>
          <w:lang w:val="en-US" w:eastAsia="zh-CN"/>
        </w:rPr>
        <w:t>并</w:t>
      </w:r>
      <w:r>
        <w:rPr>
          <w:rFonts w:hint="eastAsia" w:ascii="宋体" w:hAnsi="宋体" w:eastAsia="宋体" w:cs="宋体"/>
          <w:b w:val="0"/>
          <w:bCs/>
          <w:color w:val="auto"/>
          <w:sz w:val="24"/>
          <w:szCs w:val="24"/>
          <w:highlight w:val="none"/>
          <w:u w:val="none"/>
        </w:rPr>
        <w:t>扣除当年托管运营费用总额的10%作为违约金。</w:t>
      </w:r>
    </w:p>
    <w:p w14:paraId="1DA74E0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b w:val="0"/>
          <w:bCs/>
          <w:color w:val="auto"/>
          <w:sz w:val="24"/>
          <w:szCs w:val="24"/>
          <w:highlight w:val="none"/>
          <w:lang w:val="en-US" w:eastAsia="zh-CN"/>
        </w:rPr>
        <w:t>7、乙方应保证站内运维设备应修尽修，不得无故拖欠，甲方每发现一次故意拖欠等情况，则每次处罚2000元，乙方</w:t>
      </w:r>
      <w:r>
        <w:rPr>
          <w:rFonts w:hint="eastAsia" w:ascii="宋体" w:hAnsi="宋体" w:eastAsia="宋体" w:cs="宋体"/>
          <w:b w:val="0"/>
          <w:bCs/>
          <w:color w:val="auto"/>
          <w:sz w:val="24"/>
          <w:szCs w:val="24"/>
          <w:highlight w:val="none"/>
          <w:lang w:val="en-US" w:eastAsia="zh-CN"/>
        </w:rPr>
        <w:t>每年用于设备维修的费用不少于10000元</w:t>
      </w:r>
      <w:r>
        <w:rPr>
          <w:rFonts w:hint="eastAsia" w:ascii="宋体" w:hAnsi="宋体" w:cs="宋体"/>
          <w:b w:val="0"/>
          <w:bCs/>
          <w:color w:val="auto"/>
          <w:sz w:val="24"/>
          <w:szCs w:val="24"/>
          <w:highlight w:val="none"/>
          <w:lang w:val="en-US" w:eastAsia="zh-CN"/>
        </w:rPr>
        <w:t>，每次维修产生费用不超过市场价10%，维修明细及时向甲方报备，若污水站内设备年度维修保养等费用未达到10000元，</w:t>
      </w:r>
      <w:r>
        <w:rPr>
          <w:rFonts w:hint="eastAsia" w:ascii="宋体" w:hAnsi="宋体" w:eastAsia="宋体" w:cs="宋体"/>
          <w:color w:val="auto"/>
          <w:sz w:val="24"/>
          <w:szCs w:val="24"/>
          <w:highlight w:val="none"/>
        </w:rPr>
        <w:t>甲方有权</w:t>
      </w:r>
      <w:r>
        <w:rPr>
          <w:rFonts w:hint="eastAsia" w:ascii="宋体" w:hAnsi="宋体" w:cs="宋体"/>
          <w:color w:val="auto"/>
          <w:sz w:val="24"/>
          <w:szCs w:val="24"/>
          <w:highlight w:val="none"/>
          <w:lang w:val="en-US" w:eastAsia="zh-CN"/>
        </w:rPr>
        <w:t>扣10000元减去实际维修总额的差额。</w:t>
      </w:r>
    </w:p>
    <w:p w14:paraId="12F276F6">
      <w:pPr>
        <w:pStyle w:val="5"/>
        <w:keepNext w:val="0"/>
        <w:keepLines w:val="0"/>
        <w:pageBreakBefore w:val="0"/>
        <w:widowControl w:val="0"/>
        <w:tabs>
          <w:tab w:val="left" w:pos="7290"/>
          <w:tab w:val="clear" w:pos="567"/>
        </w:tabs>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sz w:val="24"/>
          <w:szCs w:val="24"/>
          <w:highlight w:val="none"/>
          <w:u w:val="none"/>
        </w:rPr>
      </w:pPr>
      <w:r>
        <w:rPr>
          <w:rFonts w:hint="eastAsia" w:ascii="宋体" w:hAnsi="宋体" w:cs="宋体"/>
          <w:b w:val="0"/>
          <w:bCs/>
          <w:color w:val="auto"/>
          <w:sz w:val="24"/>
          <w:szCs w:val="24"/>
          <w:highlight w:val="none"/>
          <w:u w:val="none"/>
          <w:lang w:val="en-US" w:eastAsia="zh-CN"/>
        </w:rPr>
        <w:t>8</w:t>
      </w:r>
      <w:r>
        <w:rPr>
          <w:rFonts w:hint="eastAsia" w:ascii="宋体" w:hAnsi="宋体" w:eastAsia="宋体" w:cs="宋体"/>
          <w:b w:val="0"/>
          <w:bCs/>
          <w:color w:val="auto"/>
          <w:sz w:val="24"/>
          <w:szCs w:val="24"/>
          <w:highlight w:val="none"/>
          <w:u w:val="none"/>
        </w:rPr>
        <w:t>、如乙方的服务无法达到本合同中双方约定的事宜及标准，甲方有权要求乙方在甲方要求的期限内无条件进行整改，乙方拒绝整改或未在规定期限内进行整改或整改</w:t>
      </w:r>
      <w:r>
        <w:rPr>
          <w:rFonts w:hint="eastAsia" w:ascii="宋体" w:hAnsi="宋体" w:eastAsia="宋体" w:cs="宋体"/>
          <w:b w:val="0"/>
          <w:bCs/>
          <w:color w:val="auto"/>
          <w:sz w:val="24"/>
          <w:szCs w:val="24"/>
          <w:highlight w:val="none"/>
          <w:u w:val="none"/>
          <w:lang w:val="en-US" w:eastAsia="zh-CN"/>
        </w:rPr>
        <w:t>2</w:t>
      </w:r>
      <w:r>
        <w:rPr>
          <w:rFonts w:hint="eastAsia" w:ascii="宋体" w:hAnsi="宋体" w:eastAsia="宋体" w:cs="宋体"/>
          <w:b w:val="0"/>
          <w:bCs/>
          <w:color w:val="auto"/>
          <w:sz w:val="24"/>
          <w:szCs w:val="24"/>
          <w:highlight w:val="none"/>
          <w:u w:val="none"/>
        </w:rPr>
        <w:t>次后仍无法达到本合同中双方约定的事宜及标准的，甲方有权单方解除合同，</w:t>
      </w:r>
      <w:r>
        <w:rPr>
          <w:rFonts w:hint="eastAsia" w:ascii="宋体" w:hAnsi="宋体" w:cs="宋体"/>
          <w:b w:val="0"/>
          <w:bCs/>
          <w:color w:val="auto"/>
          <w:sz w:val="24"/>
          <w:szCs w:val="24"/>
          <w:highlight w:val="none"/>
          <w:u w:val="none"/>
          <w:lang w:val="en-US" w:eastAsia="zh-CN"/>
        </w:rPr>
        <w:t>并</w:t>
      </w:r>
      <w:r>
        <w:rPr>
          <w:rFonts w:hint="eastAsia" w:ascii="宋体" w:hAnsi="宋体" w:eastAsia="宋体" w:cs="宋体"/>
          <w:b w:val="0"/>
          <w:bCs/>
          <w:color w:val="auto"/>
          <w:sz w:val="24"/>
          <w:szCs w:val="24"/>
          <w:highlight w:val="none"/>
          <w:u w:val="none"/>
        </w:rPr>
        <w:t>扣除当年托管运营费用总额的10%作为违约金。</w:t>
      </w:r>
    </w:p>
    <w:p w14:paraId="418C5542">
      <w:pPr>
        <w:pStyle w:val="5"/>
        <w:keepNext w:val="0"/>
        <w:keepLines w:val="0"/>
        <w:pageBreakBefore w:val="0"/>
        <w:widowControl w:val="0"/>
        <w:tabs>
          <w:tab w:val="left" w:pos="7290"/>
          <w:tab w:val="clear" w:pos="567"/>
        </w:tabs>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sz w:val="24"/>
          <w:szCs w:val="24"/>
          <w:highlight w:val="none"/>
          <w:u w:val="none"/>
        </w:rPr>
      </w:pPr>
      <w:r>
        <w:rPr>
          <w:rFonts w:hint="eastAsia" w:ascii="宋体" w:hAnsi="宋体" w:cs="宋体"/>
          <w:b w:val="0"/>
          <w:bCs/>
          <w:color w:val="auto"/>
          <w:sz w:val="24"/>
          <w:szCs w:val="24"/>
          <w:highlight w:val="none"/>
          <w:u w:val="none"/>
          <w:lang w:val="en-US" w:eastAsia="zh-CN"/>
        </w:rPr>
        <w:t>9</w:t>
      </w:r>
      <w:r>
        <w:rPr>
          <w:rFonts w:hint="eastAsia" w:ascii="宋体" w:hAnsi="宋体" w:eastAsia="宋体" w:cs="宋体"/>
          <w:b w:val="0"/>
          <w:bCs/>
          <w:color w:val="auto"/>
          <w:sz w:val="24"/>
          <w:szCs w:val="24"/>
          <w:highlight w:val="none"/>
          <w:u w:val="none"/>
        </w:rPr>
        <w:t>、乙方保证对履行合同过程中从甲方处获取到的商业秘密（包括但不限于技术资料、经营信息以及其他商业秘密）予以保密，不得泄漏给第三人。否则甲方有权单方解除合同，</w:t>
      </w:r>
      <w:r>
        <w:rPr>
          <w:rFonts w:hint="eastAsia" w:ascii="宋体" w:hAnsi="宋体" w:cs="宋体"/>
          <w:b w:val="0"/>
          <w:bCs/>
          <w:color w:val="auto"/>
          <w:sz w:val="24"/>
          <w:szCs w:val="24"/>
          <w:highlight w:val="none"/>
          <w:u w:val="none"/>
          <w:lang w:val="en-US" w:eastAsia="zh-CN"/>
        </w:rPr>
        <w:t>并</w:t>
      </w:r>
      <w:r>
        <w:rPr>
          <w:rFonts w:hint="eastAsia" w:ascii="宋体" w:hAnsi="宋体" w:eastAsia="宋体" w:cs="宋体"/>
          <w:b w:val="0"/>
          <w:bCs/>
          <w:color w:val="auto"/>
          <w:sz w:val="24"/>
          <w:szCs w:val="24"/>
          <w:highlight w:val="none"/>
          <w:u w:val="none"/>
        </w:rPr>
        <w:t>扣除当年托管运营费用总额的10%作为违约金。</w:t>
      </w:r>
    </w:p>
    <w:p w14:paraId="04B60B4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十一、不可抗力</w:t>
      </w:r>
    </w:p>
    <w:p w14:paraId="7EA85EBC">
      <w:pPr>
        <w:keepNext w:val="0"/>
        <w:keepLines w:val="0"/>
        <w:pageBreakBefore w:val="0"/>
        <w:widowControl w:val="0"/>
        <w:kinsoku/>
        <w:wordWrap/>
        <w:overflowPunct/>
        <w:topLinePunct w:val="0"/>
        <w:autoSpaceDE/>
        <w:autoSpaceDN/>
        <w:bidi w:val="0"/>
        <w:snapToGrid/>
        <w:spacing w:line="360" w:lineRule="auto"/>
        <w:ind w:left="0" w:leftChars="0" w:firstLine="480" w:firstLineChars="200"/>
        <w:rPr>
          <w:rFonts w:hint="default"/>
          <w:lang w:val="en-US" w:eastAsia="zh-CN"/>
        </w:rPr>
      </w:pPr>
      <w:r>
        <w:rPr>
          <w:rFonts w:hint="eastAsia" w:ascii="宋体" w:hAnsi="宋体" w:eastAsia="宋体"/>
          <w:color w:val="000000"/>
          <w:sz w:val="24"/>
          <w:szCs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19C598E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t>十</w:t>
      </w: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、争议的解决</w:t>
      </w:r>
    </w:p>
    <w:p w14:paraId="0385D9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1、对本协议有关的任何争议，双方应友好协商解决。</w:t>
      </w:r>
    </w:p>
    <w:p w14:paraId="12F3A6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2、争议未能解决的，可以通过甲方所在地人民法院诉讼解决。</w:t>
      </w:r>
    </w:p>
    <w:p w14:paraId="7CE7632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十</w:t>
      </w: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、其他</w:t>
      </w:r>
    </w:p>
    <w:p w14:paraId="2ECE2ED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本合同未尽事宜，由甲、乙双方另行签订补充协议，补充协议作为合同附件与本合同具有同等法律效力。</w:t>
      </w:r>
    </w:p>
    <w:p w14:paraId="39598C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2、本合同经甲、乙双方签字盖章后立即生效，本合同一式肆份，甲、乙双方各执贰份，均具有同等法律效力。</w:t>
      </w:r>
    </w:p>
    <w:p w14:paraId="79E3B1EB">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（本页以下无正文）</w:t>
      </w:r>
    </w:p>
    <w:p w14:paraId="2A47AE70">
      <w:pPr>
        <w:pStyle w:val="3"/>
        <w:spacing w:line="360" w:lineRule="auto"/>
        <w:ind w:left="0" w:leftChars="0" w:firstLine="0" w:firstLineChars="0"/>
        <w:rPr>
          <w:rFonts w:hint="eastAsia" w:ascii="宋体" w:hAnsi="宋体" w:eastAsia="宋体" w:cs="宋体"/>
          <w:b/>
          <w:bCs/>
          <w:color w:val="auto"/>
          <w:sz w:val="24"/>
          <w:szCs w:val="24"/>
          <w:highlight w:val="none"/>
          <w:lang w:val="en-US" w:eastAsia="zh-CN"/>
        </w:rPr>
      </w:pPr>
    </w:p>
    <w:p w14:paraId="2EC25306">
      <w:pPr>
        <w:pStyle w:val="2"/>
        <w:rPr>
          <w:rFonts w:hint="eastAsia"/>
          <w:color w:val="auto"/>
          <w:highlight w:val="none"/>
          <w:lang w:val="en-US" w:eastAsia="zh-CN"/>
        </w:rPr>
        <w:sectPr>
          <w:footerReference r:id="rId5" w:type="default"/>
          <w:pgSz w:w="11906" w:h="16838"/>
          <w:pgMar w:top="1440" w:right="1800" w:bottom="1402" w:left="1620" w:header="851" w:footer="992" w:gutter="0"/>
          <w:pgNumType w:fmt="decimal" w:start="1"/>
          <w:cols w:space="720" w:num="1"/>
          <w:docGrid w:type="lines" w:linePitch="312" w:charSpace="0"/>
        </w:sectPr>
      </w:pPr>
    </w:p>
    <w:p w14:paraId="5C7828BD">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甲方（盖章）</w:t>
      </w:r>
      <w:r>
        <w:rPr>
          <w:rFonts w:hint="eastAsia" w:ascii="宋体" w:hAnsi="宋体" w:eastAsia="宋体" w:cs="宋体"/>
          <w:color w:val="auto"/>
          <w:sz w:val="24"/>
          <w:szCs w:val="24"/>
          <w:highlight w:val="none"/>
          <w:lang w:val="en-US" w:eastAsia="zh-CN"/>
        </w:rPr>
        <w:t>：陕西中医药大学第二附属医院</w:t>
      </w:r>
    </w:p>
    <w:p w14:paraId="44F58C16">
      <w:pPr>
        <w:pStyle w:val="3"/>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p>
    <w:p w14:paraId="1B619E00">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法定代表人（签章）：</w:t>
      </w:r>
    </w:p>
    <w:p w14:paraId="50C8C68C">
      <w:pPr>
        <w:pStyle w:val="3"/>
        <w:spacing w:line="360" w:lineRule="auto"/>
        <w:rPr>
          <w:rFonts w:hint="eastAsia" w:ascii="宋体" w:hAnsi="宋体" w:eastAsia="宋体" w:cs="宋体"/>
          <w:color w:val="auto"/>
          <w:sz w:val="24"/>
          <w:szCs w:val="24"/>
          <w:highlight w:val="none"/>
        </w:rPr>
      </w:pPr>
    </w:p>
    <w:p w14:paraId="39340569">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授权委托人：</w:t>
      </w:r>
    </w:p>
    <w:p w14:paraId="541D5205">
      <w:pPr>
        <w:pStyle w:val="3"/>
        <w:spacing w:line="360" w:lineRule="auto"/>
        <w:rPr>
          <w:rFonts w:hint="eastAsia" w:ascii="宋体" w:hAnsi="宋体" w:eastAsia="宋体" w:cs="宋体"/>
          <w:color w:val="auto"/>
          <w:sz w:val="24"/>
          <w:szCs w:val="24"/>
          <w:highlight w:val="none"/>
        </w:rPr>
      </w:pPr>
    </w:p>
    <w:p w14:paraId="33CCACC0">
      <w:pPr>
        <w:pStyle w:val="3"/>
        <w:tabs>
          <w:tab w:val="left" w:pos="5360"/>
        </w:tabs>
        <w:spacing w:line="360" w:lineRule="auto"/>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经办人：</w:t>
      </w:r>
    </w:p>
    <w:p w14:paraId="5979EADD">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p>
    <w:p w14:paraId="520FEC91">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p>
    <w:p w14:paraId="66A357E4">
      <w:pPr>
        <w:pStyle w:val="3"/>
        <w:spacing w:line="360" w:lineRule="auto"/>
        <w:ind w:left="0" w:leftChars="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33423459">
      <w:pPr>
        <w:pStyle w:val="3"/>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乙方（盖章）：  </w:t>
      </w:r>
    </w:p>
    <w:p w14:paraId="1CD01E11">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p>
    <w:p w14:paraId="05B92D93">
      <w:pPr>
        <w:pStyle w:val="3"/>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p>
    <w:p w14:paraId="37C4CF50">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法定代表人（签章）：</w:t>
      </w:r>
    </w:p>
    <w:p w14:paraId="41ACF747">
      <w:pPr>
        <w:pStyle w:val="3"/>
        <w:spacing w:line="360" w:lineRule="auto"/>
        <w:rPr>
          <w:rFonts w:hint="eastAsia" w:ascii="宋体" w:hAnsi="宋体" w:eastAsia="宋体" w:cs="宋体"/>
          <w:color w:val="auto"/>
          <w:sz w:val="24"/>
          <w:szCs w:val="24"/>
          <w:highlight w:val="none"/>
        </w:rPr>
      </w:pPr>
    </w:p>
    <w:p w14:paraId="728452BD">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授权委托人：</w:t>
      </w:r>
    </w:p>
    <w:p w14:paraId="2B92D8B8">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p>
    <w:p w14:paraId="24D7A094">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p>
    <w:p w14:paraId="0FB679B1">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p>
    <w:p w14:paraId="30683924">
      <w:pPr>
        <w:pStyle w:val="3"/>
        <w:spacing w:line="360" w:lineRule="auto"/>
        <w:ind w:left="0" w:leftChars="0" w:firstLine="0" w:firstLineChars="0"/>
        <w:rPr>
          <w:rFonts w:hint="eastAsia" w:ascii="宋体" w:hAnsi="宋体" w:eastAsia="宋体" w:cs="宋体"/>
          <w:color w:val="auto"/>
          <w:sz w:val="24"/>
          <w:szCs w:val="24"/>
          <w:highlight w:val="none"/>
          <w:lang w:val="en-US" w:eastAsia="zh-CN"/>
        </w:rPr>
      </w:pPr>
    </w:p>
    <w:p w14:paraId="1E7F1966">
      <w:pPr>
        <w:pStyle w:val="3"/>
        <w:spacing w:line="360" w:lineRule="auto"/>
        <w:ind w:left="0" w:leftChars="0" w:firstLine="720" w:firstLineChars="300"/>
        <w:rPr>
          <w:rFonts w:hint="eastAsia" w:ascii="宋体" w:hAnsi="宋体" w:eastAsia="宋体" w:cs="宋体"/>
          <w:b/>
          <w:bCs/>
          <w:color w:val="auto"/>
          <w:sz w:val="24"/>
          <w:szCs w:val="24"/>
          <w:highlight w:val="none"/>
        </w:rPr>
        <w:sectPr>
          <w:type w:val="continuous"/>
          <w:pgSz w:w="11906" w:h="16838"/>
          <w:pgMar w:top="1440" w:right="1800" w:bottom="1402" w:left="1620" w:header="851" w:footer="992" w:gutter="0"/>
          <w:pgNumType w:fmt="decimal"/>
          <w:cols w:equalWidth="0" w:num="2">
            <w:col w:w="4030" w:space="425"/>
            <w:col w:w="4030"/>
          </w:cols>
          <w:docGrid w:type="lines" w:linePitch="312" w:charSpace="0"/>
        </w:sectPr>
      </w:pPr>
      <w:r>
        <w:rPr>
          <w:rFonts w:hint="eastAsia" w:ascii="宋体" w:hAnsi="宋体" w:eastAsia="宋体" w:cs="宋体"/>
          <w:color w:val="auto"/>
          <w:sz w:val="24"/>
          <w:szCs w:val="24"/>
          <w:highlight w:val="none"/>
        </w:rPr>
        <w:t xml:space="preserve"> 年   月    日</w:t>
      </w:r>
    </w:p>
    <w:p w14:paraId="53354BD3">
      <w:pPr>
        <w:pStyle w:val="2"/>
        <w:ind w:left="0" w:leftChars="0" w:firstLine="0" w:firstLineChars="0"/>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附表：</w:t>
      </w:r>
    </w:p>
    <w:p w14:paraId="78B695A9">
      <w:pPr>
        <w:jc w:val="center"/>
        <w:rPr>
          <w:rFonts w:hint="eastAsia"/>
          <w:color w:val="auto"/>
          <w:highlight w:val="none"/>
          <w:lang w:val="en-US" w:eastAsia="zh-CN"/>
        </w:rPr>
      </w:pPr>
      <w:r>
        <w:rPr>
          <w:rFonts w:hint="eastAsia"/>
          <w:color w:val="auto"/>
          <w:sz w:val="28"/>
          <w:szCs w:val="32"/>
          <w:highlight w:val="none"/>
          <w:lang w:val="en-US" w:eastAsia="zh-CN"/>
        </w:rPr>
        <w:t>污水处理维保考核表</w:t>
      </w:r>
    </w:p>
    <w:p w14:paraId="742424E2">
      <w:pPr>
        <w:spacing w:line="360" w:lineRule="auto"/>
        <w:rPr>
          <w:rFonts w:hint="eastAsia"/>
          <w:color w:val="auto"/>
          <w:sz w:val="24"/>
          <w:szCs w:val="28"/>
          <w:highlight w:val="none"/>
          <w:lang w:val="en-US" w:eastAsia="zh-CN"/>
        </w:rPr>
      </w:pPr>
      <w:r>
        <w:rPr>
          <w:rFonts w:hint="eastAsia"/>
          <w:color w:val="auto"/>
          <w:sz w:val="24"/>
          <w:szCs w:val="28"/>
          <w:highlight w:val="none"/>
          <w:lang w:val="en-US" w:eastAsia="zh-CN"/>
        </w:rPr>
        <w:t>维保单位：                                                    得分：</w:t>
      </w:r>
    </w:p>
    <w:p w14:paraId="73BF1DE4">
      <w:pPr>
        <w:spacing w:line="360" w:lineRule="auto"/>
        <w:rPr>
          <w:rFonts w:hint="default"/>
          <w:color w:val="auto"/>
          <w:sz w:val="24"/>
          <w:szCs w:val="28"/>
          <w:highlight w:val="none"/>
          <w:vertAlign w:val="baseline"/>
          <w:lang w:val="en-US" w:eastAsia="zh-CN"/>
        </w:rPr>
      </w:pPr>
      <w:r>
        <w:rPr>
          <w:rFonts w:hint="eastAsia"/>
          <w:color w:val="auto"/>
          <w:sz w:val="24"/>
          <w:szCs w:val="28"/>
          <w:highlight w:val="none"/>
          <w:lang w:val="en-US" w:eastAsia="zh-CN"/>
        </w:rPr>
        <w:t>服务时间：      年      月    日至     年    月    日</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3045"/>
        <w:gridCol w:w="930"/>
        <w:gridCol w:w="1110"/>
        <w:gridCol w:w="1605"/>
        <w:gridCol w:w="991"/>
      </w:tblGrid>
      <w:tr w14:paraId="2D015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6" w:type="dxa"/>
            <w:gridSpan w:val="2"/>
            <w:noWrap w:val="0"/>
            <w:vAlign w:val="center"/>
          </w:tcPr>
          <w:p w14:paraId="15F5A18E">
            <w:pPr>
              <w:jc w:val="center"/>
              <w:rPr>
                <w:rFonts w:hint="default"/>
                <w:color w:val="auto"/>
                <w:highlight w:val="none"/>
                <w:vertAlign w:val="baseline"/>
                <w:lang w:val="en-US" w:eastAsia="zh-CN"/>
              </w:rPr>
            </w:pPr>
            <w:r>
              <w:rPr>
                <w:rFonts w:hint="eastAsia"/>
                <w:color w:val="auto"/>
                <w:highlight w:val="none"/>
                <w:vertAlign w:val="baseline"/>
                <w:lang w:val="en-US" w:eastAsia="zh-CN"/>
              </w:rPr>
              <w:t>检查考核内容</w:t>
            </w:r>
          </w:p>
        </w:tc>
        <w:tc>
          <w:tcPr>
            <w:tcW w:w="930" w:type="dxa"/>
            <w:noWrap w:val="0"/>
            <w:vAlign w:val="center"/>
          </w:tcPr>
          <w:p w14:paraId="1253CED7">
            <w:pPr>
              <w:jc w:val="center"/>
              <w:rPr>
                <w:rFonts w:hint="default"/>
                <w:color w:val="auto"/>
                <w:highlight w:val="none"/>
                <w:vertAlign w:val="baseline"/>
                <w:lang w:val="en-US" w:eastAsia="zh-CN"/>
              </w:rPr>
            </w:pPr>
            <w:r>
              <w:rPr>
                <w:rFonts w:hint="eastAsia"/>
                <w:color w:val="auto"/>
                <w:highlight w:val="none"/>
                <w:vertAlign w:val="baseline"/>
                <w:lang w:val="en-US" w:eastAsia="zh-CN"/>
              </w:rPr>
              <w:t>分值</w:t>
            </w:r>
          </w:p>
        </w:tc>
        <w:tc>
          <w:tcPr>
            <w:tcW w:w="1110" w:type="dxa"/>
            <w:noWrap w:val="0"/>
            <w:vAlign w:val="center"/>
          </w:tcPr>
          <w:p w14:paraId="5FD818A2">
            <w:pPr>
              <w:jc w:val="center"/>
              <w:rPr>
                <w:rFonts w:hint="default"/>
                <w:color w:val="auto"/>
                <w:highlight w:val="none"/>
                <w:vertAlign w:val="baseline"/>
                <w:lang w:val="en-US" w:eastAsia="zh-CN"/>
              </w:rPr>
            </w:pPr>
            <w:r>
              <w:rPr>
                <w:rFonts w:hint="eastAsia"/>
                <w:color w:val="auto"/>
                <w:highlight w:val="none"/>
                <w:vertAlign w:val="baseline"/>
                <w:lang w:val="en-US" w:eastAsia="zh-CN"/>
              </w:rPr>
              <w:t>问题数量</w:t>
            </w:r>
          </w:p>
        </w:tc>
        <w:tc>
          <w:tcPr>
            <w:tcW w:w="1605" w:type="dxa"/>
            <w:noWrap w:val="0"/>
            <w:vAlign w:val="center"/>
          </w:tcPr>
          <w:p w14:paraId="1F4A7BBE">
            <w:pPr>
              <w:jc w:val="center"/>
              <w:rPr>
                <w:rFonts w:hint="default"/>
                <w:color w:val="auto"/>
                <w:highlight w:val="none"/>
                <w:vertAlign w:val="baseline"/>
                <w:lang w:val="en-US" w:eastAsia="zh-CN"/>
              </w:rPr>
            </w:pPr>
            <w:r>
              <w:rPr>
                <w:rFonts w:hint="eastAsia"/>
                <w:color w:val="auto"/>
                <w:highlight w:val="none"/>
                <w:vertAlign w:val="baseline"/>
                <w:lang w:val="en-US" w:eastAsia="zh-CN"/>
              </w:rPr>
              <w:t>打分说明</w:t>
            </w:r>
          </w:p>
        </w:tc>
        <w:tc>
          <w:tcPr>
            <w:tcW w:w="991" w:type="dxa"/>
            <w:noWrap w:val="0"/>
            <w:vAlign w:val="center"/>
          </w:tcPr>
          <w:p w14:paraId="560B7509">
            <w:pPr>
              <w:jc w:val="center"/>
              <w:rPr>
                <w:rFonts w:hint="default"/>
                <w:color w:val="auto"/>
                <w:highlight w:val="none"/>
                <w:vertAlign w:val="baseline"/>
                <w:lang w:val="en-US" w:eastAsia="zh-CN"/>
              </w:rPr>
            </w:pPr>
            <w:r>
              <w:rPr>
                <w:rFonts w:hint="eastAsia"/>
                <w:color w:val="auto"/>
                <w:highlight w:val="none"/>
                <w:vertAlign w:val="baseline"/>
                <w:lang w:val="en-US" w:eastAsia="zh-CN"/>
              </w:rPr>
              <w:t>得分</w:t>
            </w:r>
          </w:p>
        </w:tc>
      </w:tr>
      <w:tr w14:paraId="65EA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restart"/>
            <w:noWrap w:val="0"/>
            <w:vAlign w:val="center"/>
          </w:tcPr>
          <w:p w14:paraId="6D1EFC9E">
            <w:pPr>
              <w:jc w:val="center"/>
              <w:rPr>
                <w:rFonts w:hint="eastAsia"/>
                <w:color w:val="auto"/>
                <w:highlight w:val="none"/>
                <w:vertAlign w:val="baseline"/>
                <w:lang w:val="en-US" w:eastAsia="zh-CN"/>
              </w:rPr>
            </w:pPr>
            <w:r>
              <w:rPr>
                <w:rFonts w:hint="eastAsia"/>
                <w:color w:val="auto"/>
                <w:highlight w:val="none"/>
                <w:vertAlign w:val="baseline"/>
                <w:lang w:val="en-US" w:eastAsia="zh-CN"/>
              </w:rPr>
              <w:t>设</w:t>
            </w:r>
          </w:p>
          <w:p w14:paraId="26167A48">
            <w:pPr>
              <w:jc w:val="center"/>
              <w:rPr>
                <w:rFonts w:hint="eastAsia"/>
                <w:color w:val="auto"/>
                <w:highlight w:val="none"/>
                <w:vertAlign w:val="baseline"/>
                <w:lang w:val="en-US" w:eastAsia="zh-CN"/>
              </w:rPr>
            </w:pPr>
            <w:r>
              <w:rPr>
                <w:rFonts w:hint="eastAsia"/>
                <w:color w:val="auto"/>
                <w:highlight w:val="none"/>
                <w:vertAlign w:val="baseline"/>
                <w:lang w:val="en-US" w:eastAsia="zh-CN"/>
              </w:rPr>
              <w:t>备</w:t>
            </w:r>
          </w:p>
          <w:p w14:paraId="43624369">
            <w:pPr>
              <w:jc w:val="center"/>
              <w:rPr>
                <w:rFonts w:hint="eastAsia"/>
                <w:color w:val="auto"/>
                <w:highlight w:val="none"/>
                <w:vertAlign w:val="baseline"/>
                <w:lang w:val="en-US" w:eastAsia="zh-CN"/>
              </w:rPr>
            </w:pPr>
            <w:r>
              <w:rPr>
                <w:rFonts w:hint="eastAsia"/>
                <w:color w:val="auto"/>
                <w:highlight w:val="none"/>
                <w:vertAlign w:val="baseline"/>
                <w:lang w:val="en-US" w:eastAsia="zh-CN"/>
              </w:rPr>
              <w:t>部</w:t>
            </w:r>
          </w:p>
          <w:p w14:paraId="1604B29B">
            <w:pPr>
              <w:jc w:val="center"/>
              <w:rPr>
                <w:rFonts w:hint="eastAsia"/>
                <w:color w:val="auto"/>
                <w:highlight w:val="none"/>
                <w:vertAlign w:val="baseline"/>
                <w:lang w:val="en-US" w:eastAsia="zh-CN"/>
              </w:rPr>
            </w:pPr>
            <w:r>
              <w:rPr>
                <w:rFonts w:hint="eastAsia"/>
                <w:color w:val="auto"/>
                <w:highlight w:val="none"/>
                <w:vertAlign w:val="baseline"/>
                <w:lang w:val="en-US" w:eastAsia="zh-CN"/>
              </w:rPr>
              <w:t>分</w:t>
            </w:r>
          </w:p>
          <w:p w14:paraId="62757F82">
            <w:pPr>
              <w:jc w:val="center"/>
              <w:rPr>
                <w:rFonts w:hint="eastAsia"/>
                <w:color w:val="auto"/>
                <w:highlight w:val="none"/>
                <w:vertAlign w:val="baseline"/>
                <w:lang w:val="en-US" w:eastAsia="zh-CN"/>
              </w:rPr>
            </w:pPr>
            <w:r>
              <w:rPr>
                <w:rFonts w:hint="eastAsia"/>
                <w:color w:val="auto"/>
                <w:highlight w:val="none"/>
                <w:vertAlign w:val="baseline"/>
                <w:lang w:val="en-US" w:eastAsia="zh-CN"/>
              </w:rPr>
              <w:t>31</w:t>
            </w:r>
          </w:p>
          <w:p w14:paraId="346929F1">
            <w:pPr>
              <w:jc w:val="center"/>
              <w:rPr>
                <w:rFonts w:hint="default"/>
                <w:color w:val="auto"/>
                <w:highlight w:val="none"/>
                <w:vertAlign w:val="baseline"/>
                <w:lang w:val="en-US" w:eastAsia="zh-CN"/>
              </w:rPr>
            </w:pPr>
            <w:r>
              <w:rPr>
                <w:rFonts w:hint="eastAsia"/>
                <w:color w:val="auto"/>
                <w:highlight w:val="none"/>
                <w:vertAlign w:val="baseline"/>
                <w:lang w:val="en-US" w:eastAsia="zh-CN"/>
              </w:rPr>
              <w:t>分</w:t>
            </w:r>
          </w:p>
        </w:tc>
        <w:tc>
          <w:tcPr>
            <w:tcW w:w="3045" w:type="dxa"/>
            <w:noWrap w:val="0"/>
            <w:vAlign w:val="center"/>
          </w:tcPr>
          <w:p w14:paraId="7E0C3350">
            <w:pPr>
              <w:jc w:val="left"/>
              <w:rPr>
                <w:rFonts w:hint="default"/>
                <w:color w:val="auto"/>
                <w:highlight w:val="none"/>
                <w:vertAlign w:val="baseline"/>
                <w:lang w:val="en-US" w:eastAsia="zh-CN"/>
              </w:rPr>
            </w:pPr>
            <w:r>
              <w:rPr>
                <w:rFonts w:hint="eastAsia"/>
                <w:color w:val="auto"/>
                <w:highlight w:val="none"/>
                <w:vertAlign w:val="baseline"/>
                <w:lang w:val="en-US" w:eastAsia="zh-CN"/>
              </w:rPr>
              <w:t>设备表面清洁、无污物</w:t>
            </w:r>
          </w:p>
        </w:tc>
        <w:tc>
          <w:tcPr>
            <w:tcW w:w="930" w:type="dxa"/>
            <w:noWrap w:val="0"/>
            <w:vAlign w:val="center"/>
          </w:tcPr>
          <w:p w14:paraId="6BCE873F">
            <w:pPr>
              <w:jc w:val="center"/>
              <w:rPr>
                <w:rFonts w:hint="default"/>
                <w:color w:val="auto"/>
                <w:highlight w:val="none"/>
                <w:vertAlign w:val="baseline"/>
                <w:lang w:val="en-US" w:eastAsia="zh-CN"/>
              </w:rPr>
            </w:pPr>
            <w:r>
              <w:rPr>
                <w:rFonts w:hint="eastAsia"/>
                <w:color w:val="auto"/>
                <w:highlight w:val="none"/>
                <w:vertAlign w:val="baseline"/>
                <w:lang w:val="en-US" w:eastAsia="zh-CN"/>
              </w:rPr>
              <w:t>6</w:t>
            </w:r>
          </w:p>
        </w:tc>
        <w:tc>
          <w:tcPr>
            <w:tcW w:w="1110" w:type="dxa"/>
            <w:noWrap w:val="0"/>
            <w:vAlign w:val="center"/>
          </w:tcPr>
          <w:p w14:paraId="63FB44A1">
            <w:pPr>
              <w:jc w:val="center"/>
              <w:rPr>
                <w:rFonts w:hint="default"/>
                <w:color w:val="auto"/>
                <w:highlight w:val="none"/>
                <w:vertAlign w:val="baseline"/>
                <w:lang w:val="en-US" w:eastAsia="zh-CN"/>
              </w:rPr>
            </w:pPr>
          </w:p>
        </w:tc>
        <w:tc>
          <w:tcPr>
            <w:tcW w:w="1605" w:type="dxa"/>
            <w:noWrap w:val="0"/>
            <w:vAlign w:val="center"/>
          </w:tcPr>
          <w:p w14:paraId="01920B8D">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25CC63B0">
            <w:pPr>
              <w:jc w:val="center"/>
              <w:rPr>
                <w:rFonts w:hint="default"/>
                <w:color w:val="auto"/>
                <w:highlight w:val="none"/>
                <w:vertAlign w:val="baseline"/>
                <w:lang w:val="en-US" w:eastAsia="zh-CN"/>
              </w:rPr>
            </w:pPr>
          </w:p>
        </w:tc>
      </w:tr>
      <w:tr w14:paraId="18FD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08821383">
            <w:pPr>
              <w:jc w:val="center"/>
              <w:rPr>
                <w:rFonts w:hint="default"/>
                <w:color w:val="auto"/>
                <w:highlight w:val="none"/>
                <w:vertAlign w:val="baseline"/>
                <w:lang w:val="en-US" w:eastAsia="zh-CN"/>
              </w:rPr>
            </w:pPr>
          </w:p>
        </w:tc>
        <w:tc>
          <w:tcPr>
            <w:tcW w:w="3045" w:type="dxa"/>
            <w:noWrap w:val="0"/>
            <w:vAlign w:val="center"/>
          </w:tcPr>
          <w:p w14:paraId="766A2B11">
            <w:pPr>
              <w:jc w:val="left"/>
              <w:rPr>
                <w:rFonts w:hint="default"/>
                <w:color w:val="auto"/>
                <w:highlight w:val="none"/>
                <w:vertAlign w:val="baseline"/>
                <w:lang w:val="en-US" w:eastAsia="zh-CN"/>
              </w:rPr>
            </w:pPr>
            <w:r>
              <w:rPr>
                <w:rFonts w:hint="eastAsia"/>
                <w:color w:val="auto"/>
                <w:highlight w:val="none"/>
                <w:vertAlign w:val="baseline"/>
                <w:lang w:val="en-US" w:eastAsia="zh-CN"/>
              </w:rPr>
              <w:t>设备运行平稳、无异响</w:t>
            </w:r>
          </w:p>
        </w:tc>
        <w:tc>
          <w:tcPr>
            <w:tcW w:w="930" w:type="dxa"/>
            <w:noWrap w:val="0"/>
            <w:vAlign w:val="center"/>
          </w:tcPr>
          <w:p w14:paraId="08C56A20">
            <w:pPr>
              <w:jc w:val="center"/>
              <w:rPr>
                <w:rFonts w:hint="default"/>
                <w:color w:val="auto"/>
                <w:highlight w:val="none"/>
                <w:vertAlign w:val="baseline"/>
                <w:lang w:val="en-US" w:eastAsia="zh-CN"/>
              </w:rPr>
            </w:pPr>
            <w:r>
              <w:rPr>
                <w:rFonts w:hint="eastAsia"/>
                <w:color w:val="auto"/>
                <w:highlight w:val="none"/>
                <w:vertAlign w:val="baseline"/>
                <w:lang w:val="en-US" w:eastAsia="zh-CN"/>
              </w:rPr>
              <w:t>6</w:t>
            </w:r>
          </w:p>
        </w:tc>
        <w:tc>
          <w:tcPr>
            <w:tcW w:w="1110" w:type="dxa"/>
            <w:noWrap w:val="0"/>
            <w:vAlign w:val="center"/>
          </w:tcPr>
          <w:p w14:paraId="353EC01E">
            <w:pPr>
              <w:jc w:val="center"/>
              <w:rPr>
                <w:rFonts w:hint="default"/>
                <w:color w:val="auto"/>
                <w:highlight w:val="none"/>
                <w:vertAlign w:val="baseline"/>
                <w:lang w:val="en-US" w:eastAsia="zh-CN"/>
              </w:rPr>
            </w:pPr>
          </w:p>
        </w:tc>
        <w:tc>
          <w:tcPr>
            <w:tcW w:w="1605" w:type="dxa"/>
            <w:noWrap w:val="0"/>
            <w:vAlign w:val="center"/>
          </w:tcPr>
          <w:p w14:paraId="245C119A">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28F52F0A">
            <w:pPr>
              <w:jc w:val="center"/>
              <w:rPr>
                <w:rFonts w:hint="default"/>
                <w:color w:val="auto"/>
                <w:highlight w:val="none"/>
                <w:vertAlign w:val="baseline"/>
                <w:lang w:val="en-US" w:eastAsia="zh-CN"/>
              </w:rPr>
            </w:pPr>
          </w:p>
        </w:tc>
      </w:tr>
      <w:tr w14:paraId="5FFE2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5BFB45AD">
            <w:pPr>
              <w:jc w:val="center"/>
              <w:rPr>
                <w:rFonts w:hint="default"/>
                <w:color w:val="auto"/>
                <w:highlight w:val="none"/>
                <w:vertAlign w:val="baseline"/>
                <w:lang w:val="en-US" w:eastAsia="zh-CN"/>
              </w:rPr>
            </w:pPr>
          </w:p>
        </w:tc>
        <w:tc>
          <w:tcPr>
            <w:tcW w:w="3045" w:type="dxa"/>
            <w:noWrap w:val="0"/>
            <w:vAlign w:val="center"/>
          </w:tcPr>
          <w:p w14:paraId="05BB83A7">
            <w:pPr>
              <w:jc w:val="left"/>
              <w:rPr>
                <w:rFonts w:hint="default"/>
                <w:color w:val="auto"/>
                <w:highlight w:val="none"/>
                <w:vertAlign w:val="baseline"/>
                <w:lang w:val="en-US" w:eastAsia="zh-CN"/>
              </w:rPr>
            </w:pPr>
            <w:r>
              <w:rPr>
                <w:rFonts w:hint="eastAsia"/>
                <w:color w:val="auto"/>
                <w:highlight w:val="none"/>
                <w:vertAlign w:val="baseline"/>
                <w:lang w:val="en-US" w:eastAsia="zh-CN"/>
              </w:rPr>
              <w:t>整体无“跑、冒、滴、漏”现象</w:t>
            </w:r>
          </w:p>
        </w:tc>
        <w:tc>
          <w:tcPr>
            <w:tcW w:w="930" w:type="dxa"/>
            <w:noWrap w:val="0"/>
            <w:vAlign w:val="center"/>
          </w:tcPr>
          <w:p w14:paraId="16D99352">
            <w:pPr>
              <w:jc w:val="center"/>
              <w:rPr>
                <w:rFonts w:hint="default"/>
                <w:color w:val="auto"/>
                <w:highlight w:val="none"/>
                <w:vertAlign w:val="baseline"/>
                <w:lang w:val="en-US" w:eastAsia="zh-CN"/>
              </w:rPr>
            </w:pPr>
            <w:r>
              <w:rPr>
                <w:rFonts w:hint="eastAsia"/>
                <w:color w:val="auto"/>
                <w:highlight w:val="none"/>
                <w:vertAlign w:val="baseline"/>
                <w:lang w:val="en-US" w:eastAsia="zh-CN"/>
              </w:rPr>
              <w:t>6</w:t>
            </w:r>
          </w:p>
        </w:tc>
        <w:tc>
          <w:tcPr>
            <w:tcW w:w="1110" w:type="dxa"/>
            <w:noWrap w:val="0"/>
            <w:vAlign w:val="center"/>
          </w:tcPr>
          <w:p w14:paraId="37E390FF">
            <w:pPr>
              <w:jc w:val="center"/>
              <w:rPr>
                <w:rFonts w:hint="default"/>
                <w:color w:val="auto"/>
                <w:highlight w:val="none"/>
                <w:vertAlign w:val="baseline"/>
                <w:lang w:val="en-US" w:eastAsia="zh-CN"/>
              </w:rPr>
            </w:pPr>
          </w:p>
        </w:tc>
        <w:tc>
          <w:tcPr>
            <w:tcW w:w="1605" w:type="dxa"/>
            <w:noWrap w:val="0"/>
            <w:vAlign w:val="center"/>
          </w:tcPr>
          <w:p w14:paraId="00E69F39">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2682A96E">
            <w:pPr>
              <w:jc w:val="center"/>
              <w:rPr>
                <w:rFonts w:hint="default"/>
                <w:color w:val="auto"/>
                <w:highlight w:val="none"/>
                <w:vertAlign w:val="baseline"/>
                <w:lang w:val="en-US" w:eastAsia="zh-CN"/>
              </w:rPr>
            </w:pPr>
          </w:p>
        </w:tc>
      </w:tr>
      <w:tr w14:paraId="4A85F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1553032F">
            <w:pPr>
              <w:jc w:val="center"/>
              <w:rPr>
                <w:rFonts w:hint="default"/>
                <w:color w:val="auto"/>
                <w:highlight w:val="none"/>
                <w:vertAlign w:val="baseline"/>
                <w:lang w:val="en-US" w:eastAsia="zh-CN"/>
              </w:rPr>
            </w:pPr>
          </w:p>
        </w:tc>
        <w:tc>
          <w:tcPr>
            <w:tcW w:w="3045" w:type="dxa"/>
            <w:noWrap w:val="0"/>
            <w:vAlign w:val="center"/>
          </w:tcPr>
          <w:p w14:paraId="1E333A0F">
            <w:pPr>
              <w:jc w:val="left"/>
              <w:rPr>
                <w:rFonts w:hint="default"/>
                <w:color w:val="auto"/>
                <w:highlight w:val="none"/>
                <w:vertAlign w:val="baseline"/>
                <w:lang w:val="en-US" w:eastAsia="zh-CN"/>
              </w:rPr>
            </w:pPr>
            <w:r>
              <w:rPr>
                <w:rFonts w:hint="eastAsia"/>
                <w:color w:val="auto"/>
                <w:highlight w:val="none"/>
                <w:vertAlign w:val="baseline"/>
                <w:lang w:val="en-US" w:eastAsia="zh-CN"/>
              </w:rPr>
              <w:t>各种仪表显示清晰、无破损</w:t>
            </w:r>
          </w:p>
        </w:tc>
        <w:tc>
          <w:tcPr>
            <w:tcW w:w="930" w:type="dxa"/>
            <w:noWrap w:val="0"/>
            <w:vAlign w:val="center"/>
          </w:tcPr>
          <w:p w14:paraId="7A41DC5F">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32DF4CDA">
            <w:pPr>
              <w:jc w:val="center"/>
              <w:rPr>
                <w:rFonts w:hint="default"/>
                <w:color w:val="auto"/>
                <w:highlight w:val="none"/>
                <w:vertAlign w:val="baseline"/>
                <w:lang w:val="en-US" w:eastAsia="zh-CN"/>
              </w:rPr>
            </w:pPr>
          </w:p>
        </w:tc>
        <w:tc>
          <w:tcPr>
            <w:tcW w:w="1605" w:type="dxa"/>
            <w:noWrap w:val="0"/>
            <w:vAlign w:val="center"/>
          </w:tcPr>
          <w:p w14:paraId="32C96248">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1E2553F4">
            <w:pPr>
              <w:jc w:val="center"/>
              <w:rPr>
                <w:rFonts w:hint="default"/>
                <w:color w:val="auto"/>
                <w:highlight w:val="none"/>
                <w:vertAlign w:val="baseline"/>
                <w:lang w:val="en-US" w:eastAsia="zh-CN"/>
              </w:rPr>
            </w:pPr>
          </w:p>
        </w:tc>
      </w:tr>
      <w:tr w14:paraId="16C4B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28B78676">
            <w:pPr>
              <w:jc w:val="center"/>
              <w:rPr>
                <w:rFonts w:hint="default"/>
                <w:color w:val="auto"/>
                <w:highlight w:val="none"/>
                <w:vertAlign w:val="baseline"/>
                <w:lang w:val="en-US" w:eastAsia="zh-CN"/>
              </w:rPr>
            </w:pPr>
          </w:p>
        </w:tc>
        <w:tc>
          <w:tcPr>
            <w:tcW w:w="3045" w:type="dxa"/>
            <w:noWrap w:val="0"/>
            <w:vAlign w:val="center"/>
          </w:tcPr>
          <w:p w14:paraId="37A1D372">
            <w:pPr>
              <w:jc w:val="left"/>
              <w:rPr>
                <w:rFonts w:hint="default"/>
                <w:color w:val="auto"/>
                <w:highlight w:val="none"/>
                <w:vertAlign w:val="baseline"/>
                <w:lang w:val="en-US" w:eastAsia="zh-CN"/>
              </w:rPr>
            </w:pPr>
            <w:r>
              <w:rPr>
                <w:rFonts w:hint="eastAsia"/>
                <w:color w:val="auto"/>
                <w:highlight w:val="none"/>
                <w:vertAlign w:val="baseline"/>
                <w:lang w:val="en-US" w:eastAsia="zh-CN"/>
              </w:rPr>
              <w:t>各机组有开、停机标识牌，并正确显示该机组目前工作状态</w:t>
            </w:r>
          </w:p>
        </w:tc>
        <w:tc>
          <w:tcPr>
            <w:tcW w:w="930" w:type="dxa"/>
            <w:noWrap w:val="0"/>
            <w:vAlign w:val="center"/>
          </w:tcPr>
          <w:p w14:paraId="1DCA3855">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4C0FA52B">
            <w:pPr>
              <w:jc w:val="center"/>
              <w:rPr>
                <w:rFonts w:hint="default"/>
                <w:color w:val="auto"/>
                <w:highlight w:val="none"/>
                <w:vertAlign w:val="baseline"/>
                <w:lang w:val="en-US" w:eastAsia="zh-CN"/>
              </w:rPr>
            </w:pPr>
          </w:p>
        </w:tc>
        <w:tc>
          <w:tcPr>
            <w:tcW w:w="1605" w:type="dxa"/>
            <w:noWrap w:val="0"/>
            <w:vAlign w:val="center"/>
          </w:tcPr>
          <w:p w14:paraId="519EB439">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6BC1B535">
            <w:pPr>
              <w:jc w:val="center"/>
              <w:rPr>
                <w:rFonts w:hint="default"/>
                <w:color w:val="auto"/>
                <w:highlight w:val="none"/>
                <w:vertAlign w:val="baseline"/>
                <w:lang w:val="en-US" w:eastAsia="zh-CN"/>
              </w:rPr>
            </w:pPr>
          </w:p>
        </w:tc>
      </w:tr>
      <w:tr w14:paraId="4492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1FFD261C">
            <w:pPr>
              <w:jc w:val="center"/>
              <w:rPr>
                <w:rFonts w:hint="default"/>
                <w:color w:val="auto"/>
                <w:highlight w:val="none"/>
                <w:vertAlign w:val="baseline"/>
                <w:lang w:val="en-US" w:eastAsia="zh-CN"/>
              </w:rPr>
            </w:pPr>
          </w:p>
        </w:tc>
        <w:tc>
          <w:tcPr>
            <w:tcW w:w="3045" w:type="dxa"/>
            <w:noWrap w:val="0"/>
            <w:vAlign w:val="center"/>
          </w:tcPr>
          <w:p w14:paraId="4EDA9D91">
            <w:pPr>
              <w:jc w:val="left"/>
              <w:rPr>
                <w:rFonts w:hint="default"/>
                <w:color w:val="auto"/>
                <w:highlight w:val="none"/>
                <w:vertAlign w:val="baseline"/>
                <w:lang w:val="en-US" w:eastAsia="zh-CN"/>
              </w:rPr>
            </w:pPr>
            <w:r>
              <w:rPr>
                <w:rFonts w:hint="eastAsia"/>
                <w:color w:val="auto"/>
                <w:highlight w:val="none"/>
                <w:vertAlign w:val="baseline"/>
                <w:lang w:val="en-US" w:eastAsia="zh-CN"/>
              </w:rPr>
              <w:t>控制柜干净无灰尘</w:t>
            </w:r>
          </w:p>
        </w:tc>
        <w:tc>
          <w:tcPr>
            <w:tcW w:w="930" w:type="dxa"/>
            <w:noWrap w:val="0"/>
            <w:vAlign w:val="center"/>
          </w:tcPr>
          <w:p w14:paraId="66ECBBDB">
            <w:pPr>
              <w:jc w:val="center"/>
              <w:rPr>
                <w:rFonts w:hint="default"/>
                <w:color w:val="auto"/>
                <w:highlight w:val="none"/>
                <w:vertAlign w:val="baseline"/>
                <w:lang w:val="en-US" w:eastAsia="zh-CN"/>
              </w:rPr>
            </w:pPr>
            <w:r>
              <w:rPr>
                <w:rFonts w:hint="eastAsia"/>
                <w:color w:val="auto"/>
                <w:highlight w:val="none"/>
                <w:vertAlign w:val="baseline"/>
                <w:lang w:val="en-US" w:eastAsia="zh-CN"/>
              </w:rPr>
              <w:t>3</w:t>
            </w:r>
          </w:p>
        </w:tc>
        <w:tc>
          <w:tcPr>
            <w:tcW w:w="1110" w:type="dxa"/>
            <w:noWrap w:val="0"/>
            <w:vAlign w:val="center"/>
          </w:tcPr>
          <w:p w14:paraId="24287149">
            <w:pPr>
              <w:jc w:val="center"/>
              <w:rPr>
                <w:rFonts w:hint="default"/>
                <w:color w:val="auto"/>
                <w:highlight w:val="none"/>
                <w:vertAlign w:val="baseline"/>
                <w:lang w:val="en-US" w:eastAsia="zh-CN"/>
              </w:rPr>
            </w:pPr>
          </w:p>
        </w:tc>
        <w:tc>
          <w:tcPr>
            <w:tcW w:w="1605" w:type="dxa"/>
            <w:noWrap w:val="0"/>
            <w:vAlign w:val="center"/>
          </w:tcPr>
          <w:p w14:paraId="48F24A77">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6B25776E">
            <w:pPr>
              <w:jc w:val="center"/>
              <w:rPr>
                <w:rFonts w:hint="default"/>
                <w:color w:val="auto"/>
                <w:highlight w:val="none"/>
                <w:vertAlign w:val="baseline"/>
                <w:lang w:val="en-US" w:eastAsia="zh-CN"/>
              </w:rPr>
            </w:pPr>
          </w:p>
        </w:tc>
      </w:tr>
      <w:tr w14:paraId="73284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restart"/>
            <w:noWrap w:val="0"/>
            <w:vAlign w:val="center"/>
          </w:tcPr>
          <w:p w14:paraId="28CB01DB">
            <w:pPr>
              <w:jc w:val="center"/>
              <w:rPr>
                <w:rFonts w:hint="eastAsia"/>
                <w:color w:val="auto"/>
                <w:highlight w:val="none"/>
                <w:vertAlign w:val="baseline"/>
                <w:lang w:val="en-US" w:eastAsia="zh-CN"/>
              </w:rPr>
            </w:pPr>
            <w:r>
              <w:rPr>
                <w:rFonts w:hint="eastAsia"/>
                <w:color w:val="auto"/>
                <w:highlight w:val="none"/>
                <w:vertAlign w:val="baseline"/>
                <w:lang w:val="en-US" w:eastAsia="zh-CN"/>
              </w:rPr>
              <w:t>值</w:t>
            </w:r>
          </w:p>
          <w:p w14:paraId="1B59894F">
            <w:pPr>
              <w:jc w:val="center"/>
              <w:rPr>
                <w:rFonts w:hint="eastAsia"/>
                <w:color w:val="auto"/>
                <w:highlight w:val="none"/>
                <w:vertAlign w:val="baseline"/>
                <w:lang w:val="en-US" w:eastAsia="zh-CN"/>
              </w:rPr>
            </w:pPr>
            <w:r>
              <w:rPr>
                <w:rFonts w:hint="eastAsia"/>
                <w:color w:val="auto"/>
                <w:highlight w:val="none"/>
                <w:vertAlign w:val="baseline"/>
                <w:lang w:val="en-US" w:eastAsia="zh-CN"/>
              </w:rPr>
              <w:t>班</w:t>
            </w:r>
          </w:p>
          <w:p w14:paraId="6F1C7809">
            <w:pPr>
              <w:jc w:val="center"/>
              <w:rPr>
                <w:rFonts w:hint="eastAsia"/>
                <w:color w:val="auto"/>
                <w:highlight w:val="none"/>
                <w:vertAlign w:val="baseline"/>
                <w:lang w:val="en-US" w:eastAsia="zh-CN"/>
              </w:rPr>
            </w:pPr>
            <w:r>
              <w:rPr>
                <w:rFonts w:hint="eastAsia"/>
                <w:color w:val="auto"/>
                <w:highlight w:val="none"/>
                <w:vertAlign w:val="baseline"/>
                <w:lang w:val="en-US" w:eastAsia="zh-CN"/>
              </w:rPr>
              <w:t>室</w:t>
            </w:r>
          </w:p>
          <w:p w14:paraId="12D1F19D">
            <w:pPr>
              <w:jc w:val="center"/>
              <w:rPr>
                <w:rFonts w:hint="eastAsia"/>
                <w:color w:val="auto"/>
                <w:highlight w:val="none"/>
                <w:vertAlign w:val="baseline"/>
                <w:lang w:val="en-US" w:eastAsia="zh-CN"/>
              </w:rPr>
            </w:pPr>
            <w:r>
              <w:rPr>
                <w:rFonts w:hint="eastAsia"/>
                <w:color w:val="auto"/>
                <w:highlight w:val="none"/>
                <w:vertAlign w:val="baseline"/>
                <w:lang w:val="en-US" w:eastAsia="zh-CN"/>
              </w:rPr>
              <w:t>和</w:t>
            </w:r>
          </w:p>
          <w:p w14:paraId="57F84F9E">
            <w:pPr>
              <w:jc w:val="center"/>
              <w:rPr>
                <w:rFonts w:hint="eastAsia"/>
                <w:color w:val="auto"/>
                <w:highlight w:val="none"/>
                <w:vertAlign w:val="baseline"/>
                <w:lang w:val="en-US" w:eastAsia="zh-CN"/>
              </w:rPr>
            </w:pPr>
            <w:r>
              <w:rPr>
                <w:rFonts w:hint="eastAsia"/>
                <w:color w:val="auto"/>
                <w:highlight w:val="none"/>
                <w:vertAlign w:val="baseline"/>
                <w:lang w:val="en-US" w:eastAsia="zh-CN"/>
              </w:rPr>
              <w:t>设</w:t>
            </w:r>
          </w:p>
          <w:p w14:paraId="6A8F1266">
            <w:pPr>
              <w:jc w:val="center"/>
              <w:rPr>
                <w:rFonts w:hint="eastAsia"/>
                <w:color w:val="auto"/>
                <w:highlight w:val="none"/>
                <w:vertAlign w:val="baseline"/>
                <w:lang w:val="en-US" w:eastAsia="zh-CN"/>
              </w:rPr>
            </w:pPr>
            <w:r>
              <w:rPr>
                <w:rFonts w:hint="eastAsia"/>
                <w:color w:val="auto"/>
                <w:highlight w:val="none"/>
                <w:vertAlign w:val="baseline"/>
                <w:lang w:val="en-US" w:eastAsia="zh-CN"/>
              </w:rPr>
              <w:t>备</w:t>
            </w:r>
          </w:p>
          <w:p w14:paraId="2F7585EF">
            <w:pPr>
              <w:jc w:val="center"/>
              <w:rPr>
                <w:rFonts w:hint="eastAsia"/>
                <w:color w:val="auto"/>
                <w:highlight w:val="none"/>
                <w:vertAlign w:val="baseline"/>
                <w:lang w:val="en-US" w:eastAsia="zh-CN"/>
              </w:rPr>
            </w:pPr>
            <w:r>
              <w:rPr>
                <w:rFonts w:hint="eastAsia"/>
                <w:color w:val="auto"/>
                <w:highlight w:val="none"/>
                <w:vertAlign w:val="baseline"/>
                <w:lang w:val="en-US" w:eastAsia="zh-CN"/>
              </w:rPr>
              <w:t>间</w:t>
            </w:r>
          </w:p>
          <w:p w14:paraId="3AB2E389">
            <w:pPr>
              <w:jc w:val="center"/>
              <w:rPr>
                <w:rFonts w:hint="eastAsia"/>
                <w:color w:val="auto"/>
                <w:highlight w:val="none"/>
                <w:vertAlign w:val="baseline"/>
                <w:lang w:val="en-US" w:eastAsia="zh-CN"/>
              </w:rPr>
            </w:pPr>
            <w:r>
              <w:rPr>
                <w:rFonts w:hint="eastAsia"/>
                <w:color w:val="auto"/>
                <w:highlight w:val="none"/>
                <w:vertAlign w:val="baseline"/>
                <w:lang w:val="en-US" w:eastAsia="zh-CN"/>
              </w:rPr>
              <w:t>28</w:t>
            </w:r>
          </w:p>
          <w:p w14:paraId="2C754A0C">
            <w:pPr>
              <w:jc w:val="center"/>
              <w:rPr>
                <w:rFonts w:hint="default"/>
                <w:color w:val="auto"/>
                <w:highlight w:val="none"/>
                <w:vertAlign w:val="baseline"/>
                <w:lang w:val="en-US" w:eastAsia="zh-CN"/>
              </w:rPr>
            </w:pPr>
            <w:r>
              <w:rPr>
                <w:rFonts w:hint="eastAsia"/>
                <w:color w:val="auto"/>
                <w:highlight w:val="none"/>
                <w:vertAlign w:val="baseline"/>
                <w:lang w:val="en-US" w:eastAsia="zh-CN"/>
              </w:rPr>
              <w:t>分</w:t>
            </w:r>
          </w:p>
        </w:tc>
        <w:tc>
          <w:tcPr>
            <w:tcW w:w="3045" w:type="dxa"/>
            <w:noWrap w:val="0"/>
            <w:vAlign w:val="center"/>
          </w:tcPr>
          <w:p w14:paraId="329F15AA">
            <w:pPr>
              <w:jc w:val="left"/>
              <w:rPr>
                <w:rFonts w:hint="default"/>
                <w:color w:val="auto"/>
                <w:highlight w:val="none"/>
                <w:vertAlign w:val="baseline"/>
                <w:lang w:val="en-US" w:eastAsia="zh-CN"/>
              </w:rPr>
            </w:pPr>
            <w:r>
              <w:rPr>
                <w:rFonts w:hint="eastAsia"/>
                <w:color w:val="auto"/>
                <w:highlight w:val="none"/>
                <w:vertAlign w:val="baseline"/>
                <w:lang w:val="en-US" w:eastAsia="zh-CN"/>
              </w:rPr>
              <w:t>室内外卫生整洁，无卫生死角</w:t>
            </w:r>
          </w:p>
        </w:tc>
        <w:tc>
          <w:tcPr>
            <w:tcW w:w="930" w:type="dxa"/>
            <w:noWrap w:val="0"/>
            <w:vAlign w:val="center"/>
          </w:tcPr>
          <w:p w14:paraId="04D1E6EC">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4A64F6AF">
            <w:pPr>
              <w:jc w:val="center"/>
              <w:rPr>
                <w:rFonts w:hint="default"/>
                <w:color w:val="auto"/>
                <w:highlight w:val="none"/>
                <w:vertAlign w:val="baseline"/>
                <w:lang w:val="en-US" w:eastAsia="zh-CN"/>
              </w:rPr>
            </w:pPr>
          </w:p>
        </w:tc>
        <w:tc>
          <w:tcPr>
            <w:tcW w:w="1605" w:type="dxa"/>
            <w:noWrap w:val="0"/>
            <w:vAlign w:val="center"/>
          </w:tcPr>
          <w:p w14:paraId="6765320D">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23EB8FCA">
            <w:pPr>
              <w:jc w:val="center"/>
              <w:rPr>
                <w:rFonts w:hint="default"/>
                <w:color w:val="auto"/>
                <w:highlight w:val="none"/>
                <w:vertAlign w:val="baseline"/>
                <w:lang w:val="en-US" w:eastAsia="zh-CN"/>
              </w:rPr>
            </w:pPr>
          </w:p>
        </w:tc>
      </w:tr>
      <w:tr w14:paraId="513D1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2A0A403A">
            <w:pPr>
              <w:jc w:val="center"/>
              <w:rPr>
                <w:rFonts w:hint="default"/>
                <w:color w:val="auto"/>
                <w:highlight w:val="none"/>
                <w:vertAlign w:val="baseline"/>
                <w:lang w:val="en-US" w:eastAsia="zh-CN"/>
              </w:rPr>
            </w:pPr>
          </w:p>
        </w:tc>
        <w:tc>
          <w:tcPr>
            <w:tcW w:w="3045" w:type="dxa"/>
            <w:noWrap w:val="0"/>
            <w:vAlign w:val="center"/>
          </w:tcPr>
          <w:p w14:paraId="408C0F7A">
            <w:pPr>
              <w:jc w:val="left"/>
              <w:rPr>
                <w:rFonts w:hint="default"/>
                <w:color w:val="auto"/>
                <w:highlight w:val="none"/>
                <w:vertAlign w:val="baseline"/>
                <w:lang w:val="en-US" w:eastAsia="zh-CN"/>
              </w:rPr>
            </w:pPr>
            <w:r>
              <w:rPr>
                <w:rFonts w:hint="eastAsia"/>
                <w:color w:val="auto"/>
                <w:highlight w:val="none"/>
                <w:vertAlign w:val="baseline"/>
                <w:lang w:val="en-US" w:eastAsia="zh-CN"/>
              </w:rPr>
              <w:t>无堆放杂物、电动车停放现象</w:t>
            </w:r>
          </w:p>
        </w:tc>
        <w:tc>
          <w:tcPr>
            <w:tcW w:w="930" w:type="dxa"/>
            <w:noWrap w:val="0"/>
            <w:vAlign w:val="center"/>
          </w:tcPr>
          <w:p w14:paraId="0F5BAA4E">
            <w:pPr>
              <w:jc w:val="center"/>
              <w:rPr>
                <w:rFonts w:hint="default"/>
                <w:color w:val="auto"/>
                <w:highlight w:val="none"/>
                <w:vertAlign w:val="baseline"/>
                <w:lang w:val="en-US" w:eastAsia="zh-CN"/>
              </w:rPr>
            </w:pPr>
            <w:r>
              <w:rPr>
                <w:rFonts w:hint="eastAsia"/>
                <w:color w:val="auto"/>
                <w:highlight w:val="none"/>
                <w:vertAlign w:val="baseline"/>
                <w:lang w:val="en-US" w:eastAsia="zh-CN"/>
              </w:rPr>
              <w:t>3</w:t>
            </w:r>
          </w:p>
        </w:tc>
        <w:tc>
          <w:tcPr>
            <w:tcW w:w="1110" w:type="dxa"/>
            <w:noWrap w:val="0"/>
            <w:vAlign w:val="center"/>
          </w:tcPr>
          <w:p w14:paraId="22EA90F2">
            <w:pPr>
              <w:jc w:val="center"/>
              <w:rPr>
                <w:rFonts w:hint="default"/>
                <w:color w:val="auto"/>
                <w:highlight w:val="none"/>
                <w:vertAlign w:val="baseline"/>
                <w:lang w:val="en-US" w:eastAsia="zh-CN"/>
              </w:rPr>
            </w:pPr>
          </w:p>
        </w:tc>
        <w:tc>
          <w:tcPr>
            <w:tcW w:w="1605" w:type="dxa"/>
            <w:noWrap w:val="0"/>
            <w:vAlign w:val="center"/>
          </w:tcPr>
          <w:p w14:paraId="0C5708D4">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4A698467">
            <w:pPr>
              <w:jc w:val="center"/>
              <w:rPr>
                <w:rFonts w:hint="default"/>
                <w:color w:val="auto"/>
                <w:highlight w:val="none"/>
                <w:vertAlign w:val="baseline"/>
                <w:lang w:val="en-US" w:eastAsia="zh-CN"/>
              </w:rPr>
            </w:pPr>
          </w:p>
        </w:tc>
      </w:tr>
      <w:tr w14:paraId="7BB42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5E83DF1D">
            <w:pPr>
              <w:jc w:val="center"/>
              <w:rPr>
                <w:rFonts w:hint="default"/>
                <w:color w:val="auto"/>
                <w:highlight w:val="none"/>
                <w:vertAlign w:val="baseline"/>
                <w:lang w:val="en-US" w:eastAsia="zh-CN"/>
              </w:rPr>
            </w:pPr>
          </w:p>
        </w:tc>
        <w:tc>
          <w:tcPr>
            <w:tcW w:w="3045" w:type="dxa"/>
            <w:noWrap w:val="0"/>
            <w:vAlign w:val="center"/>
          </w:tcPr>
          <w:p w14:paraId="361132FD">
            <w:pPr>
              <w:jc w:val="left"/>
              <w:rPr>
                <w:rFonts w:hint="default"/>
                <w:color w:val="auto"/>
                <w:highlight w:val="none"/>
                <w:vertAlign w:val="baseline"/>
                <w:lang w:val="en-US" w:eastAsia="zh-CN"/>
              </w:rPr>
            </w:pPr>
            <w:r>
              <w:rPr>
                <w:rFonts w:hint="eastAsia"/>
                <w:color w:val="auto"/>
                <w:highlight w:val="none"/>
                <w:vertAlign w:val="baseline"/>
                <w:lang w:val="en-US" w:eastAsia="zh-CN"/>
              </w:rPr>
              <w:t>办公桌椅及维修工具、配件、消防器材摆放合理，整齐</w:t>
            </w:r>
          </w:p>
        </w:tc>
        <w:tc>
          <w:tcPr>
            <w:tcW w:w="930" w:type="dxa"/>
            <w:noWrap w:val="0"/>
            <w:vAlign w:val="center"/>
          </w:tcPr>
          <w:p w14:paraId="40940E7C">
            <w:pPr>
              <w:jc w:val="center"/>
              <w:rPr>
                <w:rFonts w:hint="default"/>
                <w:color w:val="auto"/>
                <w:highlight w:val="none"/>
                <w:vertAlign w:val="baseline"/>
                <w:lang w:val="en-US" w:eastAsia="zh-CN"/>
              </w:rPr>
            </w:pPr>
            <w:r>
              <w:rPr>
                <w:rFonts w:hint="eastAsia"/>
                <w:color w:val="auto"/>
                <w:highlight w:val="none"/>
                <w:vertAlign w:val="baseline"/>
                <w:lang w:val="en-US" w:eastAsia="zh-CN"/>
              </w:rPr>
              <w:t>6</w:t>
            </w:r>
          </w:p>
        </w:tc>
        <w:tc>
          <w:tcPr>
            <w:tcW w:w="1110" w:type="dxa"/>
            <w:noWrap w:val="0"/>
            <w:vAlign w:val="center"/>
          </w:tcPr>
          <w:p w14:paraId="0AB49C7C">
            <w:pPr>
              <w:jc w:val="center"/>
              <w:rPr>
                <w:rFonts w:hint="default"/>
                <w:color w:val="auto"/>
                <w:highlight w:val="none"/>
                <w:vertAlign w:val="baseline"/>
                <w:lang w:val="en-US" w:eastAsia="zh-CN"/>
              </w:rPr>
            </w:pPr>
          </w:p>
        </w:tc>
        <w:tc>
          <w:tcPr>
            <w:tcW w:w="1605" w:type="dxa"/>
            <w:noWrap w:val="0"/>
            <w:vAlign w:val="center"/>
          </w:tcPr>
          <w:p w14:paraId="2916BEA1">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7C063122">
            <w:pPr>
              <w:jc w:val="center"/>
              <w:rPr>
                <w:rFonts w:hint="default"/>
                <w:color w:val="auto"/>
                <w:highlight w:val="none"/>
                <w:vertAlign w:val="baseline"/>
                <w:lang w:val="en-US" w:eastAsia="zh-CN"/>
              </w:rPr>
            </w:pPr>
          </w:p>
        </w:tc>
      </w:tr>
      <w:tr w14:paraId="2619A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32ABF3C1">
            <w:pPr>
              <w:jc w:val="center"/>
              <w:rPr>
                <w:rFonts w:hint="default"/>
                <w:color w:val="auto"/>
                <w:highlight w:val="none"/>
                <w:vertAlign w:val="baseline"/>
                <w:lang w:val="en-US" w:eastAsia="zh-CN"/>
              </w:rPr>
            </w:pPr>
          </w:p>
        </w:tc>
        <w:tc>
          <w:tcPr>
            <w:tcW w:w="3045" w:type="dxa"/>
            <w:noWrap w:val="0"/>
            <w:vAlign w:val="center"/>
          </w:tcPr>
          <w:p w14:paraId="2D283B16">
            <w:pPr>
              <w:jc w:val="left"/>
              <w:rPr>
                <w:rFonts w:hint="default"/>
                <w:color w:val="auto"/>
                <w:highlight w:val="none"/>
                <w:vertAlign w:val="baseline"/>
                <w:lang w:val="en-US" w:eastAsia="zh-CN"/>
              </w:rPr>
            </w:pPr>
            <w:r>
              <w:rPr>
                <w:rFonts w:hint="eastAsia"/>
                <w:color w:val="auto"/>
                <w:highlight w:val="none"/>
                <w:vertAlign w:val="baseline"/>
                <w:lang w:val="en-US" w:eastAsia="zh-CN"/>
              </w:rPr>
              <w:t>有明显安全警示标志</w:t>
            </w:r>
          </w:p>
        </w:tc>
        <w:tc>
          <w:tcPr>
            <w:tcW w:w="930" w:type="dxa"/>
            <w:noWrap w:val="0"/>
            <w:vAlign w:val="center"/>
          </w:tcPr>
          <w:p w14:paraId="589AC158">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339D9307">
            <w:pPr>
              <w:jc w:val="center"/>
              <w:rPr>
                <w:rFonts w:hint="default"/>
                <w:color w:val="auto"/>
                <w:highlight w:val="none"/>
                <w:vertAlign w:val="baseline"/>
                <w:lang w:val="en-US" w:eastAsia="zh-CN"/>
              </w:rPr>
            </w:pPr>
          </w:p>
        </w:tc>
        <w:tc>
          <w:tcPr>
            <w:tcW w:w="1605" w:type="dxa"/>
            <w:noWrap w:val="0"/>
            <w:vAlign w:val="center"/>
          </w:tcPr>
          <w:p w14:paraId="57A94713">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每处扣1分</w:t>
            </w:r>
          </w:p>
        </w:tc>
        <w:tc>
          <w:tcPr>
            <w:tcW w:w="991" w:type="dxa"/>
            <w:noWrap w:val="0"/>
            <w:vAlign w:val="center"/>
          </w:tcPr>
          <w:p w14:paraId="14C95E84">
            <w:pPr>
              <w:jc w:val="center"/>
              <w:rPr>
                <w:rFonts w:hint="default"/>
                <w:color w:val="auto"/>
                <w:highlight w:val="none"/>
                <w:vertAlign w:val="baseline"/>
                <w:lang w:val="en-US" w:eastAsia="zh-CN"/>
              </w:rPr>
            </w:pPr>
          </w:p>
        </w:tc>
      </w:tr>
      <w:tr w14:paraId="6312A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3EF66484">
            <w:pPr>
              <w:jc w:val="center"/>
              <w:rPr>
                <w:rFonts w:hint="default"/>
                <w:color w:val="auto"/>
                <w:highlight w:val="none"/>
                <w:vertAlign w:val="baseline"/>
                <w:lang w:val="en-US" w:eastAsia="zh-CN"/>
              </w:rPr>
            </w:pPr>
          </w:p>
        </w:tc>
        <w:tc>
          <w:tcPr>
            <w:tcW w:w="3045" w:type="dxa"/>
            <w:noWrap w:val="0"/>
            <w:vAlign w:val="center"/>
          </w:tcPr>
          <w:p w14:paraId="4A5A6420">
            <w:pPr>
              <w:jc w:val="left"/>
              <w:rPr>
                <w:rFonts w:hint="default"/>
                <w:color w:val="auto"/>
                <w:highlight w:val="none"/>
                <w:vertAlign w:val="baseline"/>
                <w:lang w:val="en-US" w:eastAsia="zh-CN"/>
              </w:rPr>
            </w:pPr>
            <w:r>
              <w:rPr>
                <w:rFonts w:hint="eastAsia"/>
                <w:color w:val="auto"/>
                <w:highlight w:val="none"/>
                <w:vertAlign w:val="baseline"/>
                <w:lang w:val="en-US" w:eastAsia="zh-CN"/>
              </w:rPr>
              <w:t>制度上墙，完整清晰</w:t>
            </w:r>
          </w:p>
        </w:tc>
        <w:tc>
          <w:tcPr>
            <w:tcW w:w="930" w:type="dxa"/>
            <w:noWrap w:val="0"/>
            <w:vAlign w:val="center"/>
          </w:tcPr>
          <w:p w14:paraId="2A97BF84">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00B183A1">
            <w:pPr>
              <w:jc w:val="center"/>
              <w:rPr>
                <w:rFonts w:hint="default"/>
                <w:color w:val="auto"/>
                <w:highlight w:val="none"/>
                <w:vertAlign w:val="baseline"/>
                <w:lang w:val="en-US" w:eastAsia="zh-CN"/>
              </w:rPr>
            </w:pPr>
          </w:p>
        </w:tc>
        <w:tc>
          <w:tcPr>
            <w:tcW w:w="1605" w:type="dxa"/>
            <w:noWrap w:val="0"/>
            <w:vAlign w:val="center"/>
          </w:tcPr>
          <w:p w14:paraId="7D6BBD0B">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7911B78F">
            <w:pPr>
              <w:jc w:val="center"/>
              <w:rPr>
                <w:rFonts w:hint="default"/>
                <w:color w:val="auto"/>
                <w:highlight w:val="none"/>
                <w:vertAlign w:val="baseline"/>
                <w:lang w:val="en-US" w:eastAsia="zh-CN"/>
              </w:rPr>
            </w:pPr>
          </w:p>
        </w:tc>
      </w:tr>
      <w:tr w14:paraId="014B1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06B1528F">
            <w:pPr>
              <w:jc w:val="center"/>
              <w:rPr>
                <w:rFonts w:hint="default"/>
                <w:color w:val="auto"/>
                <w:highlight w:val="none"/>
                <w:vertAlign w:val="baseline"/>
                <w:lang w:val="en-US" w:eastAsia="zh-CN"/>
              </w:rPr>
            </w:pPr>
          </w:p>
        </w:tc>
        <w:tc>
          <w:tcPr>
            <w:tcW w:w="3045" w:type="dxa"/>
            <w:noWrap w:val="0"/>
            <w:vAlign w:val="center"/>
          </w:tcPr>
          <w:p w14:paraId="63B90396">
            <w:pPr>
              <w:jc w:val="left"/>
              <w:rPr>
                <w:rFonts w:hint="default"/>
                <w:color w:val="auto"/>
                <w:highlight w:val="none"/>
                <w:vertAlign w:val="baseline"/>
                <w:lang w:val="en-US" w:eastAsia="zh-CN"/>
              </w:rPr>
            </w:pPr>
            <w:r>
              <w:rPr>
                <w:rFonts w:hint="eastAsia"/>
                <w:color w:val="auto"/>
                <w:highlight w:val="none"/>
                <w:vertAlign w:val="baseline"/>
                <w:lang w:val="en-US" w:eastAsia="zh-CN"/>
              </w:rPr>
              <w:t>设备资料完整、规范</w:t>
            </w:r>
          </w:p>
        </w:tc>
        <w:tc>
          <w:tcPr>
            <w:tcW w:w="930" w:type="dxa"/>
            <w:noWrap w:val="0"/>
            <w:vAlign w:val="center"/>
          </w:tcPr>
          <w:p w14:paraId="48386513">
            <w:pPr>
              <w:jc w:val="center"/>
              <w:rPr>
                <w:rFonts w:hint="default"/>
                <w:color w:val="auto"/>
                <w:highlight w:val="none"/>
                <w:vertAlign w:val="baseline"/>
                <w:lang w:val="en-US" w:eastAsia="zh-CN"/>
              </w:rPr>
            </w:pPr>
            <w:r>
              <w:rPr>
                <w:rFonts w:hint="eastAsia"/>
                <w:color w:val="auto"/>
                <w:highlight w:val="none"/>
                <w:vertAlign w:val="baseline"/>
                <w:lang w:val="en-US" w:eastAsia="zh-CN"/>
              </w:rPr>
              <w:t>3</w:t>
            </w:r>
          </w:p>
        </w:tc>
        <w:tc>
          <w:tcPr>
            <w:tcW w:w="1110" w:type="dxa"/>
            <w:noWrap w:val="0"/>
            <w:vAlign w:val="center"/>
          </w:tcPr>
          <w:p w14:paraId="0BF6C516">
            <w:pPr>
              <w:jc w:val="center"/>
              <w:rPr>
                <w:rFonts w:hint="default"/>
                <w:color w:val="auto"/>
                <w:highlight w:val="none"/>
                <w:vertAlign w:val="baseline"/>
                <w:lang w:val="en-US" w:eastAsia="zh-CN"/>
              </w:rPr>
            </w:pPr>
          </w:p>
        </w:tc>
        <w:tc>
          <w:tcPr>
            <w:tcW w:w="1605" w:type="dxa"/>
            <w:noWrap w:val="0"/>
            <w:vAlign w:val="center"/>
          </w:tcPr>
          <w:p w14:paraId="69163660">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4A86DA16">
            <w:pPr>
              <w:jc w:val="center"/>
              <w:rPr>
                <w:rFonts w:hint="default"/>
                <w:color w:val="auto"/>
                <w:highlight w:val="none"/>
                <w:vertAlign w:val="baseline"/>
                <w:lang w:val="en-US" w:eastAsia="zh-CN"/>
              </w:rPr>
            </w:pPr>
          </w:p>
        </w:tc>
      </w:tr>
      <w:tr w14:paraId="3028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5ECCB6D9">
            <w:pPr>
              <w:jc w:val="center"/>
              <w:rPr>
                <w:rFonts w:hint="default"/>
                <w:color w:val="auto"/>
                <w:highlight w:val="none"/>
                <w:vertAlign w:val="baseline"/>
                <w:lang w:val="en-US" w:eastAsia="zh-CN"/>
              </w:rPr>
            </w:pPr>
          </w:p>
        </w:tc>
        <w:tc>
          <w:tcPr>
            <w:tcW w:w="3045" w:type="dxa"/>
            <w:noWrap w:val="0"/>
            <w:vAlign w:val="center"/>
          </w:tcPr>
          <w:p w14:paraId="04EB3A46">
            <w:pPr>
              <w:jc w:val="left"/>
              <w:rPr>
                <w:rFonts w:hint="default"/>
                <w:color w:val="auto"/>
                <w:highlight w:val="none"/>
                <w:vertAlign w:val="baseline"/>
                <w:lang w:val="en-US" w:eastAsia="zh-CN"/>
              </w:rPr>
            </w:pPr>
            <w:r>
              <w:rPr>
                <w:rFonts w:hint="eastAsia"/>
                <w:color w:val="auto"/>
                <w:highlight w:val="none"/>
                <w:vertAlign w:val="baseline"/>
                <w:lang w:val="en-US" w:eastAsia="zh-CN"/>
              </w:rPr>
              <w:t>值班室电话畅通且及时接听</w:t>
            </w:r>
          </w:p>
        </w:tc>
        <w:tc>
          <w:tcPr>
            <w:tcW w:w="930" w:type="dxa"/>
            <w:noWrap w:val="0"/>
            <w:vAlign w:val="center"/>
          </w:tcPr>
          <w:p w14:paraId="5B04F997">
            <w:pPr>
              <w:jc w:val="center"/>
              <w:rPr>
                <w:rFonts w:hint="default"/>
                <w:color w:val="auto"/>
                <w:highlight w:val="none"/>
                <w:vertAlign w:val="baseline"/>
                <w:lang w:val="en-US" w:eastAsia="zh-CN"/>
              </w:rPr>
            </w:pPr>
            <w:r>
              <w:rPr>
                <w:rFonts w:hint="eastAsia"/>
                <w:color w:val="auto"/>
                <w:highlight w:val="none"/>
                <w:vertAlign w:val="baseline"/>
                <w:lang w:val="en-US" w:eastAsia="zh-CN"/>
              </w:rPr>
              <w:t>1</w:t>
            </w:r>
          </w:p>
        </w:tc>
        <w:tc>
          <w:tcPr>
            <w:tcW w:w="1110" w:type="dxa"/>
            <w:noWrap w:val="0"/>
            <w:vAlign w:val="center"/>
          </w:tcPr>
          <w:p w14:paraId="3F9249D6">
            <w:pPr>
              <w:jc w:val="center"/>
              <w:rPr>
                <w:rFonts w:hint="default"/>
                <w:color w:val="auto"/>
                <w:highlight w:val="none"/>
                <w:vertAlign w:val="baseline"/>
                <w:lang w:val="en-US" w:eastAsia="zh-CN"/>
              </w:rPr>
            </w:pPr>
          </w:p>
        </w:tc>
        <w:tc>
          <w:tcPr>
            <w:tcW w:w="1605" w:type="dxa"/>
            <w:noWrap w:val="0"/>
            <w:vAlign w:val="center"/>
          </w:tcPr>
          <w:p w14:paraId="3D2FF581">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607023BB">
            <w:pPr>
              <w:jc w:val="center"/>
              <w:rPr>
                <w:rFonts w:hint="default"/>
                <w:color w:val="auto"/>
                <w:highlight w:val="none"/>
                <w:vertAlign w:val="baseline"/>
                <w:lang w:val="en-US" w:eastAsia="zh-CN"/>
              </w:rPr>
            </w:pPr>
          </w:p>
        </w:tc>
      </w:tr>
      <w:tr w14:paraId="216BE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restart"/>
            <w:noWrap w:val="0"/>
            <w:vAlign w:val="center"/>
          </w:tcPr>
          <w:p w14:paraId="1C812A07">
            <w:pPr>
              <w:jc w:val="center"/>
              <w:rPr>
                <w:rFonts w:hint="eastAsia"/>
                <w:color w:val="auto"/>
                <w:highlight w:val="none"/>
                <w:vertAlign w:val="baseline"/>
                <w:lang w:val="en-US" w:eastAsia="zh-CN"/>
              </w:rPr>
            </w:pPr>
            <w:r>
              <w:rPr>
                <w:rFonts w:hint="eastAsia"/>
                <w:color w:val="auto"/>
                <w:highlight w:val="none"/>
                <w:vertAlign w:val="baseline"/>
                <w:lang w:val="en-US" w:eastAsia="zh-CN"/>
              </w:rPr>
              <w:t>人</w:t>
            </w:r>
          </w:p>
          <w:p w14:paraId="358D32D8">
            <w:pPr>
              <w:jc w:val="center"/>
              <w:rPr>
                <w:rFonts w:hint="eastAsia"/>
                <w:color w:val="auto"/>
                <w:highlight w:val="none"/>
                <w:vertAlign w:val="baseline"/>
                <w:lang w:val="en-US" w:eastAsia="zh-CN"/>
              </w:rPr>
            </w:pPr>
            <w:r>
              <w:rPr>
                <w:rFonts w:hint="eastAsia"/>
                <w:color w:val="auto"/>
                <w:highlight w:val="none"/>
                <w:vertAlign w:val="baseline"/>
                <w:lang w:val="en-US" w:eastAsia="zh-CN"/>
              </w:rPr>
              <w:t>员</w:t>
            </w:r>
          </w:p>
          <w:p w14:paraId="2A3C02F7">
            <w:pPr>
              <w:jc w:val="center"/>
              <w:rPr>
                <w:rFonts w:hint="eastAsia"/>
                <w:color w:val="auto"/>
                <w:highlight w:val="none"/>
                <w:vertAlign w:val="baseline"/>
                <w:lang w:val="en-US" w:eastAsia="zh-CN"/>
              </w:rPr>
            </w:pPr>
            <w:r>
              <w:rPr>
                <w:rFonts w:hint="eastAsia"/>
                <w:color w:val="auto"/>
                <w:highlight w:val="none"/>
                <w:vertAlign w:val="baseline"/>
                <w:lang w:val="en-US" w:eastAsia="zh-CN"/>
              </w:rPr>
              <w:t>和</w:t>
            </w:r>
          </w:p>
          <w:p w14:paraId="06F48C58">
            <w:pPr>
              <w:jc w:val="center"/>
              <w:rPr>
                <w:rFonts w:hint="eastAsia"/>
                <w:color w:val="auto"/>
                <w:highlight w:val="none"/>
                <w:vertAlign w:val="baseline"/>
                <w:lang w:val="en-US" w:eastAsia="zh-CN"/>
              </w:rPr>
            </w:pPr>
            <w:r>
              <w:rPr>
                <w:rFonts w:hint="eastAsia"/>
                <w:color w:val="auto"/>
                <w:highlight w:val="none"/>
                <w:vertAlign w:val="baseline"/>
                <w:lang w:val="en-US" w:eastAsia="zh-CN"/>
              </w:rPr>
              <w:t>出</w:t>
            </w:r>
          </w:p>
          <w:p w14:paraId="16368143">
            <w:pPr>
              <w:jc w:val="center"/>
              <w:rPr>
                <w:rFonts w:hint="eastAsia"/>
                <w:color w:val="auto"/>
                <w:highlight w:val="none"/>
                <w:vertAlign w:val="baseline"/>
                <w:lang w:val="en-US" w:eastAsia="zh-CN"/>
              </w:rPr>
            </w:pPr>
            <w:r>
              <w:rPr>
                <w:rFonts w:hint="eastAsia"/>
                <w:color w:val="auto"/>
                <w:highlight w:val="none"/>
                <w:vertAlign w:val="baseline"/>
                <w:lang w:val="en-US" w:eastAsia="zh-CN"/>
              </w:rPr>
              <w:t>勤</w:t>
            </w:r>
          </w:p>
          <w:p w14:paraId="6E6B1A02">
            <w:pPr>
              <w:jc w:val="center"/>
              <w:rPr>
                <w:rFonts w:hint="eastAsia"/>
                <w:color w:val="auto"/>
                <w:highlight w:val="none"/>
                <w:vertAlign w:val="baseline"/>
                <w:lang w:val="en-US" w:eastAsia="zh-CN"/>
              </w:rPr>
            </w:pPr>
            <w:r>
              <w:rPr>
                <w:rFonts w:hint="eastAsia"/>
                <w:color w:val="auto"/>
                <w:highlight w:val="none"/>
                <w:vertAlign w:val="baseline"/>
                <w:lang w:val="en-US" w:eastAsia="zh-CN"/>
              </w:rPr>
              <w:t>18</w:t>
            </w:r>
          </w:p>
          <w:p w14:paraId="16A6C389">
            <w:pPr>
              <w:jc w:val="center"/>
              <w:rPr>
                <w:rFonts w:hint="default"/>
                <w:color w:val="auto"/>
                <w:highlight w:val="none"/>
                <w:vertAlign w:val="baseline"/>
                <w:lang w:val="en-US" w:eastAsia="zh-CN"/>
              </w:rPr>
            </w:pPr>
            <w:r>
              <w:rPr>
                <w:rFonts w:hint="eastAsia"/>
                <w:color w:val="auto"/>
                <w:highlight w:val="none"/>
                <w:vertAlign w:val="baseline"/>
                <w:lang w:val="en-US" w:eastAsia="zh-CN"/>
              </w:rPr>
              <w:t>分</w:t>
            </w:r>
          </w:p>
        </w:tc>
        <w:tc>
          <w:tcPr>
            <w:tcW w:w="3045" w:type="dxa"/>
            <w:noWrap w:val="0"/>
            <w:vAlign w:val="center"/>
          </w:tcPr>
          <w:p w14:paraId="56475F87">
            <w:pPr>
              <w:jc w:val="left"/>
              <w:rPr>
                <w:rFonts w:hint="default"/>
                <w:color w:val="auto"/>
                <w:highlight w:val="none"/>
                <w:vertAlign w:val="baseline"/>
                <w:lang w:val="en-US" w:eastAsia="zh-CN"/>
              </w:rPr>
            </w:pPr>
            <w:r>
              <w:rPr>
                <w:rFonts w:hint="eastAsia"/>
                <w:color w:val="auto"/>
                <w:highlight w:val="none"/>
                <w:vertAlign w:val="baseline"/>
                <w:lang w:val="en-US" w:eastAsia="zh-CN"/>
              </w:rPr>
              <w:t>人员持证上岗</w:t>
            </w:r>
          </w:p>
        </w:tc>
        <w:tc>
          <w:tcPr>
            <w:tcW w:w="930" w:type="dxa"/>
            <w:noWrap w:val="0"/>
            <w:vAlign w:val="center"/>
          </w:tcPr>
          <w:p w14:paraId="4571B594">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6512FB84">
            <w:pPr>
              <w:jc w:val="center"/>
              <w:rPr>
                <w:rFonts w:hint="default"/>
                <w:color w:val="auto"/>
                <w:highlight w:val="none"/>
                <w:vertAlign w:val="baseline"/>
                <w:lang w:val="en-US" w:eastAsia="zh-CN"/>
              </w:rPr>
            </w:pPr>
          </w:p>
        </w:tc>
        <w:tc>
          <w:tcPr>
            <w:tcW w:w="1605" w:type="dxa"/>
            <w:noWrap w:val="0"/>
            <w:vAlign w:val="center"/>
          </w:tcPr>
          <w:p w14:paraId="56BC726E">
            <w:pPr>
              <w:jc w:val="center"/>
              <w:rPr>
                <w:rFonts w:hint="default"/>
                <w:color w:val="auto"/>
                <w:highlight w:val="none"/>
                <w:vertAlign w:val="baseline"/>
                <w:lang w:val="en-US" w:eastAsia="zh-CN"/>
              </w:rPr>
            </w:pPr>
            <w:r>
              <w:rPr>
                <w:rFonts w:hint="eastAsia"/>
                <w:color w:val="auto"/>
                <w:highlight w:val="none"/>
                <w:vertAlign w:val="baseline"/>
                <w:lang w:val="en-US" w:eastAsia="zh-CN"/>
              </w:rPr>
              <w:t>每人次扣2.5分</w:t>
            </w:r>
          </w:p>
        </w:tc>
        <w:tc>
          <w:tcPr>
            <w:tcW w:w="991" w:type="dxa"/>
            <w:noWrap w:val="0"/>
            <w:vAlign w:val="center"/>
          </w:tcPr>
          <w:p w14:paraId="6692E632">
            <w:pPr>
              <w:jc w:val="center"/>
              <w:rPr>
                <w:rFonts w:hint="default"/>
                <w:color w:val="auto"/>
                <w:highlight w:val="none"/>
                <w:vertAlign w:val="baseline"/>
                <w:lang w:val="en-US" w:eastAsia="zh-CN"/>
              </w:rPr>
            </w:pPr>
          </w:p>
        </w:tc>
      </w:tr>
      <w:tr w14:paraId="45365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3A33DAB4">
            <w:pPr>
              <w:jc w:val="center"/>
              <w:rPr>
                <w:rFonts w:hint="default"/>
                <w:color w:val="auto"/>
                <w:highlight w:val="none"/>
                <w:vertAlign w:val="baseline"/>
                <w:lang w:val="en-US" w:eastAsia="zh-CN"/>
              </w:rPr>
            </w:pPr>
          </w:p>
        </w:tc>
        <w:tc>
          <w:tcPr>
            <w:tcW w:w="3045" w:type="dxa"/>
            <w:noWrap w:val="0"/>
            <w:vAlign w:val="center"/>
          </w:tcPr>
          <w:p w14:paraId="53C94D34">
            <w:pPr>
              <w:jc w:val="left"/>
              <w:rPr>
                <w:rFonts w:hint="default"/>
                <w:color w:val="auto"/>
                <w:highlight w:val="none"/>
                <w:vertAlign w:val="baseline"/>
                <w:lang w:val="en-US" w:eastAsia="zh-CN"/>
              </w:rPr>
            </w:pPr>
            <w:r>
              <w:rPr>
                <w:rFonts w:hint="eastAsia"/>
                <w:color w:val="auto"/>
                <w:highlight w:val="none"/>
                <w:vertAlign w:val="baseline"/>
                <w:lang w:val="en-US" w:eastAsia="zh-CN"/>
              </w:rPr>
              <w:t>着工服、佩戴工牌</w:t>
            </w:r>
          </w:p>
        </w:tc>
        <w:tc>
          <w:tcPr>
            <w:tcW w:w="930" w:type="dxa"/>
            <w:noWrap w:val="0"/>
            <w:vAlign w:val="center"/>
          </w:tcPr>
          <w:p w14:paraId="5296FD25">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1077A560">
            <w:pPr>
              <w:jc w:val="center"/>
              <w:rPr>
                <w:rFonts w:hint="default"/>
                <w:color w:val="auto"/>
                <w:highlight w:val="none"/>
                <w:vertAlign w:val="baseline"/>
                <w:lang w:val="en-US" w:eastAsia="zh-CN"/>
              </w:rPr>
            </w:pPr>
          </w:p>
        </w:tc>
        <w:tc>
          <w:tcPr>
            <w:tcW w:w="1605" w:type="dxa"/>
            <w:noWrap w:val="0"/>
            <w:vAlign w:val="center"/>
          </w:tcPr>
          <w:p w14:paraId="3C80E535">
            <w:pPr>
              <w:jc w:val="center"/>
              <w:rPr>
                <w:rFonts w:hint="default"/>
                <w:color w:val="auto"/>
                <w:highlight w:val="none"/>
                <w:vertAlign w:val="baseline"/>
                <w:lang w:val="en-US" w:eastAsia="zh-CN"/>
              </w:rPr>
            </w:pPr>
            <w:r>
              <w:rPr>
                <w:rFonts w:hint="eastAsia"/>
                <w:color w:val="auto"/>
                <w:highlight w:val="none"/>
                <w:vertAlign w:val="baseline"/>
                <w:lang w:val="en-US" w:eastAsia="zh-CN"/>
              </w:rPr>
              <w:t>每人次扣2分</w:t>
            </w:r>
          </w:p>
        </w:tc>
        <w:tc>
          <w:tcPr>
            <w:tcW w:w="991" w:type="dxa"/>
            <w:noWrap w:val="0"/>
            <w:vAlign w:val="center"/>
          </w:tcPr>
          <w:p w14:paraId="18AB1542">
            <w:pPr>
              <w:jc w:val="center"/>
              <w:rPr>
                <w:rFonts w:hint="default"/>
                <w:color w:val="auto"/>
                <w:highlight w:val="none"/>
                <w:vertAlign w:val="baseline"/>
                <w:lang w:val="en-US" w:eastAsia="zh-CN"/>
              </w:rPr>
            </w:pPr>
          </w:p>
        </w:tc>
      </w:tr>
      <w:tr w14:paraId="7FCD6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58F07579">
            <w:pPr>
              <w:jc w:val="center"/>
              <w:rPr>
                <w:rFonts w:hint="default"/>
                <w:color w:val="auto"/>
                <w:highlight w:val="none"/>
                <w:vertAlign w:val="baseline"/>
                <w:lang w:val="en-US" w:eastAsia="zh-CN"/>
              </w:rPr>
            </w:pPr>
          </w:p>
        </w:tc>
        <w:tc>
          <w:tcPr>
            <w:tcW w:w="3045" w:type="dxa"/>
            <w:noWrap w:val="0"/>
            <w:vAlign w:val="center"/>
          </w:tcPr>
          <w:p w14:paraId="7C8CAE7E">
            <w:pPr>
              <w:jc w:val="left"/>
              <w:rPr>
                <w:rFonts w:hint="default"/>
                <w:color w:val="auto"/>
                <w:highlight w:val="none"/>
                <w:vertAlign w:val="baseline"/>
                <w:lang w:val="en-US" w:eastAsia="zh-CN"/>
              </w:rPr>
            </w:pPr>
            <w:r>
              <w:rPr>
                <w:rFonts w:hint="eastAsia"/>
                <w:color w:val="auto"/>
                <w:highlight w:val="none"/>
                <w:vertAlign w:val="baseline"/>
                <w:lang w:val="en-US" w:eastAsia="zh-CN"/>
              </w:rPr>
              <w:t>人员出勤情况（查看排班表，每班不少于2人）</w:t>
            </w:r>
          </w:p>
        </w:tc>
        <w:tc>
          <w:tcPr>
            <w:tcW w:w="930" w:type="dxa"/>
            <w:noWrap w:val="0"/>
            <w:vAlign w:val="center"/>
          </w:tcPr>
          <w:p w14:paraId="64CC4DBE">
            <w:pPr>
              <w:jc w:val="center"/>
              <w:rPr>
                <w:rFonts w:hint="default"/>
                <w:color w:val="auto"/>
                <w:highlight w:val="none"/>
                <w:vertAlign w:val="baseline"/>
                <w:lang w:val="en-US" w:eastAsia="zh-CN"/>
              </w:rPr>
            </w:pPr>
            <w:r>
              <w:rPr>
                <w:rFonts w:hint="eastAsia"/>
                <w:color w:val="auto"/>
                <w:highlight w:val="none"/>
                <w:vertAlign w:val="baseline"/>
                <w:lang w:val="en-US" w:eastAsia="zh-CN"/>
              </w:rPr>
              <w:t>6</w:t>
            </w:r>
          </w:p>
        </w:tc>
        <w:tc>
          <w:tcPr>
            <w:tcW w:w="1110" w:type="dxa"/>
            <w:noWrap w:val="0"/>
            <w:vAlign w:val="center"/>
          </w:tcPr>
          <w:p w14:paraId="2E6C8330">
            <w:pPr>
              <w:jc w:val="center"/>
              <w:rPr>
                <w:rFonts w:hint="default"/>
                <w:color w:val="auto"/>
                <w:highlight w:val="none"/>
                <w:vertAlign w:val="baseline"/>
                <w:lang w:val="en-US" w:eastAsia="zh-CN"/>
              </w:rPr>
            </w:pPr>
          </w:p>
        </w:tc>
        <w:tc>
          <w:tcPr>
            <w:tcW w:w="1605" w:type="dxa"/>
            <w:noWrap w:val="0"/>
            <w:vAlign w:val="center"/>
          </w:tcPr>
          <w:p w14:paraId="528FD2C3">
            <w:pPr>
              <w:jc w:val="center"/>
              <w:rPr>
                <w:rFonts w:hint="default"/>
                <w:color w:val="auto"/>
                <w:highlight w:val="none"/>
                <w:vertAlign w:val="baseline"/>
                <w:lang w:val="en-US" w:eastAsia="zh-CN"/>
              </w:rPr>
            </w:pPr>
            <w:r>
              <w:rPr>
                <w:rFonts w:hint="eastAsia"/>
                <w:color w:val="auto"/>
                <w:highlight w:val="none"/>
                <w:vertAlign w:val="baseline"/>
                <w:lang w:val="en-US" w:eastAsia="zh-CN"/>
              </w:rPr>
              <w:t>每人次扣3分</w:t>
            </w:r>
          </w:p>
        </w:tc>
        <w:tc>
          <w:tcPr>
            <w:tcW w:w="991" w:type="dxa"/>
            <w:noWrap w:val="0"/>
            <w:vAlign w:val="center"/>
          </w:tcPr>
          <w:p w14:paraId="1D9B696C">
            <w:pPr>
              <w:jc w:val="center"/>
              <w:rPr>
                <w:rFonts w:hint="default"/>
                <w:color w:val="auto"/>
                <w:highlight w:val="none"/>
                <w:vertAlign w:val="baseline"/>
                <w:lang w:val="en-US" w:eastAsia="zh-CN"/>
              </w:rPr>
            </w:pPr>
          </w:p>
        </w:tc>
      </w:tr>
      <w:tr w14:paraId="1400C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49BBFD2A">
            <w:pPr>
              <w:jc w:val="center"/>
              <w:rPr>
                <w:rFonts w:hint="default"/>
                <w:color w:val="auto"/>
                <w:highlight w:val="none"/>
                <w:vertAlign w:val="baseline"/>
                <w:lang w:val="en-US" w:eastAsia="zh-CN"/>
              </w:rPr>
            </w:pPr>
          </w:p>
        </w:tc>
        <w:tc>
          <w:tcPr>
            <w:tcW w:w="3045" w:type="dxa"/>
            <w:noWrap w:val="0"/>
            <w:vAlign w:val="center"/>
          </w:tcPr>
          <w:p w14:paraId="370EFB2C">
            <w:pPr>
              <w:jc w:val="left"/>
              <w:rPr>
                <w:rFonts w:hint="default"/>
                <w:color w:val="auto"/>
                <w:highlight w:val="none"/>
                <w:vertAlign w:val="baseline"/>
                <w:lang w:val="en-US" w:eastAsia="zh-CN"/>
              </w:rPr>
            </w:pPr>
            <w:r>
              <w:rPr>
                <w:rFonts w:hint="eastAsia"/>
                <w:color w:val="auto"/>
                <w:highlight w:val="none"/>
                <w:vertAlign w:val="baseline"/>
                <w:lang w:val="en-US" w:eastAsia="zh-CN"/>
              </w:rPr>
              <w:t>项目经理每日8小时在岗</w:t>
            </w:r>
          </w:p>
        </w:tc>
        <w:tc>
          <w:tcPr>
            <w:tcW w:w="930" w:type="dxa"/>
            <w:noWrap w:val="0"/>
            <w:vAlign w:val="center"/>
          </w:tcPr>
          <w:p w14:paraId="5D0ADAD3">
            <w:pPr>
              <w:jc w:val="center"/>
              <w:rPr>
                <w:rFonts w:hint="default"/>
                <w:color w:val="auto"/>
                <w:highlight w:val="none"/>
                <w:vertAlign w:val="baseline"/>
                <w:lang w:val="en-US" w:eastAsia="zh-CN"/>
              </w:rPr>
            </w:pPr>
            <w:r>
              <w:rPr>
                <w:rFonts w:hint="eastAsia"/>
                <w:color w:val="auto"/>
                <w:highlight w:val="none"/>
                <w:vertAlign w:val="baseline"/>
                <w:lang w:val="en-US" w:eastAsia="zh-CN"/>
              </w:rPr>
              <w:t>2</w:t>
            </w:r>
          </w:p>
        </w:tc>
        <w:tc>
          <w:tcPr>
            <w:tcW w:w="1110" w:type="dxa"/>
            <w:noWrap w:val="0"/>
            <w:vAlign w:val="center"/>
          </w:tcPr>
          <w:p w14:paraId="15AE4AA2">
            <w:pPr>
              <w:jc w:val="center"/>
              <w:rPr>
                <w:rFonts w:hint="default"/>
                <w:color w:val="auto"/>
                <w:highlight w:val="none"/>
                <w:vertAlign w:val="baseline"/>
                <w:lang w:val="en-US" w:eastAsia="zh-CN"/>
              </w:rPr>
            </w:pPr>
          </w:p>
        </w:tc>
        <w:tc>
          <w:tcPr>
            <w:tcW w:w="1605" w:type="dxa"/>
            <w:noWrap w:val="0"/>
            <w:vAlign w:val="center"/>
          </w:tcPr>
          <w:p w14:paraId="21B2DB06">
            <w:pPr>
              <w:jc w:val="center"/>
              <w:rPr>
                <w:rFonts w:hint="default"/>
                <w:color w:val="auto"/>
                <w:highlight w:val="none"/>
                <w:vertAlign w:val="baseline"/>
                <w:lang w:val="en-US" w:eastAsia="zh-CN"/>
              </w:rPr>
            </w:pPr>
            <w:r>
              <w:rPr>
                <w:rFonts w:hint="eastAsia"/>
                <w:color w:val="auto"/>
                <w:highlight w:val="none"/>
                <w:vertAlign w:val="baseline"/>
                <w:lang w:val="en-US" w:eastAsia="zh-CN"/>
              </w:rPr>
              <w:t>每人次扣2分</w:t>
            </w:r>
          </w:p>
        </w:tc>
        <w:tc>
          <w:tcPr>
            <w:tcW w:w="991" w:type="dxa"/>
            <w:noWrap w:val="0"/>
            <w:vAlign w:val="center"/>
          </w:tcPr>
          <w:p w14:paraId="567A5345">
            <w:pPr>
              <w:jc w:val="center"/>
              <w:rPr>
                <w:rFonts w:hint="default"/>
                <w:color w:val="auto"/>
                <w:highlight w:val="none"/>
                <w:vertAlign w:val="baseline"/>
                <w:lang w:val="en-US" w:eastAsia="zh-CN"/>
              </w:rPr>
            </w:pPr>
          </w:p>
        </w:tc>
      </w:tr>
      <w:tr w14:paraId="370EB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restart"/>
            <w:noWrap w:val="0"/>
            <w:vAlign w:val="center"/>
          </w:tcPr>
          <w:p w14:paraId="4997830A">
            <w:pPr>
              <w:jc w:val="center"/>
              <w:rPr>
                <w:rFonts w:hint="eastAsia"/>
                <w:color w:val="auto"/>
                <w:highlight w:val="none"/>
                <w:vertAlign w:val="baseline"/>
                <w:lang w:val="en-US" w:eastAsia="zh-CN"/>
              </w:rPr>
            </w:pPr>
            <w:r>
              <w:rPr>
                <w:rFonts w:hint="eastAsia"/>
                <w:color w:val="auto"/>
                <w:highlight w:val="none"/>
                <w:vertAlign w:val="baseline"/>
                <w:lang w:val="en-US" w:eastAsia="zh-CN"/>
              </w:rPr>
              <w:t>记</w:t>
            </w:r>
          </w:p>
          <w:p w14:paraId="3E3BDA18">
            <w:pPr>
              <w:jc w:val="center"/>
              <w:rPr>
                <w:rFonts w:hint="eastAsia"/>
                <w:color w:val="auto"/>
                <w:highlight w:val="none"/>
                <w:vertAlign w:val="baseline"/>
                <w:lang w:val="en-US" w:eastAsia="zh-CN"/>
              </w:rPr>
            </w:pPr>
            <w:r>
              <w:rPr>
                <w:rFonts w:hint="eastAsia"/>
                <w:color w:val="auto"/>
                <w:highlight w:val="none"/>
                <w:vertAlign w:val="baseline"/>
                <w:lang w:val="en-US" w:eastAsia="zh-CN"/>
              </w:rPr>
              <w:t>录</w:t>
            </w:r>
          </w:p>
          <w:p w14:paraId="3929754C">
            <w:pPr>
              <w:jc w:val="center"/>
              <w:rPr>
                <w:rFonts w:hint="eastAsia"/>
                <w:color w:val="auto"/>
                <w:highlight w:val="none"/>
                <w:vertAlign w:val="baseline"/>
                <w:lang w:val="en-US" w:eastAsia="zh-CN"/>
              </w:rPr>
            </w:pPr>
            <w:r>
              <w:rPr>
                <w:rFonts w:hint="eastAsia"/>
                <w:color w:val="auto"/>
                <w:highlight w:val="none"/>
                <w:vertAlign w:val="baseline"/>
                <w:lang w:val="en-US" w:eastAsia="zh-CN"/>
              </w:rPr>
              <w:t>资</w:t>
            </w:r>
          </w:p>
          <w:p w14:paraId="18AD44A3">
            <w:pPr>
              <w:jc w:val="center"/>
              <w:rPr>
                <w:rFonts w:hint="eastAsia"/>
                <w:color w:val="auto"/>
                <w:highlight w:val="none"/>
                <w:vertAlign w:val="baseline"/>
                <w:lang w:val="en-US" w:eastAsia="zh-CN"/>
              </w:rPr>
            </w:pPr>
            <w:r>
              <w:rPr>
                <w:rFonts w:hint="eastAsia"/>
                <w:color w:val="auto"/>
                <w:highlight w:val="none"/>
                <w:vertAlign w:val="baseline"/>
                <w:lang w:val="en-US" w:eastAsia="zh-CN"/>
              </w:rPr>
              <w:t>料</w:t>
            </w:r>
          </w:p>
          <w:p w14:paraId="2D925142">
            <w:pPr>
              <w:jc w:val="center"/>
              <w:rPr>
                <w:rFonts w:hint="eastAsia"/>
                <w:color w:val="auto"/>
                <w:highlight w:val="none"/>
                <w:vertAlign w:val="baseline"/>
                <w:lang w:val="en-US" w:eastAsia="zh-CN"/>
              </w:rPr>
            </w:pPr>
            <w:r>
              <w:rPr>
                <w:rFonts w:hint="eastAsia"/>
                <w:color w:val="auto"/>
                <w:highlight w:val="none"/>
                <w:vertAlign w:val="baseline"/>
                <w:lang w:val="en-US" w:eastAsia="zh-CN"/>
              </w:rPr>
              <w:t>23</w:t>
            </w:r>
          </w:p>
          <w:p w14:paraId="73EF180C">
            <w:pPr>
              <w:jc w:val="center"/>
              <w:rPr>
                <w:rFonts w:hint="default"/>
                <w:color w:val="auto"/>
                <w:highlight w:val="none"/>
                <w:vertAlign w:val="baseline"/>
                <w:lang w:val="en-US" w:eastAsia="zh-CN"/>
              </w:rPr>
            </w:pPr>
            <w:r>
              <w:rPr>
                <w:rFonts w:hint="eastAsia"/>
                <w:color w:val="auto"/>
                <w:highlight w:val="none"/>
                <w:vertAlign w:val="baseline"/>
                <w:lang w:val="en-US" w:eastAsia="zh-CN"/>
              </w:rPr>
              <w:t>分</w:t>
            </w:r>
          </w:p>
        </w:tc>
        <w:tc>
          <w:tcPr>
            <w:tcW w:w="3045" w:type="dxa"/>
            <w:noWrap w:val="0"/>
            <w:vAlign w:val="center"/>
          </w:tcPr>
          <w:p w14:paraId="57B78600">
            <w:pPr>
              <w:jc w:val="left"/>
              <w:rPr>
                <w:rFonts w:hint="default"/>
                <w:color w:val="auto"/>
                <w:highlight w:val="none"/>
                <w:vertAlign w:val="baseline"/>
                <w:lang w:val="en-US" w:eastAsia="zh-CN"/>
              </w:rPr>
            </w:pPr>
            <w:r>
              <w:rPr>
                <w:rFonts w:hint="eastAsia"/>
                <w:color w:val="auto"/>
                <w:highlight w:val="none"/>
                <w:vertAlign w:val="baseline"/>
                <w:lang w:val="en-US" w:eastAsia="zh-CN"/>
              </w:rPr>
              <w:t>加药记录、运行记录完整</w:t>
            </w:r>
          </w:p>
        </w:tc>
        <w:tc>
          <w:tcPr>
            <w:tcW w:w="930" w:type="dxa"/>
            <w:noWrap w:val="0"/>
            <w:vAlign w:val="center"/>
          </w:tcPr>
          <w:p w14:paraId="16A42448">
            <w:pPr>
              <w:jc w:val="center"/>
              <w:rPr>
                <w:rFonts w:hint="default"/>
                <w:color w:val="auto"/>
                <w:highlight w:val="none"/>
                <w:vertAlign w:val="baseline"/>
                <w:lang w:val="en-US" w:eastAsia="zh-CN"/>
              </w:rPr>
            </w:pPr>
            <w:r>
              <w:rPr>
                <w:rFonts w:hint="eastAsia"/>
                <w:color w:val="auto"/>
                <w:highlight w:val="none"/>
                <w:vertAlign w:val="baseline"/>
                <w:lang w:val="en-US" w:eastAsia="zh-CN"/>
              </w:rPr>
              <w:t>10</w:t>
            </w:r>
          </w:p>
        </w:tc>
        <w:tc>
          <w:tcPr>
            <w:tcW w:w="1110" w:type="dxa"/>
            <w:noWrap w:val="0"/>
            <w:vAlign w:val="center"/>
          </w:tcPr>
          <w:p w14:paraId="2C0EB5DC">
            <w:pPr>
              <w:jc w:val="center"/>
              <w:rPr>
                <w:rFonts w:hint="default"/>
                <w:color w:val="auto"/>
                <w:highlight w:val="none"/>
                <w:vertAlign w:val="baseline"/>
                <w:lang w:val="en-US" w:eastAsia="zh-CN"/>
              </w:rPr>
            </w:pPr>
          </w:p>
        </w:tc>
        <w:tc>
          <w:tcPr>
            <w:tcW w:w="1605" w:type="dxa"/>
            <w:noWrap w:val="0"/>
            <w:vAlign w:val="center"/>
          </w:tcPr>
          <w:p w14:paraId="0CA6EBAA">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每处扣0.5分</w:t>
            </w:r>
          </w:p>
        </w:tc>
        <w:tc>
          <w:tcPr>
            <w:tcW w:w="991" w:type="dxa"/>
            <w:noWrap w:val="0"/>
            <w:vAlign w:val="center"/>
          </w:tcPr>
          <w:p w14:paraId="66C1ACBC">
            <w:pPr>
              <w:jc w:val="center"/>
              <w:rPr>
                <w:rFonts w:hint="default"/>
                <w:color w:val="auto"/>
                <w:highlight w:val="none"/>
                <w:vertAlign w:val="baseline"/>
                <w:lang w:val="en-US" w:eastAsia="zh-CN"/>
              </w:rPr>
            </w:pPr>
          </w:p>
        </w:tc>
      </w:tr>
      <w:tr w14:paraId="54166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082B332E">
            <w:pPr>
              <w:jc w:val="center"/>
              <w:rPr>
                <w:rFonts w:hint="default"/>
                <w:color w:val="auto"/>
                <w:highlight w:val="none"/>
                <w:vertAlign w:val="baseline"/>
                <w:lang w:val="en-US" w:eastAsia="zh-CN"/>
              </w:rPr>
            </w:pPr>
          </w:p>
        </w:tc>
        <w:tc>
          <w:tcPr>
            <w:tcW w:w="3045" w:type="dxa"/>
            <w:noWrap w:val="0"/>
            <w:vAlign w:val="center"/>
          </w:tcPr>
          <w:p w14:paraId="216C451D">
            <w:pPr>
              <w:jc w:val="left"/>
              <w:rPr>
                <w:rFonts w:hint="default"/>
                <w:color w:val="auto"/>
                <w:highlight w:val="none"/>
                <w:vertAlign w:val="baseline"/>
                <w:lang w:val="en-US" w:eastAsia="zh-CN"/>
              </w:rPr>
            </w:pPr>
            <w:r>
              <w:rPr>
                <w:rFonts w:hint="eastAsia"/>
                <w:color w:val="auto"/>
                <w:highlight w:val="none"/>
                <w:vertAlign w:val="baseline"/>
                <w:lang w:val="en-US" w:eastAsia="zh-CN"/>
              </w:rPr>
              <w:t>每日水质化验记录</w:t>
            </w:r>
          </w:p>
        </w:tc>
        <w:tc>
          <w:tcPr>
            <w:tcW w:w="930" w:type="dxa"/>
            <w:noWrap w:val="0"/>
            <w:vAlign w:val="center"/>
          </w:tcPr>
          <w:p w14:paraId="3C2C3F6C">
            <w:pPr>
              <w:jc w:val="center"/>
              <w:rPr>
                <w:rFonts w:hint="default"/>
                <w:color w:val="auto"/>
                <w:highlight w:val="none"/>
                <w:vertAlign w:val="baseline"/>
                <w:lang w:val="en-US" w:eastAsia="zh-CN"/>
              </w:rPr>
            </w:pPr>
            <w:r>
              <w:rPr>
                <w:rFonts w:hint="eastAsia"/>
                <w:color w:val="auto"/>
                <w:highlight w:val="none"/>
                <w:vertAlign w:val="baseline"/>
                <w:lang w:val="en-US" w:eastAsia="zh-CN"/>
              </w:rPr>
              <w:t>5</w:t>
            </w:r>
          </w:p>
        </w:tc>
        <w:tc>
          <w:tcPr>
            <w:tcW w:w="1110" w:type="dxa"/>
            <w:noWrap w:val="0"/>
            <w:vAlign w:val="center"/>
          </w:tcPr>
          <w:p w14:paraId="18846146">
            <w:pPr>
              <w:jc w:val="center"/>
              <w:rPr>
                <w:rFonts w:hint="default"/>
                <w:color w:val="auto"/>
                <w:highlight w:val="none"/>
                <w:vertAlign w:val="baseline"/>
                <w:lang w:val="en-US" w:eastAsia="zh-CN"/>
              </w:rPr>
            </w:pPr>
          </w:p>
        </w:tc>
        <w:tc>
          <w:tcPr>
            <w:tcW w:w="1605" w:type="dxa"/>
            <w:noWrap w:val="0"/>
            <w:vAlign w:val="center"/>
          </w:tcPr>
          <w:p w14:paraId="76ED8E45">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每处扣1分</w:t>
            </w:r>
          </w:p>
        </w:tc>
        <w:tc>
          <w:tcPr>
            <w:tcW w:w="991" w:type="dxa"/>
            <w:noWrap w:val="0"/>
            <w:vAlign w:val="center"/>
          </w:tcPr>
          <w:p w14:paraId="7269DC71">
            <w:pPr>
              <w:jc w:val="center"/>
              <w:rPr>
                <w:rFonts w:hint="default"/>
                <w:color w:val="auto"/>
                <w:highlight w:val="none"/>
                <w:vertAlign w:val="baseline"/>
                <w:lang w:val="en-US" w:eastAsia="zh-CN"/>
              </w:rPr>
            </w:pPr>
          </w:p>
        </w:tc>
      </w:tr>
      <w:tr w14:paraId="340F8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dxa"/>
            <w:vMerge w:val="continue"/>
            <w:noWrap w:val="0"/>
            <w:vAlign w:val="center"/>
          </w:tcPr>
          <w:p w14:paraId="7E9F0245">
            <w:pPr>
              <w:jc w:val="center"/>
              <w:rPr>
                <w:rFonts w:hint="default"/>
                <w:color w:val="auto"/>
                <w:highlight w:val="none"/>
                <w:vertAlign w:val="baseline"/>
                <w:lang w:val="en-US" w:eastAsia="zh-CN"/>
              </w:rPr>
            </w:pPr>
          </w:p>
        </w:tc>
        <w:tc>
          <w:tcPr>
            <w:tcW w:w="3045" w:type="dxa"/>
            <w:noWrap w:val="0"/>
            <w:vAlign w:val="center"/>
          </w:tcPr>
          <w:p w14:paraId="0DBF9E06">
            <w:pPr>
              <w:jc w:val="left"/>
              <w:rPr>
                <w:rFonts w:hint="default"/>
                <w:color w:val="auto"/>
                <w:highlight w:val="none"/>
                <w:vertAlign w:val="baseline"/>
                <w:lang w:val="en-US" w:eastAsia="zh-CN"/>
              </w:rPr>
            </w:pPr>
            <w:r>
              <w:rPr>
                <w:rFonts w:hint="eastAsia"/>
                <w:color w:val="auto"/>
                <w:highlight w:val="none"/>
                <w:vertAlign w:val="baseline"/>
                <w:lang w:val="en-US" w:eastAsia="zh-CN"/>
              </w:rPr>
              <w:t>维修保养、故障报修、记录完整、清晰</w:t>
            </w:r>
          </w:p>
        </w:tc>
        <w:tc>
          <w:tcPr>
            <w:tcW w:w="930" w:type="dxa"/>
            <w:noWrap w:val="0"/>
            <w:vAlign w:val="center"/>
          </w:tcPr>
          <w:p w14:paraId="198D5793">
            <w:pPr>
              <w:jc w:val="center"/>
              <w:rPr>
                <w:rFonts w:hint="default"/>
                <w:color w:val="auto"/>
                <w:highlight w:val="none"/>
                <w:vertAlign w:val="baseline"/>
                <w:lang w:val="en-US" w:eastAsia="zh-CN"/>
              </w:rPr>
            </w:pPr>
            <w:r>
              <w:rPr>
                <w:rFonts w:hint="eastAsia"/>
                <w:color w:val="auto"/>
                <w:highlight w:val="none"/>
                <w:vertAlign w:val="baseline"/>
                <w:lang w:val="en-US" w:eastAsia="zh-CN"/>
              </w:rPr>
              <w:t>8</w:t>
            </w:r>
          </w:p>
        </w:tc>
        <w:tc>
          <w:tcPr>
            <w:tcW w:w="1110" w:type="dxa"/>
            <w:noWrap w:val="0"/>
            <w:vAlign w:val="center"/>
          </w:tcPr>
          <w:p w14:paraId="3FC149E2">
            <w:pPr>
              <w:jc w:val="center"/>
              <w:rPr>
                <w:rFonts w:hint="default"/>
                <w:color w:val="auto"/>
                <w:highlight w:val="none"/>
                <w:vertAlign w:val="baseline"/>
                <w:lang w:val="en-US" w:eastAsia="zh-CN"/>
              </w:rPr>
            </w:pPr>
          </w:p>
        </w:tc>
        <w:tc>
          <w:tcPr>
            <w:tcW w:w="1605" w:type="dxa"/>
            <w:noWrap w:val="0"/>
            <w:vAlign w:val="center"/>
          </w:tcPr>
          <w:p w14:paraId="69E6772A">
            <w:pPr>
              <w:jc w:val="center"/>
              <w:rPr>
                <w:rFonts w:hint="default"/>
                <w:color w:val="auto"/>
                <w:highlight w:val="none"/>
                <w:vertAlign w:val="baseline"/>
                <w:lang w:val="en-US" w:eastAsia="zh-CN"/>
              </w:rPr>
            </w:pPr>
            <w:r>
              <w:rPr>
                <w:rFonts w:hint="eastAsia"/>
                <w:color w:val="auto"/>
                <w:highlight w:val="none"/>
                <w:vertAlign w:val="baseline"/>
                <w:lang w:val="en-US" w:eastAsia="zh-CN"/>
              </w:rPr>
              <w:t>每处扣1分</w:t>
            </w:r>
          </w:p>
        </w:tc>
        <w:tc>
          <w:tcPr>
            <w:tcW w:w="991" w:type="dxa"/>
            <w:noWrap w:val="0"/>
            <w:vAlign w:val="center"/>
          </w:tcPr>
          <w:p w14:paraId="64879CDB">
            <w:pPr>
              <w:jc w:val="center"/>
              <w:rPr>
                <w:rFonts w:hint="default"/>
                <w:color w:val="auto"/>
                <w:highlight w:val="none"/>
                <w:vertAlign w:val="baseline"/>
                <w:lang w:val="en-US" w:eastAsia="zh-CN"/>
              </w:rPr>
            </w:pPr>
          </w:p>
        </w:tc>
      </w:tr>
    </w:tbl>
    <w:p w14:paraId="5813E1FA">
      <w:pPr>
        <w:rPr>
          <w:rFonts w:hint="eastAsia"/>
          <w:color w:val="auto"/>
          <w:highlight w:val="none"/>
          <w:lang w:val="en-US" w:eastAsia="zh-CN"/>
        </w:rPr>
      </w:pPr>
    </w:p>
    <w:p w14:paraId="7564A5DE">
      <w:pPr>
        <w:tabs>
          <w:tab w:val="left" w:pos="420"/>
        </w:tabs>
        <w:spacing w:line="360" w:lineRule="auto"/>
        <w:ind w:firstLine="420" w:firstLineChars="200"/>
        <w:rPr>
          <w:highlight w:val="none"/>
        </w:rPr>
      </w:pPr>
      <w:r>
        <w:rPr>
          <w:rFonts w:hint="eastAsia"/>
          <w:color w:val="auto"/>
          <w:highlight w:val="none"/>
          <w:lang w:val="en-US" w:eastAsia="zh-CN"/>
        </w:rPr>
        <w:t>考核人：                                         考核时间：</w:t>
      </w: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63EC">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806CF">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815A4">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18E07">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B0D2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8D798F"/>
    <w:multiLevelType w:val="singleLevel"/>
    <w:tmpl w:val="958D798F"/>
    <w:lvl w:ilvl="0" w:tentative="0">
      <w:start w:val="2"/>
      <w:numFmt w:val="decimal"/>
      <w:suff w:val="nothing"/>
      <w:lvlText w:val="%1、"/>
      <w:lvlJc w:val="left"/>
    </w:lvl>
  </w:abstractNum>
  <w:abstractNum w:abstractNumId="1">
    <w:nsid w:val="5D7DFFB6"/>
    <w:multiLevelType w:val="singleLevel"/>
    <w:tmpl w:val="5D7DFFB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4589426B"/>
    <w:rsid w:val="01A21472"/>
    <w:rsid w:val="4589426B"/>
    <w:rsid w:val="5F8E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ind w:firstLine="420"/>
      <w:jc w:val="left"/>
    </w:pPr>
    <w:rPr>
      <w:rFonts w:ascii="宋体"/>
      <w:kern w:val="0"/>
      <w:sz w:val="24"/>
      <w:szCs w:val="20"/>
    </w:rPr>
  </w:style>
  <w:style w:type="paragraph" w:styleId="3">
    <w:name w:val="Body Text First Indent 2"/>
    <w:basedOn w:val="4"/>
    <w:next w:val="2"/>
    <w:qFormat/>
    <w:uiPriority w:val="0"/>
    <w:pPr>
      <w:spacing w:after="120" w:line="240" w:lineRule="auto"/>
      <w:ind w:left="420" w:leftChars="200" w:firstLine="420"/>
    </w:pPr>
    <w:rPr>
      <w:rFonts w:ascii="Calibri" w:hAnsi="Calibri"/>
      <w:kern w:val="2"/>
      <w:sz w:val="21"/>
    </w:rPr>
  </w:style>
  <w:style w:type="paragraph" w:styleId="4">
    <w:name w:val="Body Text Indent"/>
    <w:basedOn w:val="1"/>
    <w:next w:val="1"/>
    <w:qFormat/>
    <w:uiPriority w:val="0"/>
    <w:pPr>
      <w:spacing w:line="360" w:lineRule="auto"/>
      <w:ind w:firstLine="570"/>
    </w:pPr>
    <w:rPr>
      <w:sz w:val="24"/>
    </w:rPr>
  </w:style>
  <w:style w:type="paragraph" w:styleId="5">
    <w:name w:val="Body Text"/>
    <w:basedOn w:val="1"/>
    <w:next w:val="1"/>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8362</Words>
  <Characters>8504</Characters>
  <Lines>0</Lines>
  <Paragraphs>0</Paragraphs>
  <TotalTime>0</TotalTime>
  <ScaleCrop>false</ScaleCrop>
  <LinksUpToDate>false</LinksUpToDate>
  <CharactersWithSpaces>9040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2024-04-23T12:31:00Z</dcterms:created>
  <dc:creator>WPS_1526284077</dc:creator>
  <cp:lastModifiedBy>WPS_1526284077</cp:lastModifiedBy>
  <dcterms:modified xsi:type="dcterms:W3CDTF">2024-09-04T09:05:39Z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93C4C8768C5B4CDF9264945EA26DDBA9_11</vt:lpwstr>
  </property>
</Properties>
</file>