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基础实施运维服务项目方案编制项目</w:t>
      </w:r>
    </w:p>
    <w:p>
      <w:pPr>
        <w:pStyle w:val="null3"/>
        <w:jc w:val="center"/>
        <w:outlineLvl w:val="2"/>
      </w:pPr>
      <w:r>
        <w:rPr>
          <w:b/>
          <w:sz w:val="28"/>
        </w:rPr>
        <w:t>采购项目编号：</w:t>
      </w:r>
      <w:r>
        <w:rPr>
          <w:b/>
          <w:sz w:val="28"/>
        </w:rPr>
        <w:t>SZT2024-SN-SC-ZC-FW-0350</w:t>
      </w:r>
      <w:r>
        <w:br/>
      </w:r>
      <w:r>
        <w:br/>
      </w:r>
      <w:r>
        <w:br/>
      </w:r>
    </w:p>
    <w:p>
      <w:pPr>
        <w:pStyle w:val="null3"/>
        <w:jc w:val="center"/>
        <w:outlineLvl w:val="2"/>
      </w:pPr>
      <w:r>
        <w:rPr>
          <w:b/>
          <w:sz w:val="28"/>
        </w:rPr>
        <w:t>陕西省政务大数据服务中心</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2024年04月24日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陕西省政务大数据服务中心</w:t>
      </w:r>
      <w:r>
        <w:rPr/>
        <w:t>委托，拟对</w:t>
      </w:r>
      <w:r>
        <w:rPr/>
        <w:t>基础实施运维服务项目方案编制项目</w:t>
      </w:r>
      <w:r>
        <w:rPr/>
        <w:t>进行国内公开招标，兹邀请符合本次招标要求的供应商参加投标。</w:t>
      </w:r>
    </w:p>
    <w:p>
      <w:pPr>
        <w:pStyle w:val="null3"/>
        <w:outlineLvl w:val="2"/>
      </w:pPr>
      <w:r>
        <w:rPr>
          <w:b/>
          <w:sz w:val="28"/>
        </w:rPr>
        <w:t>一、采购项目编号：</w:t>
      </w:r>
      <w:r>
        <w:rPr>
          <w:b/>
          <w:sz w:val="28"/>
        </w:rPr>
        <w:t>SZT2024-SN-SC-ZC-FW-0350</w:t>
      </w:r>
    </w:p>
    <w:p>
      <w:pPr>
        <w:pStyle w:val="null3"/>
        <w:outlineLvl w:val="2"/>
      </w:pPr>
      <w:r>
        <w:rPr>
          <w:b/>
          <w:sz w:val="28"/>
        </w:rPr>
        <w:t>二、采购项目名称：</w:t>
      </w:r>
      <w:r>
        <w:rPr>
          <w:b/>
          <w:sz w:val="28"/>
        </w:rPr>
        <w:t>基础实施运维服务项目方案编制项目</w:t>
      </w:r>
    </w:p>
    <w:p>
      <w:pPr>
        <w:pStyle w:val="null3"/>
        <w:outlineLvl w:val="2"/>
      </w:pPr>
      <w:r>
        <w:rPr>
          <w:b/>
          <w:sz w:val="28"/>
        </w:rPr>
        <w:t>三、招标项目简介</w:t>
      </w:r>
    </w:p>
    <w:p>
      <w:pPr>
        <w:pStyle w:val="null3"/>
        <w:ind w:firstLine="480"/>
      </w:pPr>
      <w:r>
        <w:rPr/>
        <w:t>基础实施运维服务项目方案编制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陕西省政务大数据服务中心</w:t>
      </w:r>
    </w:p>
    <w:p>
      <w:pPr>
        <w:pStyle w:val="null3"/>
      </w:pPr>
      <w:r>
        <w:rPr/>
        <w:t xml:space="preserve"> 地址： </w:t>
      </w:r>
      <w:r>
        <w:rPr/>
        <w:t>西安市新城区新城大院</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029-63912526</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开户银行：中国银行团结南路支行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采购代理服务费的收取参见国家计委颁布的《招标代理服务费收费管理暂行办法》（计价格[2002]1980号）中服务的收费标准，按照预算金额差额定率累进法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陕西省政务大数据服务中心</w:t>
      </w:r>
      <w:r>
        <w:rPr/>
        <w:t>和</w:t>
      </w:r>
      <w:r>
        <w:rPr/>
        <w:t>陕西中技招标有限公司</w:t>
      </w:r>
      <w:r>
        <w:rPr/>
        <w:t>享有。对招标文件中供应商参加本次政府采购活动应当具备的条件，招标项目技术、服务、商务及其他要求，评标细则及标准由</w:t>
      </w:r>
      <w:r>
        <w:rPr/>
        <w:t>陕西省政务大数据服务中心</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陕西省政务大数据服务中心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基础实施运维服务项目方案编制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255,000.00</w:t>
      </w:r>
    </w:p>
    <w:p>
      <w:pPr>
        <w:pStyle w:val="null3"/>
      </w:pPr>
      <w:r>
        <w:rPr/>
        <w:t>采购包最高限价（元）: 255,000.00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方案编制</w:t>
            </w:r>
          </w:p>
        </w:tc>
        <w:tc>
          <w:tcPr>
            <w:tcW w:type="dxa" w:w="831"/>
          </w:tcPr>
          <w:p>
            <w:pPr>
              <w:pStyle w:val="null3"/>
              <w:jc w:val="right"/>
            </w:pPr>
            <w:r>
              <w:rPr/>
              <w:t>1.00</w:t>
            </w:r>
          </w:p>
        </w:tc>
        <w:tc>
          <w:tcPr>
            <w:tcW w:type="dxa" w:w="831"/>
          </w:tcPr>
          <w:p>
            <w:pPr>
              <w:pStyle w:val="null3"/>
              <w:jc w:val="right"/>
            </w:pPr>
            <w:r>
              <w:rPr/>
              <w:t>255,000.00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一、采购项目名称：陕西省政务大数据服务中心基础设施运维服务项目实施方案</w:t>
            </w:r>
          </w:p>
          <w:p>
            <w:pPr>
              <w:pStyle w:val="null3"/>
            </w:pPr>
            <w:r>
              <w:rPr/>
              <w:t>二、采购项目概况：</w:t>
            </w:r>
          </w:p>
          <w:p>
            <w:pPr>
              <w:pStyle w:val="null3"/>
            </w:pPr>
            <w:r>
              <w:rPr/>
              <w:t>1.项目背景</w:t>
            </w:r>
          </w:p>
          <w:p>
            <w:pPr>
              <w:pStyle w:val="null3"/>
            </w:pPr>
            <w:r>
              <w:rPr/>
              <w:t xml:space="preserve">       加强数字政府建设是适应新一轮科技革命和产业变革趋势、引领驱动数字经济发展和数字社会建设、营造良好数字生态、加快数字化发展的必然要求，是建设网络强国、数字中国的基础性和先导性工程，是创新政府治理理念和方式、形成数字治理新格局、推进国家治理体系和治理能力现代化的重要举措，对加快转变政府职能，建设法治政府、廉洁政府和服务型政府意义重大。</w:t>
            </w:r>
          </w:p>
          <w:p>
            <w:pPr>
              <w:pStyle w:val="null3"/>
            </w:pPr>
            <w:r>
              <w:rPr/>
              <w:t xml:space="preserve">       2021年10月27日《陕西省数字政府建设“十四五”规划》印发，到2025年底全面建立纵向贯通、横向协同、覆盖全省的数字政府体系，大数据、云计算、人工智能等数字技术广泛应用于政府决策和管理服务，基本实现政令一键到达、执行一贯到底、服务一网通办、监督一屏掌控，使我省数字政府建设迈入全国先进行列。</w:t>
            </w:r>
          </w:p>
          <w:p>
            <w:pPr>
              <w:pStyle w:val="null3"/>
            </w:pPr>
            <w:r>
              <w:rPr/>
              <w:t xml:space="preserve">         陕西省数字政府的有序运行离不开政务大数据基础设施的稳定、安全、高效运行，政务大数据基础设施运维是保障数字政府有序运行的必要措施，是提高省级数字政府服务质量的有效途径，是提高省级各部门服务满意度及人民群众满意度的重要支撑。</w:t>
            </w:r>
          </w:p>
          <w:p>
            <w:pPr>
              <w:pStyle w:val="null3"/>
            </w:pPr>
            <w:r>
              <w:rPr/>
              <w:t>2.项目目标</w:t>
            </w:r>
          </w:p>
          <w:p>
            <w:pPr>
              <w:pStyle w:val="null3"/>
            </w:pPr>
            <w:r>
              <w:rPr/>
              <w:t xml:space="preserve"> 1.政务系统稳定运行目标</w:t>
            </w:r>
          </w:p>
          <w:p>
            <w:pPr>
              <w:pStyle w:val="null3"/>
            </w:pPr>
            <w:r>
              <w:rPr/>
              <w:t xml:space="preserve">      本项目旨在落实《陕西省数字政府建设“十四五”规划》运维保障相关要求，为陕西省数字政府运行管理提供日常运维技术支撑和专业化服务，保障省级政务信息化系统稳定运行，打造统一运行管理中心奠定坚实基础。</w:t>
            </w:r>
          </w:p>
          <w:p>
            <w:pPr>
              <w:pStyle w:val="null3"/>
            </w:pPr>
            <w:r>
              <w:rPr/>
              <w:t>2.政务设施支撑满意度目标</w:t>
            </w:r>
          </w:p>
          <w:p>
            <w:pPr>
              <w:pStyle w:val="null3"/>
            </w:pPr>
            <w:r>
              <w:rPr/>
              <w:t xml:space="preserve">      通过采购基础设施统一运维服务，强化我省数字政府基础设施运维能力，“以流程为导向，以服务为核心”，保障数字政府建设和运维工作稳步发展，实现集约化运维和统一管理，最终提升省级政务云平台服务满意度。</w:t>
            </w:r>
          </w:p>
          <w:p>
            <w:pPr>
              <w:pStyle w:val="null3"/>
            </w:pPr>
            <w:r>
              <w:rPr/>
              <w:t xml:space="preserve">   3.政务保障可靠性目标</w:t>
            </w:r>
          </w:p>
          <w:p>
            <w:pPr>
              <w:pStyle w:val="null3"/>
            </w:pPr>
            <w:r>
              <w:rPr/>
              <w:t xml:space="preserve">       本项目总体目标旨在全面落实陕西省“数字政府”基础设施运行保障相关要求，从实际运维需求出发，为陕西省“数字政府”政务网络、政务云、业务应用等提供统一的运维技术支撑和专业化驻场服务，统一管理、统一运维、统一要求，7*24小时技术响应，确保各运维项目可靠性全年正常运行时间（小时）占比不低于99.99%，响应及时率达到100%，为我省构建陕西省数字政府统一的运行维护管理中心夯实基础。</w:t>
            </w:r>
          </w:p>
          <w:p>
            <w:pPr>
              <w:pStyle w:val="null3"/>
            </w:pPr>
            <w:r>
              <w:rPr/>
              <w:t>3.服务范围</w:t>
            </w:r>
          </w:p>
          <w:p>
            <w:pPr>
              <w:pStyle w:val="null3"/>
            </w:pPr>
            <w:r>
              <w:rPr/>
              <w:t xml:space="preserve">     设计方案内容服务范围涵盖服务内容包括对11号楼数据中心、省政府政务值班平台、省政府及省政府办公厅视频会议系统等常态化运维服务和资产盘点贴标（原陕西省电子政务综合服务中心项目涉及资产）、省政府总值班室视频会议网络迁移、省政府其他综合运维、网络安全等级保护测评及密码应用安全性密评服务等专项服务，主要包括7*24小时驻场服务、监控、巡检、备份、安全运维、故障响应处理、技术支持、运维情况周月分析及汇报等。</w:t>
            </w:r>
          </w:p>
          <w:p>
            <w:pPr>
              <w:pStyle w:val="null3"/>
            </w:pPr>
            <w:r>
              <w:rPr/>
              <w:t>三、服务内容及交付成果</w:t>
            </w:r>
          </w:p>
          <w:p>
            <w:pPr>
              <w:pStyle w:val="null3"/>
            </w:pPr>
            <w:r>
              <w:rPr/>
              <w:t>1.服务内容</w:t>
            </w:r>
          </w:p>
          <w:p>
            <w:pPr>
              <w:pStyle w:val="null3"/>
            </w:pPr>
            <w:r>
              <w:rPr/>
              <w:t xml:space="preserve">    按照省级政务信息化项目管理相关办法及规范，结合陕西省大数据服务中心实际需求，编制完成《陕西省政务大数据服务中心基础设施运维服务项目实施方案》，为项目顺利实施奠定基础。主要服务内容包括：</w:t>
            </w:r>
          </w:p>
          <w:p>
            <w:pPr>
              <w:pStyle w:val="null3"/>
            </w:pPr>
            <w:r>
              <w:rPr/>
              <w:t xml:space="preserve">  （1）完成项目需求分析，包括11号楼数据中心运维需求、资产盘点贴标专项服务需求、陕西省政府政务值班平台运维需求、省政府总值班室视频会议系统网络迁移需求、省政府及省政府办公厅视频会议系统运维需求省政府其他综合运维需求、网络安全等级保护及密码测评需求分析；</w:t>
            </w:r>
          </w:p>
          <w:p>
            <w:pPr>
              <w:pStyle w:val="null3"/>
            </w:pPr>
            <w:r>
              <w:rPr/>
              <w:t>（2）完成项目总体建设方案设计，提出项服务目标与服务内容，完成运维服务方案、项目相关管理、服务考核、运维管理制度和流程、应急保障机制方案、安全保障方案等设计方案；</w:t>
            </w:r>
          </w:p>
          <w:p>
            <w:pPr>
              <w:pStyle w:val="null3"/>
            </w:pPr>
            <w:r>
              <w:rPr/>
              <w:t>（3）完成项目总投资概算及分项投资概算编制；</w:t>
            </w:r>
          </w:p>
          <w:p>
            <w:pPr>
              <w:pStyle w:val="null3"/>
            </w:pPr>
            <w:r>
              <w:rPr/>
              <w:t>（4）完成项目实施方案编制和评审汇报材料的撰写，并根据评审意见修改完善；</w:t>
            </w:r>
          </w:p>
          <w:p>
            <w:pPr>
              <w:pStyle w:val="null3"/>
            </w:pPr>
            <w:r>
              <w:rPr/>
              <w:t>（5）协助完成项目申请和审批相关程序需要的有关材料。</w:t>
            </w:r>
          </w:p>
          <w:p>
            <w:pPr>
              <w:pStyle w:val="null3"/>
            </w:pPr>
            <w:r>
              <w:rPr/>
              <w:t>2.交付成果</w:t>
            </w:r>
          </w:p>
          <w:p>
            <w:pPr>
              <w:pStyle w:val="null3"/>
            </w:pPr>
            <w:r>
              <w:rPr/>
              <w:t xml:space="preserve">   《陕西省政务大数据服务中心基础设施运维服务项目实施方案》</w:t>
            </w:r>
          </w:p>
        </w:tc>
      </w:tr>
    </w:tbl>
    <w:p>
      <w:pPr>
        <w:pStyle w:val="null3"/>
        <w:outlineLvl w:val="3"/>
      </w:pPr>
      <w:r>
        <w:rPr>
          <w:b/>
          <w:sz w:val="24"/>
        </w:rPr>
        <w:t>3.2.3人员配置要求</w:t>
      </w:r>
    </w:p>
    <w:p>
      <w:pPr>
        <w:pStyle w:val="null3"/>
      </w:pPr>
      <w:r>
        <w:rPr/>
        <w:t>采购包1：</w:t>
      </w:r>
    </w:p>
    <w:p>
      <w:pPr>
        <w:pStyle w:val="null3"/>
      </w:pPr>
      <w:r>
        <w:rPr/>
        <w:t>详见采购内容及要求。</w:t>
      </w:r>
    </w:p>
    <w:p>
      <w:pPr>
        <w:pStyle w:val="null3"/>
        <w:outlineLvl w:val="3"/>
      </w:pPr>
      <w:r>
        <w:rPr>
          <w:b/>
          <w:sz w:val="24"/>
        </w:rPr>
        <w:t>3.2.4设施设备配置要求</w:t>
      </w:r>
    </w:p>
    <w:p>
      <w:pPr>
        <w:pStyle w:val="null3"/>
      </w:pPr>
      <w:r>
        <w:rPr/>
        <w:t>采购包1：</w:t>
      </w:r>
    </w:p>
    <w:p>
      <w:pPr>
        <w:pStyle w:val="null3"/>
      </w:pPr>
      <w:r>
        <w:rPr/>
        <w:t>详见采购内容及要求。</w:t>
      </w:r>
    </w:p>
    <w:p>
      <w:pPr>
        <w:pStyle w:val="null3"/>
        <w:outlineLvl w:val="3"/>
      </w:pPr>
      <w:r>
        <w:rPr>
          <w:b/>
          <w:sz w:val="24"/>
        </w:rPr>
        <w:t>3.2.5其他要求</w:t>
      </w:r>
    </w:p>
    <w:p>
      <w:pPr>
        <w:pStyle w:val="null3"/>
      </w:pPr>
      <w:r>
        <w:rPr/>
        <w:t>采购包1：</w:t>
      </w:r>
    </w:p>
    <w:p>
      <w:pPr>
        <w:pStyle w:val="null3"/>
      </w:pPr>
      <w:r>
        <w:rPr/>
        <w:t>详见采购内容及要求。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合同签订后30日内</w:t>
      </w:r>
    </w:p>
    <w:p>
      <w:pPr>
        <w:pStyle w:val="null3"/>
        <w:outlineLvl w:val="3"/>
      </w:pPr>
      <w:r>
        <w:rPr>
          <w:b/>
          <w:sz w:val="24"/>
        </w:rPr>
        <w:t>3.3.2服务地点</w:t>
      </w:r>
    </w:p>
    <w:p>
      <w:pPr>
        <w:pStyle w:val="null3"/>
      </w:pPr>
      <w:r>
        <w:rPr/>
        <w:t>采购包1：</w:t>
      </w:r>
    </w:p>
    <w:p>
      <w:pPr>
        <w:pStyle w:val="null3"/>
      </w:pPr>
      <w:r>
        <w:rPr/>
        <w:t>陕西省政务大数据服务中心</w:t>
      </w:r>
    </w:p>
    <w:p>
      <w:pPr>
        <w:pStyle w:val="null3"/>
        <w:outlineLvl w:val="3"/>
      </w:pPr>
      <w:r>
        <w:rPr>
          <w:b/>
          <w:sz w:val="24"/>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验收合格后支付合同总额的100％</w:t>
      </w:r>
      <w:r>
        <w:rPr/>
        <w:t xml:space="preserve"> ，达到付款条件起 </w:t>
      </w:r>
      <w:r>
        <w:rPr/>
        <w:t>7</w:t>
      </w:r>
      <w:r>
        <w:rPr/>
        <w:t xml:space="preserve"> 日内，支付合同总金额的 </w:t>
      </w:r>
      <w:r>
        <w:rPr/>
        <w:t>100.00</w:t>
      </w:r>
      <w:r>
        <w:rPr/>
        <w:t>%。</w:t>
      </w:r>
    </w:p>
    <w:p>
      <w:pPr>
        <w:pStyle w:val="null3"/>
        <w:outlineLvl w:val="3"/>
      </w:pPr>
      <w:r>
        <w:rPr>
          <w:b/>
          <w:sz w:val="24"/>
        </w:rPr>
        <w:t>3.3.6违约责任与解决争议的方法</w:t>
      </w:r>
    </w:p>
    <w:p>
      <w:pPr>
        <w:pStyle w:val="null3"/>
      </w:pPr>
      <w:r>
        <w:rPr/>
        <w:t>采购包1：</w:t>
      </w:r>
    </w:p>
    <w:p>
      <w:pPr>
        <w:pStyle w:val="null3"/>
      </w:pPr>
      <w:r>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资格响应表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开标一览表及分项报价表 标的清单</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合同签订后30日内</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验收合格后支付合同总额的100％。</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1、充分理解本项目服务需求对项目现状和整体认知的理解，思路清晰明确得6分；2、理解方案完整、规范、基本可行，方案有少数缺陷得4分；3、方案内容有多数缺陷，表述前后不一致、套用其他项目方案或与项目需求匹配性差得2分；4、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提供项目整体服务方案。方案内容至少包括:1、项目服务目标与服务内容；2、运维管理制度和流程；3、编制方案的设计思路、可操作性；4、运维服务方案科学性、可行性；5、项目相关管理、服务考核的科学性、可行性等。 方案所涉及的服务方案周密健全完善，项目工作成果科学严谨，项目服务全流程具体可行，运作流程流畅，能有效保障本项目实施得15分，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进度要求</w:t>
            </w:r>
          </w:p>
        </w:tc>
        <w:tc>
          <w:tcPr>
            <w:tcW w:type="dxa" w:w="2492"/>
          </w:tcPr>
          <w:p>
            <w:pPr>
              <w:pStyle w:val="null3"/>
            </w:pPr>
            <w:r>
              <w:rPr/>
              <w:t>供应商提供针对本项目不同阶段工作的进度要求，提供进度计划，计划内容至少包括：1、时间节点控制；2、资源配置计划；3、重点环节进度控制等。切合项目具体情况，能有效保障本项目实施得9分，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协调配合</w:t>
            </w:r>
          </w:p>
        </w:tc>
        <w:tc>
          <w:tcPr>
            <w:tcW w:type="dxa" w:w="2492"/>
          </w:tcPr>
          <w:p>
            <w:pPr>
              <w:pStyle w:val="null3"/>
            </w:pPr>
            <w:r>
              <w:rPr/>
              <w:t>供应商提供针对本项目的协调配合方案，内容至少包括：1.项目总投资概算及分项投资概算编制科学性、可行性；2、对采购人在确认方案环节中提出的修改意见的配合措施；3、整个服务期内无条件积极响应采购人各项工作；4、能协助完成项目申请和审批相关程序需要的有关材料等。方案内容全面详细、阐述条理清晰、配置合理，能有效保障本项目实施得8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供应商提供质量控制措施。1、质量控制方法和措施、流程，控制重点思路清晰明确得7分；2、质量控制方法和措施内容简单、流程繁琐得4分；3、质量控制措施内容无针对性，有缺陷得2分；4、未提供不得分。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项目组人员</w:t>
            </w:r>
          </w:p>
        </w:tc>
        <w:tc>
          <w:tcPr>
            <w:tcW w:type="dxa" w:w="2492"/>
          </w:tcPr>
          <w:p>
            <w:pPr>
              <w:pStyle w:val="null3"/>
            </w:pPr>
            <w:r>
              <w:rPr/>
              <w:t>供应商提供针对本项目拟投入的工作组成员的情况说明及经验能力证明材料。方案内容包括但不限于:1、工作组成员管理组织架构、人员分工；2、工作职责划分；3、业务管理流程等内容。方案所涉及的拟投入的工作组成员管理组织架构清晰，人员分工和工作职责划分明确、业务管理流程详细，能有效保障本项目实施得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项目负责人1</w:t>
            </w:r>
          </w:p>
        </w:tc>
        <w:tc>
          <w:tcPr>
            <w:tcW w:type="dxa" w:w="2492"/>
          </w:tcPr>
          <w:p>
            <w:pPr>
              <w:pStyle w:val="null3"/>
            </w:pPr>
            <w:r>
              <w:rPr/>
              <w:t>拟派项目负责人具有相关行业2年以上从业经验，提供项目经理简历表。（需对从业经验有具体描述内容，描述内容不符或无具体描述内容此项不得分。）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项目负责人2</w:t>
            </w:r>
          </w:p>
        </w:tc>
        <w:tc>
          <w:tcPr>
            <w:tcW w:type="dxa" w:w="2492"/>
          </w:tcPr>
          <w:p>
            <w:pPr>
              <w:pStyle w:val="null3"/>
            </w:pPr>
            <w:r>
              <w:rPr/>
              <w:t>拟派项目负责人具有相关专业高级职称得2分；项目负责人具有相关专业中级职称得1分；此项满分2分（多个中级职称仅计1分）注：须提供相关证书复印件，未提供此项不得分。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项目其他成员（不包含项目负责人）</w:t>
            </w:r>
          </w:p>
        </w:tc>
        <w:tc>
          <w:tcPr>
            <w:tcW w:type="dxa" w:w="2492"/>
          </w:tcPr>
          <w:p>
            <w:pPr>
              <w:pStyle w:val="null3"/>
            </w:pPr>
            <w:r>
              <w:rPr/>
              <w:t>项目其他成员（不包含项目负责人），具备中级及以上职称专业技术人员相关职称，提供1个得1分，满分5分。（相同人员证书不重复计分）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w:t>
            </w:r>
          </w:p>
        </w:tc>
        <w:tc>
          <w:tcPr>
            <w:tcW w:type="dxa" w:w="2492"/>
          </w:tcPr>
          <w:p>
            <w:pPr>
              <w:pStyle w:val="null3"/>
            </w:pPr>
            <w:r>
              <w:rPr/>
              <w:t>供应商提供针对本项目的难点分析，方案至少包括：1、在编制中提出容易出错或忽略的难点分析；2、针对所提出的难点有相应的解决方案。切合项目具体情况，提出责任明确，服务定位，能有效保障本项目实施得6分，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至少包括：1、保密管理制度；2、对数据和信息安全保密；3、其他保密措施等。切合项目具体情况，提出责任明确，服务定位，能有效保障本项目实施得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供应商提供针对本项目的应急方案，方案至少包括：1、对后期服务的保证措施、能够处理各类紧急事项的措施；2、保证项目实施，能够保证在规定的时间解决问题。 切合项目具体情况，提出责任明确，服务定位，能有效保障本项目实施得4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1、对采购需求的合理化建议描述完整、详细、科学、可行性强得4分；2、合理化建议内容有针对性，但尚有可以优化空间得2分；3、合理化建议内容不完善、表述前后不一致、套用其他项目内容等得1分；4、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提供2021年1月1日以来同类项目业绩，每提供一个得2分，满分10分。以合同签订日期为准，提供合同复印件加盖公章。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详见附件：服务方案、人员表及供应商认为有必要提供的其他内容</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