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陕西省医疗保障信息平台深化医保电子凭证全流程应用服务项目</w:t>
      </w:r>
    </w:p>
    <w:p>
      <w:pPr>
        <w:pStyle w:val="null3"/>
        <w:jc w:val="center"/>
        <w:outlineLvl w:val="2"/>
      </w:pPr>
      <w:r>
        <w:rPr>
          <w:b/>
          <w:sz w:val="28"/>
        </w:rPr>
        <w:t>采购项目编号：</w:t>
      </w:r>
      <w:r>
        <w:rPr>
          <w:b/>
          <w:sz w:val="28"/>
        </w:rPr>
        <w:t>ZDZC2024031601</w:t>
      </w:r>
      <w:r>
        <w:br/>
      </w:r>
      <w:r>
        <w:br/>
      </w:r>
      <w:r>
        <w:br/>
      </w:r>
    </w:p>
    <w:p>
      <w:pPr>
        <w:pStyle w:val="null3"/>
        <w:jc w:val="center"/>
        <w:outlineLvl w:val="2"/>
      </w:pPr>
      <w:r>
        <w:rPr>
          <w:b/>
          <w:sz w:val="28"/>
        </w:rPr>
        <w:t>陕西省医疗保障局</w:t>
      </w:r>
    </w:p>
    <w:p>
      <w:pPr>
        <w:pStyle w:val="null3"/>
        <w:jc w:val="center"/>
        <w:outlineLvl w:val="2"/>
      </w:pPr>
      <w:r>
        <w:rPr>
          <w:b/>
          <w:sz w:val="28"/>
        </w:rPr>
        <w:t>正大鹏安建设项目管理有限公司</w:t>
      </w:r>
      <w:r>
        <w:rPr>
          <w:b/>
          <w:sz w:val="28"/>
        </w:rPr>
        <w:t>共同编制</w:t>
      </w:r>
    </w:p>
    <w:p>
      <w:pPr>
        <w:pStyle w:val="null3"/>
        <w:jc w:val="center"/>
        <w:outlineLvl w:val="2"/>
      </w:pPr>
      <w:r>
        <w:rPr>
          <w:b/>
          <w:sz w:val="28"/>
        </w:rPr>
        <w:t>2024年04月25日</w:t>
      </w:r>
    </w:p>
    <w:p>
      <w:pPr>
        <w:pStyle w:val="null3"/>
      </w:pPr>
      <w:r>
        <w:rPr/>
        <w:t xml:space="preserve"> </w:t>
        <w:br/>
        <w:br w:type="page"/>
      </w:r>
    </w:p>
    <w:p>
      <w:pPr>
        <w:pStyle w:val="null3"/>
        <w:jc w:val="center"/>
        <w:outlineLvl w:val="1"/>
      </w:pPr>
      <w:r>
        <w:rPr>
          <w:b/>
          <w:sz w:val="36"/>
        </w:rPr>
        <w:t>第一章 投标邀请</w:t>
      </w:r>
    </w:p>
    <w:p>
      <w:pPr>
        <w:pStyle w:val="null3"/>
        <w:ind w:firstLine="480"/>
      </w:pPr>
      <w:r>
        <w:rPr/>
        <w:t>正大鹏安建设项目管理有限公司</w:t>
      </w:r>
      <w:r>
        <w:rPr/>
        <w:t>（以下简称“代理机构”）受</w:t>
      </w:r>
      <w:r>
        <w:rPr/>
        <w:t>陕西省医疗保障局</w:t>
      </w:r>
      <w:r>
        <w:rPr/>
        <w:t>委托，拟对</w:t>
      </w:r>
      <w:r>
        <w:rPr/>
        <w:t>陕西省医疗保障信息平台深化医保电子凭证全流程应用服务项目</w:t>
      </w:r>
      <w:r>
        <w:rPr/>
        <w:t>进行国内公开招标，兹邀请符合本次招标要求的供应商参加投标。</w:t>
      </w:r>
    </w:p>
    <w:p>
      <w:pPr>
        <w:pStyle w:val="null3"/>
        <w:outlineLvl w:val="2"/>
      </w:pPr>
      <w:r>
        <w:rPr>
          <w:b/>
          <w:sz w:val="28"/>
        </w:rPr>
        <w:t>一、采购项目编号：</w:t>
      </w:r>
      <w:r>
        <w:rPr>
          <w:b/>
          <w:sz w:val="28"/>
        </w:rPr>
        <w:t>ZDZC2024031601</w:t>
      </w:r>
    </w:p>
    <w:p>
      <w:pPr>
        <w:pStyle w:val="null3"/>
        <w:outlineLvl w:val="2"/>
      </w:pPr>
      <w:r>
        <w:rPr>
          <w:b/>
          <w:sz w:val="28"/>
        </w:rPr>
        <w:t>二、采购项目名称：</w:t>
      </w:r>
      <w:r>
        <w:rPr>
          <w:b/>
          <w:sz w:val="28"/>
        </w:rPr>
        <w:t>陕西省医疗保障信息平台深化医保电子凭证全流程应用服务项目</w:t>
      </w:r>
    </w:p>
    <w:p>
      <w:pPr>
        <w:pStyle w:val="null3"/>
        <w:outlineLvl w:val="2"/>
      </w:pPr>
      <w:r>
        <w:rPr>
          <w:b/>
          <w:sz w:val="28"/>
        </w:rPr>
        <w:t>三、招标项目简介</w:t>
      </w:r>
    </w:p>
    <w:p>
      <w:pPr>
        <w:pStyle w:val="null3"/>
        <w:ind w:firstLine="480"/>
      </w:pPr>
      <w:r>
        <w:rPr/>
        <w:t>陕西省医疗保障信息平台深化医保电子凭证全流程应用服务项目，本项目非专门面向中小企业采购，具体详见采购文件。</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信誉：未被列入“信用中国(www.creditchina.gov.cn)”重大税收违法失信主体，未被列入“中国执行信息公开网（http://zxgk.court.gov.cn/shixin/）”失信被执行人名单，未被列入“中国政府采购网(www.ccgp.gov.cn)”政府采购严重违法失信行为记录名单。（由代理机构在开标后查询并存档）</w:t>
      </w:r>
    </w:p>
    <w:p>
      <w:pPr>
        <w:pStyle w:val="null3"/>
      </w:pPr>
      <w:r>
        <w:rPr/>
        <w:t>2、其他：1、单位负责人为同一人或者存在控股、管理关系的不同供应商，不得同时参加本项目采购活动。 2、本项目不接受联合体投标。</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陕西省医疗保障局</w:t>
      </w:r>
    </w:p>
    <w:p>
      <w:pPr>
        <w:pStyle w:val="null3"/>
      </w:pPr>
      <w:r>
        <w:rPr/>
        <w:t xml:space="preserve"> 地址： </w:t>
      </w:r>
      <w:r>
        <w:rPr/>
        <w:t>西安市雁塔区锦业一路60号</w:t>
      </w:r>
    </w:p>
    <w:p>
      <w:pPr>
        <w:pStyle w:val="null3"/>
      </w:pPr>
      <w:r>
        <w:rPr/>
        <w:t xml:space="preserve"> 邮编： </w:t>
      </w:r>
      <w:r>
        <w:rPr/>
        <w:t>710000</w:t>
      </w:r>
    </w:p>
    <w:p>
      <w:pPr>
        <w:pStyle w:val="null3"/>
      </w:pPr>
      <w:r>
        <w:rPr/>
        <w:t xml:space="preserve"> 联系人： </w:t>
      </w:r>
      <w:r>
        <w:rPr/>
        <w:t>李老师</w:t>
      </w:r>
    </w:p>
    <w:p>
      <w:pPr>
        <w:pStyle w:val="null3"/>
      </w:pPr>
      <w:r>
        <w:rPr/>
        <w:t xml:space="preserve"> 联系电话： </w:t>
      </w:r>
      <w:r>
        <w:rPr/>
        <w:t>029-61320021</w:t>
      </w:r>
    </w:p>
    <w:p>
      <w:pPr>
        <w:pStyle w:val="null3"/>
        <w:outlineLvl w:val="2"/>
      </w:pPr>
      <w:r>
        <w:rPr>
          <w:b/>
          <w:sz w:val="28"/>
        </w:rPr>
        <w:t>代理机构：</w:t>
      </w:r>
      <w:r>
        <w:rPr>
          <w:b/>
          <w:sz w:val="28"/>
        </w:rPr>
        <w:t>正大鹏安建设项目管理有限公司</w:t>
      </w:r>
    </w:p>
    <w:p>
      <w:pPr>
        <w:pStyle w:val="null3"/>
      </w:pPr>
      <w:r>
        <w:rPr/>
        <w:t xml:space="preserve"> 地址： </w:t>
      </w:r>
      <w:r>
        <w:rPr/>
        <w:t>高新路2号西部国际广场B座28楼</w:t>
      </w:r>
    </w:p>
    <w:p>
      <w:pPr>
        <w:pStyle w:val="null3"/>
      </w:pPr>
      <w:r>
        <w:rPr/>
        <w:t xml:space="preserve"> 邮编： </w:t>
      </w:r>
      <w:r>
        <w:rPr/>
        <w:t>710075</w:t>
      </w:r>
    </w:p>
    <w:p>
      <w:pPr>
        <w:pStyle w:val="null3"/>
      </w:pPr>
      <w:r>
        <w:rPr/>
        <w:t xml:space="preserve"> 联系人： </w:t>
      </w:r>
      <w:r>
        <w:rPr/>
        <w:t>马工、王工</w:t>
      </w:r>
    </w:p>
    <w:p>
      <w:pPr>
        <w:pStyle w:val="null3"/>
      </w:pPr>
      <w:r>
        <w:rPr/>
        <w:t xml:space="preserve"> 联系电话： </w:t>
      </w:r>
      <w:r>
        <w:rPr/>
        <w:t>13087563266</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采购包1：1,263,000.00元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代理服务费收费标准：招标代理服务费参照国家计委计价格[2002]1980号文件规定，按服务类标准下浮10％计取，由中标供应商在领取成交通知书前一次足额支付。</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陕西省医疗保障局</w:t>
      </w:r>
      <w:r>
        <w:rPr/>
        <w:t>和</w:t>
      </w:r>
      <w:r>
        <w:rPr/>
        <w:t>正大鹏安建设项目管理有限公司</w:t>
      </w:r>
      <w:r>
        <w:rPr/>
        <w:t>享有。对招标文件中供应商参加本次政府采购活动应当具备的条件，招标项目技术、服务、商务及其他要求，评标细则及标准由</w:t>
      </w:r>
      <w:r>
        <w:rPr/>
        <w:t>陕西省医疗保障局</w:t>
      </w:r>
      <w:r>
        <w:rPr/>
        <w:t>负责解释。除上述招标文件内容，其他内容由</w:t>
      </w:r>
      <w:r>
        <w:rPr/>
        <w:t>正大鹏安建设项目管理有限公司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陕西省医疗保障局</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正大鹏安建设项目管理有限公司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b/>
          <w:sz w:val="24"/>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r>
        <w:rPr/>
        <w:t>采购包1：</w:t>
      </w:r>
    </w:p>
    <w:p>
      <w:pPr>
        <w:pStyle w:val="null3"/>
      </w:pPr>
      <w:r>
        <w:rPr/>
        <w:t>详见采购文件及合同</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b/>
          <w:sz w:val="24"/>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b/>
          <w:sz w:val="24"/>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正大鹏安建设项目管理有限公司</w:t>
      </w:r>
      <w:r>
        <w:rPr/>
        <w:t xml:space="preserve"> 负责答复；供应商对除采购需求外的采购文件的询问、质疑由</w:t>
      </w:r>
      <w:r>
        <w:rPr/>
        <w:t>正大鹏安建设项目管理有限公司</w:t>
      </w:r>
      <w:r>
        <w:rPr/>
        <w:t xml:space="preserve"> 负责答复；供应商对采购过程、采购结果的询问、质疑由 </w:t>
      </w:r>
      <w:r>
        <w:rPr/>
        <w:t>正大鹏安建设项目管理有限公司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联系人：马工、王工</w:t>
      </w:r>
    </w:p>
    <w:p>
      <w:pPr>
        <w:pStyle w:val="null3"/>
      </w:pPr>
      <w:r>
        <w:rPr/>
        <w:t>联系电话：13087563266</w:t>
      </w:r>
    </w:p>
    <w:p>
      <w:pPr>
        <w:pStyle w:val="null3"/>
      </w:pPr>
      <w:r>
        <w:rPr/>
        <w:t>地址：高新路2号西部国际广场B座28楼</w:t>
      </w:r>
    </w:p>
    <w:p>
      <w:pPr>
        <w:pStyle w:val="null3"/>
      </w:pPr>
      <w:r>
        <w:rPr/>
        <w:t>邮编：710075</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陕西省医疗保障信息平台深化医保电子凭证全流程应用服务项目，详见采购文件。</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1,263,000.00</w:t>
      </w:r>
    </w:p>
    <w:p>
      <w:pPr>
        <w:pStyle w:val="null3"/>
      </w:pPr>
      <w:r>
        <w:rPr/>
        <w:t>采购包最高限价（元）: 1,263,000.00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深化医保电子凭证全流程应用服务项目</w:t>
            </w:r>
          </w:p>
        </w:tc>
        <w:tc>
          <w:tcPr>
            <w:tcW w:type="dxa" w:w="831"/>
          </w:tcPr>
          <w:p>
            <w:pPr>
              <w:pStyle w:val="null3"/>
              <w:jc w:val="right"/>
            </w:pPr>
            <w:r>
              <w:rPr/>
              <w:t>1.00</w:t>
            </w:r>
          </w:p>
        </w:tc>
        <w:tc>
          <w:tcPr>
            <w:tcW w:type="dxa" w:w="831"/>
          </w:tcPr>
          <w:p>
            <w:pPr>
              <w:pStyle w:val="null3"/>
              <w:jc w:val="right"/>
            </w:pPr>
            <w:r>
              <w:rPr/>
              <w:t>1,263,000.00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b/>
          <w:sz w:val="24"/>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标的名称：深化医保电子凭证全流程应用服务项目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outlineLvl w:val="1"/>
            </w:pPr>
            <w:r>
              <w:rPr>
                <w:rFonts w:ascii="宋体" w:hAnsi="宋体" w:cs="宋体" w:eastAsia="宋体"/>
                <w:b/>
                <w:sz w:val="24"/>
              </w:rPr>
              <w:t>一、项目概况</w:t>
            </w:r>
          </w:p>
          <w:p>
            <w:pPr>
              <w:pStyle w:val="null3"/>
              <w:ind w:firstLine="420"/>
              <w:jc w:val="left"/>
            </w:pPr>
            <w:r>
              <w:rPr>
                <w:rFonts w:ascii="宋体" w:hAnsi="宋体" w:cs="宋体" w:eastAsia="宋体"/>
                <w:sz w:val="21"/>
              </w:rPr>
              <w:t>项目名称：陕西省医疗保障信息平台深化医保电子凭证全流程应用服务项目；</w:t>
            </w:r>
          </w:p>
          <w:p>
            <w:pPr>
              <w:pStyle w:val="null3"/>
              <w:ind w:firstLine="600"/>
              <w:jc w:val="left"/>
            </w:pPr>
            <w:r>
              <w:rPr>
                <w:rFonts w:ascii="宋体" w:hAnsi="宋体" w:cs="宋体" w:eastAsia="宋体"/>
                <w:sz w:val="21"/>
              </w:rPr>
              <w:t>项目实施地点：采购人指定地点。</w:t>
            </w:r>
          </w:p>
          <w:p>
            <w:pPr>
              <w:pStyle w:val="null3"/>
              <w:ind w:firstLine="600"/>
            </w:pPr>
            <w:r>
              <w:rPr>
                <w:rFonts w:ascii="宋体" w:hAnsi="宋体" w:cs="宋体" w:eastAsia="宋体"/>
                <w:sz w:val="21"/>
              </w:rPr>
              <w:t>项目背景：</w:t>
            </w:r>
          </w:p>
          <w:p>
            <w:pPr>
              <w:pStyle w:val="null3"/>
              <w:ind w:firstLine="600"/>
            </w:pPr>
            <w:r>
              <w:rPr>
                <w:rFonts w:ascii="宋体" w:hAnsi="宋体" w:cs="宋体" w:eastAsia="宋体"/>
                <w:sz w:val="21"/>
              </w:rPr>
              <w:t>本项目以新时代中国特色社会主义思想为指导，全面贯彻落实党的十九大和十九届二中、三中、四中、五中全会、全国医疗保障工作会议座谈会、全国医疗保障工作会议精神，严格遵循国家医疗保障局医疗保障信息化工作指导意见，深化医保服务</w:t>
            </w:r>
            <w:r>
              <w:rPr>
                <w:rFonts w:ascii="宋体" w:hAnsi="宋体" w:cs="宋体" w:eastAsia="宋体"/>
                <w:sz w:val="21"/>
              </w:rPr>
              <w:t>“最多跑一次”改革，推进“互联网+医保服务”。坚持以人民健康为中心，深化医保领域“放管服”改革，增强服务意识，创新服务方式，强化能力建设，加快推进医保电子凭证建设、推广和应用工作，打造更加高效便民的医保服务体系。</w:t>
            </w:r>
          </w:p>
          <w:p>
            <w:pPr>
              <w:pStyle w:val="null3"/>
              <w:ind w:firstLine="600"/>
            </w:pPr>
            <w:r>
              <w:rPr>
                <w:rFonts w:ascii="宋体" w:hAnsi="宋体" w:cs="宋体" w:eastAsia="宋体"/>
                <w:sz w:val="21"/>
              </w:rPr>
              <w:t>为贯彻落实党中央、国务院和国家医疗保障局医保信息化标准化工作的决策部署，陕西省医疗保障局以高质量、高标准完成了全国统一的医保信息平台建设、医保电子凭证（医保码）推广、医保</w:t>
            </w:r>
            <w:r>
              <w:rPr>
                <w:rFonts w:ascii="宋体" w:hAnsi="宋体" w:cs="宋体" w:eastAsia="宋体"/>
                <w:sz w:val="21"/>
              </w:rPr>
              <w:t>VPDN网络建设和医保业务综合服务终端基础建设等重大信息化建设任务。根据《“十四五”全民医疗保障规划》（国办发〔2021〕36号）、《关于加强医保业务综合服务终端管理的通知》（医保网信办〔2020〕23号）、《国家医疗保障局办公室关于进一步深化医保信息平台便民服务应用的通知》（医保办发〔2022〕33号）和《国家医疗保障局办公室关于实施医保服务十六项便民措施的通知》（医保发〔2023〕16号）等有关文件要求，充分发挥全国统一医保信息平台的支撑和引领作用，加强医保业务综合服务终端管理，加快推进医保电子凭证（医保码）在就医购药领域的全流程应用。</w:t>
            </w:r>
          </w:p>
          <w:p>
            <w:pPr>
              <w:pStyle w:val="null3"/>
              <w:ind w:firstLine="600"/>
              <w:outlineLvl w:val="1"/>
            </w:pPr>
            <w:r>
              <w:rPr>
                <w:rFonts w:ascii="宋体" w:hAnsi="宋体" w:cs="宋体" w:eastAsia="宋体"/>
                <w:b/>
                <w:sz w:val="24"/>
              </w:rPr>
              <w:t>二</w:t>
            </w:r>
            <w:r>
              <w:rPr>
                <w:rFonts w:ascii="宋体" w:hAnsi="宋体" w:cs="宋体" w:eastAsia="宋体"/>
                <w:b/>
                <w:sz w:val="24"/>
              </w:rPr>
              <w:t>、商务要求</w:t>
            </w:r>
          </w:p>
          <w:p>
            <w:pPr>
              <w:pStyle w:val="null3"/>
              <w:ind w:firstLine="420"/>
              <w:jc w:val="left"/>
            </w:pPr>
            <w:r>
              <w:rPr>
                <w:rFonts w:ascii="宋体" w:hAnsi="宋体" w:cs="宋体" w:eastAsia="宋体"/>
                <w:sz w:val="21"/>
              </w:rPr>
              <w:t>1.</w:t>
            </w:r>
            <w:r>
              <w:rPr>
                <w:rFonts w:ascii="宋体" w:hAnsi="宋体" w:cs="宋体" w:eastAsia="宋体"/>
                <w:sz w:val="21"/>
              </w:rPr>
              <w:t>服务</w:t>
            </w:r>
            <w:r>
              <w:rPr>
                <w:rFonts w:ascii="宋体" w:hAnsi="宋体" w:cs="宋体" w:eastAsia="宋体"/>
                <w:sz w:val="21"/>
              </w:rPr>
              <w:t>期：</w:t>
            </w:r>
            <w:r>
              <w:rPr>
                <w:rFonts w:ascii="宋体" w:hAnsi="宋体" w:cs="宋体" w:eastAsia="宋体"/>
                <w:sz w:val="21"/>
              </w:rPr>
              <w:t>自合同签订之日起</w:t>
            </w:r>
            <w:r>
              <w:rPr>
                <w:rFonts w:ascii="宋体" w:hAnsi="宋体" w:cs="宋体" w:eastAsia="宋体"/>
                <w:sz w:val="21"/>
              </w:rPr>
              <w:t>365个日历日</w:t>
            </w:r>
            <w:r>
              <w:rPr>
                <w:rFonts w:ascii="宋体" w:hAnsi="宋体" w:cs="宋体" w:eastAsia="宋体"/>
                <w:sz w:val="21"/>
              </w:rPr>
              <w:t>。</w:t>
            </w:r>
          </w:p>
          <w:p>
            <w:pPr>
              <w:pStyle w:val="null3"/>
              <w:ind w:firstLine="420"/>
              <w:jc w:val="left"/>
            </w:pPr>
            <w:r>
              <w:rPr>
                <w:rFonts w:ascii="宋体" w:hAnsi="宋体" w:cs="宋体" w:eastAsia="宋体"/>
                <w:sz w:val="21"/>
              </w:rPr>
              <w:t>2.</w:t>
            </w:r>
            <w:r>
              <w:rPr>
                <w:rFonts w:ascii="宋体" w:hAnsi="宋体" w:cs="宋体" w:eastAsia="宋体"/>
                <w:sz w:val="21"/>
              </w:rPr>
              <w:t>服务质量：</w:t>
            </w:r>
            <w:r>
              <w:rPr>
                <w:rFonts w:ascii="宋体" w:hAnsi="宋体" w:cs="宋体" w:eastAsia="宋体"/>
                <w:sz w:val="21"/>
              </w:rPr>
              <w:t>合格且满足采购人要求。</w:t>
            </w:r>
          </w:p>
          <w:p>
            <w:pPr>
              <w:pStyle w:val="null3"/>
              <w:ind w:firstLine="420"/>
              <w:jc w:val="left"/>
            </w:pPr>
            <w:r>
              <w:rPr>
                <w:rFonts w:ascii="宋体" w:hAnsi="宋体" w:cs="宋体" w:eastAsia="宋体"/>
                <w:sz w:val="21"/>
              </w:rPr>
              <w:t>3.投标总报价为完成本项目内容所需总费用。</w:t>
            </w:r>
          </w:p>
          <w:p>
            <w:pPr>
              <w:pStyle w:val="null3"/>
              <w:ind w:firstLine="600"/>
              <w:outlineLvl w:val="1"/>
            </w:pPr>
            <w:r>
              <w:rPr>
                <w:rFonts w:ascii="宋体" w:hAnsi="宋体" w:cs="宋体" w:eastAsia="宋体"/>
                <w:b/>
                <w:sz w:val="24"/>
              </w:rPr>
              <w:t>三</w:t>
            </w:r>
            <w:r>
              <w:rPr>
                <w:rFonts w:ascii="宋体" w:hAnsi="宋体" w:cs="宋体" w:eastAsia="宋体"/>
                <w:b/>
                <w:sz w:val="24"/>
              </w:rPr>
              <w:t>、</w:t>
            </w:r>
            <w:r>
              <w:rPr>
                <w:rFonts w:ascii="宋体" w:hAnsi="宋体" w:cs="宋体" w:eastAsia="宋体"/>
                <w:b/>
                <w:sz w:val="24"/>
              </w:rPr>
              <w:t>项目需求</w:t>
            </w:r>
          </w:p>
          <w:p>
            <w:pPr>
              <w:pStyle w:val="null3"/>
              <w:ind w:firstLine="600"/>
            </w:pPr>
            <w:r>
              <w:rPr>
                <w:rFonts w:ascii="宋体" w:hAnsi="宋体" w:cs="宋体" w:eastAsia="宋体"/>
                <w:sz w:val="21"/>
              </w:rPr>
              <w:t>1.信息技术咨询需求</w:t>
            </w:r>
          </w:p>
          <w:p>
            <w:pPr>
              <w:pStyle w:val="null3"/>
              <w:ind w:firstLine="600"/>
            </w:pPr>
            <w:r>
              <w:rPr>
                <w:rFonts w:ascii="宋体" w:hAnsi="宋体" w:cs="宋体" w:eastAsia="宋体"/>
                <w:sz w:val="21"/>
              </w:rPr>
              <w:t>由于陕西省医保业务综合服务终端管理机制和医保电子凭证（医保码）尚未完善，围绕基于医保业务综合服务终端的设备接入、网络接入、医保业务接入、医保码应用和数据分析等工作尚未开展，通过技术咨询服务，协助省医保局建立医保业务综合服务终端管理工作机制和医保电子凭证（医保码）应用体系，制定建设和应用相关导则、细则，同时提供调研评估分析、业务运行管理、绩效评价、宣贯培训、督导调度服务，为全省的医保业务综合服务终端和机遇终端电子凭证的深化应用，提供技术咨询管理综合性服务。</w:t>
            </w:r>
          </w:p>
          <w:p>
            <w:pPr>
              <w:pStyle w:val="null3"/>
              <w:ind w:firstLine="600"/>
            </w:pPr>
            <w:r>
              <w:rPr>
                <w:rFonts w:ascii="宋体" w:hAnsi="宋体" w:cs="宋体" w:eastAsia="宋体"/>
                <w:sz w:val="21"/>
              </w:rPr>
              <w:t>1.1调研评估分析需求</w:t>
            </w:r>
          </w:p>
          <w:p>
            <w:pPr>
              <w:pStyle w:val="null3"/>
              <w:ind w:firstLine="600"/>
            </w:pPr>
            <w:r>
              <w:rPr>
                <w:rFonts w:ascii="宋体" w:hAnsi="宋体" w:cs="宋体" w:eastAsia="宋体"/>
                <w:sz w:val="21"/>
              </w:rPr>
              <w:t>根据国家及省对医保业务综合服务终端和医保电子凭证（医保码）相关要求，周期性开展陕西省基于医保综合服务终端的医保电子凭证（医保码）全流程实际应用情况调研、分析和评估，聚焦重点问题，及时发现医保经办机构、定点医药机构和其他渠道单位在推广和应用中存在的问题。以调研分析所存在的问题为基础，按季度输出医保综合服务终端应用综合分析总结报告。根据综合分析总结报告，提出改进建议并支撑下一步工作。</w:t>
            </w:r>
          </w:p>
          <w:p>
            <w:pPr>
              <w:pStyle w:val="null3"/>
              <w:ind w:firstLine="600"/>
            </w:pPr>
            <w:r>
              <w:rPr>
                <w:rFonts w:ascii="宋体" w:hAnsi="宋体" w:cs="宋体" w:eastAsia="宋体"/>
                <w:sz w:val="21"/>
              </w:rPr>
              <w:t>1.2标准规范编制需求</w:t>
            </w:r>
          </w:p>
          <w:p>
            <w:pPr>
              <w:pStyle w:val="null3"/>
              <w:ind w:firstLine="600"/>
            </w:pPr>
            <w:r>
              <w:rPr>
                <w:rFonts w:ascii="宋体" w:hAnsi="宋体" w:cs="宋体" w:eastAsia="宋体"/>
                <w:sz w:val="21"/>
              </w:rPr>
              <w:t>按照国家相关标准文件，结合实际业务需要，制定陕西省医保业务综合服务终端设备的管理规范、网络接入规范和医保业务服务接入规范，明确主体责任和管理流程；制定基于医保业务综合服务终端的医保电子凭证（医保码）应用场景规范，用于加强规范管理和应用落地指导工作。</w:t>
            </w:r>
          </w:p>
          <w:p>
            <w:pPr>
              <w:pStyle w:val="null3"/>
              <w:ind w:firstLine="600"/>
            </w:pPr>
            <w:r>
              <w:rPr>
                <w:rFonts w:ascii="宋体" w:hAnsi="宋体" w:cs="宋体" w:eastAsia="宋体"/>
                <w:sz w:val="21"/>
              </w:rPr>
              <w:t>1.3技术指导需求</w:t>
            </w:r>
          </w:p>
          <w:p>
            <w:pPr>
              <w:pStyle w:val="null3"/>
              <w:ind w:firstLine="600"/>
            </w:pPr>
            <w:r>
              <w:rPr>
                <w:rFonts w:ascii="宋体" w:hAnsi="宋体" w:cs="宋体" w:eastAsia="宋体"/>
                <w:sz w:val="21"/>
              </w:rPr>
              <w:t>按照管理要求和技术标准规范，指导陕西省医疗保障信息平台相关承建厂商进行医保电子凭证（医保码）应用场景接口改造开发，实现医保电子凭证（医保码）应用场景清单业务深化应用；指导定点医药机构、</w:t>
            </w:r>
            <w:r>
              <w:rPr>
                <w:rFonts w:ascii="宋体" w:hAnsi="宋体" w:cs="宋体" w:eastAsia="宋体"/>
                <w:sz w:val="21"/>
              </w:rPr>
              <w:t>HIS软件厂商和终端设备厂商的接口改造工作，实现定点医药机构医药业务服务与医保业务服务的兼容互通。</w:t>
            </w:r>
          </w:p>
          <w:p>
            <w:pPr>
              <w:pStyle w:val="null3"/>
              <w:ind w:firstLine="600"/>
            </w:pPr>
            <w:r>
              <w:rPr>
                <w:rFonts w:ascii="宋体" w:hAnsi="宋体" w:cs="宋体" w:eastAsia="宋体"/>
                <w:sz w:val="21"/>
              </w:rPr>
              <w:t>1.4宣贯培训需求</w:t>
            </w:r>
          </w:p>
          <w:p>
            <w:pPr>
              <w:pStyle w:val="null3"/>
              <w:ind w:firstLine="600"/>
            </w:pPr>
            <w:r>
              <w:rPr>
                <w:rFonts w:ascii="宋体" w:hAnsi="宋体" w:cs="宋体" w:eastAsia="宋体"/>
                <w:sz w:val="21"/>
              </w:rPr>
              <w:t>通过会议、讲座、视频等方式，协助省医保局或地市医保局开展基于医保业务综合服务终端的医保电子凭证（医保码）全流程应用的宣贯培训服务。配合省医保局指导地市医保局开展定点医药机构基于医保业务综合服务终端的医保电子凭证（医保码）全流程应用建设，提供专业的应用推广技术咨询服务。</w:t>
            </w:r>
          </w:p>
          <w:p>
            <w:pPr>
              <w:pStyle w:val="null3"/>
              <w:ind w:firstLine="600"/>
            </w:pPr>
            <w:r>
              <w:rPr>
                <w:rFonts w:ascii="宋体" w:hAnsi="宋体" w:cs="宋体" w:eastAsia="宋体"/>
                <w:sz w:val="21"/>
              </w:rPr>
              <w:t>1.5绩效评估需求</w:t>
            </w:r>
          </w:p>
          <w:p>
            <w:pPr>
              <w:pStyle w:val="null3"/>
              <w:ind w:firstLine="600"/>
            </w:pPr>
            <w:r>
              <w:rPr>
                <w:rFonts w:ascii="宋体" w:hAnsi="宋体" w:cs="宋体" w:eastAsia="宋体"/>
                <w:sz w:val="21"/>
              </w:rPr>
              <w:t>根据国家局医保信息化标准化工作绩效考核评估工作中对医保电子凭证（医保码）的要求，组织技术人员按照上级的评估方法、评估流程、评估指标收集资料，结合各地市实际情况，配合陕西省医保局推进地市医保电子凭证（医保码）应用绩效考核。</w:t>
            </w:r>
          </w:p>
          <w:p>
            <w:pPr>
              <w:pStyle w:val="null3"/>
              <w:ind w:firstLine="600"/>
            </w:pPr>
            <w:r>
              <w:rPr>
                <w:rFonts w:ascii="宋体" w:hAnsi="宋体" w:cs="宋体" w:eastAsia="宋体"/>
                <w:sz w:val="21"/>
              </w:rPr>
              <w:t>1.6督导调度需求</w:t>
            </w:r>
          </w:p>
          <w:p>
            <w:pPr>
              <w:pStyle w:val="null3"/>
              <w:ind w:firstLine="600"/>
            </w:pPr>
            <w:r>
              <w:rPr>
                <w:rFonts w:ascii="宋体" w:hAnsi="宋体" w:cs="宋体" w:eastAsia="宋体"/>
                <w:sz w:val="21"/>
              </w:rPr>
              <w:t>对比绩效考核指标，协助省医保局制定下步工作方针。对未满足考核标准的医保部门和定点医药机构进行督导调度，并给予指导和培训工作。</w:t>
            </w:r>
          </w:p>
          <w:p>
            <w:pPr>
              <w:pStyle w:val="null3"/>
              <w:ind w:firstLine="600"/>
            </w:pPr>
            <w:r>
              <w:rPr>
                <w:rFonts w:ascii="宋体" w:hAnsi="宋体" w:cs="宋体" w:eastAsia="宋体"/>
                <w:sz w:val="21"/>
              </w:rPr>
              <w:t>2.数据加工处理需求</w:t>
            </w:r>
          </w:p>
          <w:p>
            <w:pPr>
              <w:pStyle w:val="null3"/>
              <w:ind w:firstLine="600"/>
            </w:pPr>
            <w:r>
              <w:rPr>
                <w:rFonts w:ascii="宋体" w:hAnsi="宋体" w:cs="宋体" w:eastAsia="宋体"/>
                <w:sz w:val="21"/>
              </w:rPr>
              <w:t>2.1数据采集需求</w:t>
            </w:r>
          </w:p>
          <w:p>
            <w:pPr>
              <w:pStyle w:val="null3"/>
              <w:ind w:firstLine="600"/>
            </w:pPr>
            <w:r>
              <w:rPr>
                <w:rFonts w:ascii="宋体" w:hAnsi="宋体" w:cs="宋体" w:eastAsia="宋体"/>
                <w:sz w:val="21"/>
              </w:rPr>
              <w:t>为有效开展统筹管理工作，常态化监测医保业务综合服务终端运行状态、医保电子凭证（医保码）应用情况，对基于医保业务综合服务终端所产生的设备信息数据、机构信息数据、网络接入信息数据、医保业务应用数据以及所产生医保电子凭证（医保码）的激活数据、结算数据和应用场景数据进行采集。</w:t>
            </w:r>
          </w:p>
          <w:p>
            <w:pPr>
              <w:pStyle w:val="null3"/>
              <w:ind w:firstLine="600"/>
            </w:pPr>
            <w:r>
              <w:rPr>
                <w:rFonts w:ascii="宋体" w:hAnsi="宋体" w:cs="宋体" w:eastAsia="宋体"/>
                <w:sz w:val="21"/>
              </w:rPr>
              <w:t>2.2数据统计分析需求</w:t>
            </w:r>
          </w:p>
          <w:p>
            <w:pPr>
              <w:pStyle w:val="null3"/>
              <w:ind w:firstLine="600"/>
            </w:pPr>
            <w:r>
              <w:rPr>
                <w:rFonts w:ascii="宋体" w:hAnsi="宋体" w:cs="宋体" w:eastAsia="宋体"/>
                <w:sz w:val="21"/>
              </w:rPr>
              <w:t>对设备信息数据、机构信息数据、网络接入信息数据、医保业务应用数据以及所产生医保电子凭证（医保码）的激活数据、结算数据和应用场景数据统计分析，按照绩效考核指标性进行排序、筛选，有效支撑下步工作开展。</w:t>
            </w:r>
          </w:p>
          <w:p>
            <w:pPr>
              <w:pStyle w:val="null3"/>
              <w:ind w:firstLine="600"/>
            </w:pPr>
            <w:r>
              <w:rPr>
                <w:rFonts w:ascii="宋体" w:hAnsi="宋体" w:cs="宋体" w:eastAsia="宋体"/>
                <w:sz w:val="21"/>
              </w:rPr>
              <w:t>3.支撑工具软件需求</w:t>
            </w:r>
          </w:p>
          <w:p>
            <w:pPr>
              <w:pStyle w:val="null3"/>
              <w:ind w:firstLine="600"/>
            </w:pPr>
            <w:r>
              <w:rPr>
                <w:rFonts w:ascii="宋体" w:hAnsi="宋体" w:cs="宋体" w:eastAsia="宋体"/>
                <w:sz w:val="21"/>
              </w:rPr>
              <w:t>为高效支撑陕西省医疗保障局对陕西省内医保业务综合服务终端规范管理，落实相关制度执行，支撑工具软件应提供基于医保业务综合服务终端的设备接入管理、医保网络接入管理、医保业务接入管理等能力。为充分发挥数据价值，有效支撑下步工作，支撑工具软件应提供基于医保业务综合服务终端的设备信息数据、机构信息数据、网络进入信息数据、医保业务应用数据的采集、统计、分析等数据统计分析功能。</w:t>
            </w:r>
          </w:p>
          <w:p>
            <w:pPr>
              <w:pStyle w:val="null3"/>
              <w:ind w:firstLine="600"/>
            </w:pPr>
            <w:r>
              <w:rPr>
                <w:rFonts w:ascii="宋体" w:hAnsi="宋体" w:cs="宋体" w:eastAsia="宋体"/>
                <w:sz w:val="21"/>
              </w:rPr>
              <w:t>4.精细管理需求</w:t>
            </w:r>
          </w:p>
          <w:p>
            <w:pPr>
              <w:pStyle w:val="null3"/>
              <w:ind w:firstLine="600"/>
            </w:pPr>
            <w:r>
              <w:rPr>
                <w:rFonts w:ascii="宋体" w:hAnsi="宋体" w:cs="宋体" w:eastAsia="宋体"/>
                <w:sz w:val="21"/>
              </w:rPr>
              <w:t>充分利用支撑工具软件，保障医保业务综合服务终端规范管理的顺利实施，协助陕西省医疗保障局信息化主管部门对全省</w:t>
            </w:r>
            <w:r>
              <w:rPr>
                <w:rFonts w:ascii="宋体" w:hAnsi="宋体" w:cs="宋体" w:eastAsia="宋体"/>
                <w:sz w:val="21"/>
              </w:rPr>
              <w:t>12个统筹区的各级医保部门、3万余家定点医药机构的医保业务综合服务终端等使用单位的终端设备、网络、医保业务的接入、变更、注销申请进行管理，详实记录申请台账。对相关数据进行分析研判，持续开展监测运行情况，并对违规事件进行上报。严格把控医保业务服务应用的统一归口管理，实施技术风险风控机制，确保医保业务服务应用安全和应用成效显著。</w:t>
            </w:r>
          </w:p>
          <w:p>
            <w:pPr>
              <w:pStyle w:val="null3"/>
              <w:ind w:firstLine="420"/>
              <w:jc w:val="left"/>
              <w:outlineLvl w:val="1"/>
            </w:pPr>
            <w:r>
              <w:rPr>
                <w:rFonts w:ascii="宋体" w:hAnsi="宋体" w:cs="宋体" w:eastAsia="宋体"/>
                <w:b/>
                <w:sz w:val="24"/>
              </w:rPr>
              <w:t>四</w:t>
            </w:r>
            <w:r>
              <w:rPr>
                <w:rFonts w:ascii="宋体" w:hAnsi="宋体" w:cs="宋体" w:eastAsia="宋体"/>
                <w:b/>
                <w:sz w:val="24"/>
              </w:rPr>
              <w:t>、技术</w:t>
            </w:r>
            <w:r>
              <w:rPr>
                <w:rFonts w:ascii="楷体" w:hAnsi="楷体" w:cs="楷体" w:eastAsia="楷体"/>
                <w:b/>
                <w:sz w:val="24"/>
              </w:rPr>
              <w:t>\</w:t>
            </w:r>
            <w:r>
              <w:rPr>
                <w:rFonts w:ascii="宋体" w:hAnsi="宋体" w:cs="宋体" w:eastAsia="宋体"/>
                <w:b/>
                <w:sz w:val="24"/>
              </w:rPr>
              <w:t>服务要求</w:t>
            </w:r>
          </w:p>
          <w:p>
            <w:pPr>
              <w:pStyle w:val="null3"/>
              <w:jc w:val="left"/>
              <w:outlineLvl w:val="2"/>
            </w:pPr>
            <w:r>
              <w:rPr>
                <w:rFonts w:ascii="宋体" w:hAnsi="宋体" w:cs="宋体" w:eastAsia="宋体"/>
                <w:b/>
                <w:sz w:val="21"/>
              </w:rPr>
              <w:t>（一）信息技术咨询服务</w:t>
            </w:r>
          </w:p>
          <w:p>
            <w:pPr>
              <w:pStyle w:val="null3"/>
              <w:ind w:firstLine="600"/>
            </w:pPr>
            <w:r>
              <w:rPr>
                <w:rFonts w:ascii="宋体" w:hAnsi="宋体" w:cs="宋体" w:eastAsia="宋体"/>
                <w:sz w:val="21"/>
              </w:rPr>
              <w:t>1、调研评估分析服务</w:t>
            </w:r>
          </w:p>
          <w:p>
            <w:pPr>
              <w:pStyle w:val="null3"/>
              <w:ind w:firstLine="600"/>
            </w:pPr>
            <w:r>
              <w:rPr>
                <w:rFonts w:ascii="宋体" w:hAnsi="宋体" w:cs="宋体" w:eastAsia="宋体"/>
                <w:sz w:val="21"/>
              </w:rPr>
              <w:t>1）服务内容</w:t>
            </w:r>
          </w:p>
          <w:p>
            <w:pPr>
              <w:pStyle w:val="null3"/>
              <w:ind w:firstLine="600"/>
            </w:pPr>
            <w:r>
              <w:rPr>
                <w:rFonts w:ascii="宋体" w:hAnsi="宋体" w:cs="宋体" w:eastAsia="宋体"/>
                <w:sz w:val="21"/>
              </w:rPr>
              <w:t>周期性开展陕西省基于医保综合服务终端的医保电子凭证（医保码）全流程实际应用情况调研、分析和评估，聚焦重点问题，及时发现医保经办机构、定点医药机构和其他渠道单位在推广和应用中存在的问题。以调研分析所存在的问题为基础，按季度输出医保综合服务终端应用综合分析总结报告。根据综合分析总结报告，提出改进建议并支撑下一步工作。</w:t>
            </w:r>
          </w:p>
          <w:p>
            <w:pPr>
              <w:pStyle w:val="null3"/>
              <w:ind w:firstLine="600"/>
            </w:pPr>
            <w:r>
              <w:rPr>
                <w:rFonts w:ascii="宋体" w:hAnsi="宋体" w:cs="宋体" w:eastAsia="宋体"/>
                <w:sz w:val="21"/>
              </w:rPr>
              <w:t>2）服务要求</w:t>
            </w:r>
          </w:p>
          <w:p>
            <w:pPr>
              <w:pStyle w:val="null3"/>
              <w:ind w:firstLine="600"/>
            </w:pPr>
            <w:r>
              <w:rPr>
                <w:rFonts w:ascii="宋体" w:hAnsi="宋体" w:cs="宋体" w:eastAsia="宋体"/>
                <w:sz w:val="21"/>
              </w:rPr>
              <w:t>以现场调研、调查问卷、随机抽检等采集相关数据的方式，制定清晰明确，方法科学的调研评估目标，方法科学，以确保数据的可靠性和分析的合理性。调研收集到的数据需要进行精准的分析，以挖掘出有价值的信息。数据分析应基于适当的统计分析方法，并结合业务背景和目标进行解读，以得出有意义的结论和建议。</w:t>
            </w:r>
          </w:p>
          <w:p>
            <w:pPr>
              <w:pStyle w:val="null3"/>
              <w:ind w:firstLine="600"/>
            </w:pPr>
            <w:r>
              <w:rPr>
                <w:rFonts w:ascii="宋体" w:hAnsi="宋体" w:cs="宋体" w:eastAsia="宋体"/>
                <w:sz w:val="21"/>
              </w:rPr>
              <w:t>3）交付物及交付标准</w:t>
            </w:r>
          </w:p>
          <w:tbl>
            <w:tblPr>
              <w:tblBorders>
                <w:top w:val="none" w:color="000000" w:sz="4"/>
                <w:left w:val="none" w:color="000000" w:sz="4"/>
                <w:bottom w:val="none" w:color="000000" w:sz="4"/>
                <w:right w:val="none" w:color="000000" w:sz="4"/>
                <w:insideH w:val="none"/>
                <w:insideV w:val="none"/>
              </w:tblBorders>
            </w:tblPr>
            <w:tblGrid>
              <w:gridCol w:w="1063"/>
              <w:gridCol w:w="1490"/>
            </w:tblGrid>
            <w:tr>
              <w:tc>
                <w:tcPr>
                  <w:tcW w:type="dxa" w:w="10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pPr>
                  <w:r>
                    <w:rPr>
                      <w:rFonts w:ascii="宋体" w:hAnsi="宋体" w:cs="宋体" w:eastAsia="宋体"/>
                      <w:sz w:val="21"/>
                    </w:rPr>
                    <w:t>交付物</w:t>
                  </w:r>
                </w:p>
              </w:tc>
              <w:tc>
                <w:tcPr>
                  <w:tcW w:type="dxa" w:w="1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pPr>
                  <w:r>
                    <w:rPr>
                      <w:rFonts w:ascii="宋体" w:hAnsi="宋体" w:cs="宋体" w:eastAsia="宋体"/>
                      <w:sz w:val="21"/>
                    </w:rPr>
                    <w:t>交付物标准</w:t>
                  </w:r>
                </w:p>
              </w:tc>
            </w:tr>
            <w:tr>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pPr>
                  <w:r>
                    <w:rPr>
                      <w:rFonts w:ascii="宋体" w:hAnsi="宋体" w:cs="宋体" w:eastAsia="宋体"/>
                      <w:sz w:val="21"/>
                    </w:rPr>
                    <w:t>《季度医保综合服务终端应用综合分析总结报告》</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pPr>
                  <w:r>
                    <w:rPr>
                      <w:rFonts w:ascii="宋体" w:hAnsi="宋体" w:cs="宋体" w:eastAsia="宋体"/>
                      <w:sz w:val="21"/>
                    </w:rPr>
                    <w:t>调研内容详实、可靠、全面，分析彻底，总结结论具体、明确、准确。</w:t>
                  </w:r>
                </w:p>
              </w:tc>
            </w:tr>
          </w:tbl>
          <w:p>
            <w:pPr>
              <w:pStyle w:val="null3"/>
              <w:ind w:firstLine="600"/>
            </w:pPr>
            <w:r>
              <w:rPr>
                <w:rFonts w:ascii="宋体" w:hAnsi="宋体" w:cs="宋体" w:eastAsia="宋体"/>
                <w:sz w:val="21"/>
              </w:rPr>
              <w:t>4）服务量和工作量评估</w:t>
            </w:r>
          </w:p>
          <w:p>
            <w:pPr>
              <w:pStyle w:val="null3"/>
              <w:ind w:firstLine="600"/>
            </w:pPr>
            <w:r>
              <w:rPr>
                <w:rFonts w:ascii="宋体" w:hAnsi="宋体" w:cs="宋体" w:eastAsia="宋体"/>
                <w:sz w:val="21"/>
              </w:rPr>
              <w:t>在服务期内按季度（</w:t>
            </w:r>
            <w:r>
              <w:rPr>
                <w:rFonts w:ascii="宋体" w:hAnsi="宋体" w:cs="宋体" w:eastAsia="宋体"/>
                <w:sz w:val="21"/>
              </w:rPr>
              <w:t>4个季度）面向全省医保12个统筹区及辖区内医保部门、定点医药机构等使用单位的基于医保业务综合服务终端和医保电子凭证（医保码）应用等进行统计分析，输出分析总结报告，预计总结分析报告的前期调研、数据分析、修订、输出结论。</w:t>
            </w:r>
          </w:p>
          <w:p>
            <w:pPr>
              <w:pStyle w:val="null3"/>
              <w:ind w:firstLine="600"/>
            </w:pPr>
            <w:r>
              <w:rPr>
                <w:rFonts w:ascii="宋体" w:hAnsi="宋体" w:cs="宋体" w:eastAsia="宋体"/>
                <w:sz w:val="21"/>
              </w:rPr>
              <w:t>2、标准规范编制服务</w:t>
            </w:r>
          </w:p>
          <w:p>
            <w:pPr>
              <w:pStyle w:val="null3"/>
              <w:ind w:firstLine="600"/>
            </w:pPr>
            <w:r>
              <w:rPr>
                <w:rFonts w:ascii="宋体" w:hAnsi="宋体" w:cs="宋体" w:eastAsia="宋体"/>
                <w:sz w:val="21"/>
              </w:rPr>
              <w:t>1）服务内容</w:t>
            </w:r>
          </w:p>
          <w:p>
            <w:pPr>
              <w:pStyle w:val="null3"/>
              <w:ind w:firstLine="600"/>
            </w:pPr>
            <w:r>
              <w:rPr>
                <w:rFonts w:ascii="宋体" w:hAnsi="宋体" w:cs="宋体" w:eastAsia="宋体"/>
                <w:sz w:val="21"/>
              </w:rPr>
              <w:t>编制陕西省医保业务综合服务终端设备的接入管理规范、网络接入规范和医保业务服务接入规范以及基于医保业务综合服务终端的医保电子凭证（医保码）应用场景规范。</w:t>
            </w:r>
          </w:p>
          <w:p>
            <w:pPr>
              <w:pStyle w:val="null3"/>
              <w:ind w:firstLine="600"/>
            </w:pPr>
            <w:r>
              <w:rPr>
                <w:rFonts w:ascii="宋体" w:hAnsi="宋体" w:cs="宋体" w:eastAsia="宋体"/>
                <w:sz w:val="21"/>
              </w:rPr>
              <w:t>（</w:t>
            </w:r>
            <w:r>
              <w:rPr>
                <w:rFonts w:ascii="宋体" w:hAnsi="宋体" w:cs="宋体" w:eastAsia="宋体"/>
                <w:sz w:val="21"/>
              </w:rPr>
              <w:t>1）编制陕西省医保业务综合服务终端接入管理规范</w:t>
            </w:r>
          </w:p>
          <w:p>
            <w:pPr>
              <w:pStyle w:val="null3"/>
              <w:ind w:firstLine="600"/>
            </w:pPr>
            <w:r>
              <w:rPr>
                <w:rFonts w:ascii="宋体" w:hAnsi="宋体" w:cs="宋体" w:eastAsia="宋体"/>
                <w:sz w:val="21"/>
              </w:rPr>
              <w:t>规范全省医保业务综合服务终端的应用，明确主体管理单位和使用单位责任，对终端设备的初始化、安装布放、使用与维修管理、医保标志使用制定明确要求，将医保业务综合服务终端设备的管理纳入日常工作范畴。</w:t>
            </w:r>
          </w:p>
          <w:p>
            <w:pPr>
              <w:pStyle w:val="null3"/>
              <w:ind w:firstLine="600"/>
            </w:pPr>
            <w:r>
              <w:rPr>
                <w:rFonts w:ascii="宋体" w:hAnsi="宋体" w:cs="宋体" w:eastAsia="宋体"/>
                <w:sz w:val="21"/>
              </w:rPr>
              <w:t>（</w:t>
            </w:r>
            <w:r>
              <w:rPr>
                <w:rFonts w:ascii="宋体" w:hAnsi="宋体" w:cs="宋体" w:eastAsia="宋体"/>
                <w:sz w:val="21"/>
              </w:rPr>
              <w:t>2）编制陕西省医保业务综合服务终端网络接入规范</w:t>
            </w:r>
          </w:p>
          <w:p>
            <w:pPr>
              <w:pStyle w:val="null3"/>
              <w:ind w:firstLine="600"/>
            </w:pPr>
            <w:r>
              <w:rPr>
                <w:rFonts w:ascii="宋体" w:hAnsi="宋体" w:cs="宋体" w:eastAsia="宋体"/>
                <w:sz w:val="21"/>
              </w:rPr>
              <w:t>编制陕西省医保业务综合服务终端网络接入规范，明确医保网络有线、无线（</w:t>
            </w:r>
            <w:r>
              <w:rPr>
                <w:rFonts w:ascii="宋体" w:hAnsi="宋体" w:cs="宋体" w:eastAsia="宋体"/>
                <w:sz w:val="21"/>
              </w:rPr>
              <w:t>VPDN）模式下的医保业务综合服务终端网络接入、变更、注销等流程，规范各级医保部门、定点医药机构等医保业务综合服务终端使用单位的网络接入。</w:t>
            </w:r>
          </w:p>
          <w:p>
            <w:pPr>
              <w:pStyle w:val="null3"/>
              <w:ind w:firstLine="600"/>
            </w:pPr>
            <w:r>
              <w:rPr>
                <w:rFonts w:ascii="宋体" w:hAnsi="宋体" w:cs="宋体" w:eastAsia="宋体"/>
                <w:sz w:val="21"/>
              </w:rPr>
              <w:t>（</w:t>
            </w:r>
            <w:r>
              <w:rPr>
                <w:rFonts w:ascii="宋体" w:hAnsi="宋体" w:cs="宋体" w:eastAsia="宋体"/>
                <w:sz w:val="21"/>
              </w:rPr>
              <w:t>3）编制陕西省医保业务综合服务终端医保业务接入规范</w:t>
            </w:r>
          </w:p>
          <w:p>
            <w:pPr>
              <w:pStyle w:val="null3"/>
              <w:ind w:firstLine="600"/>
            </w:pPr>
            <w:r>
              <w:rPr>
                <w:rFonts w:ascii="宋体" w:hAnsi="宋体" w:cs="宋体" w:eastAsia="宋体"/>
                <w:sz w:val="21"/>
              </w:rPr>
              <w:t>编制陕西省医保业务综合服务终端医保业务接入规范，针对不同终端设备类型和医保业务服务场景，统一医保业务接入服务入口，明确各级医保部门、定点医药机构、</w:t>
            </w:r>
            <w:r>
              <w:rPr>
                <w:rFonts w:ascii="宋体" w:hAnsi="宋体" w:cs="宋体" w:eastAsia="宋体"/>
                <w:sz w:val="21"/>
              </w:rPr>
              <w:t>HIS软件厂商，终端生产厂商等单位基于医保业务综合服务终端的医保业务接入、变更、注销等流程，</w:t>
            </w:r>
          </w:p>
          <w:p>
            <w:pPr>
              <w:pStyle w:val="null3"/>
              <w:ind w:firstLine="600"/>
            </w:pPr>
            <w:r>
              <w:rPr>
                <w:rFonts w:ascii="宋体" w:hAnsi="宋体" w:cs="宋体" w:eastAsia="宋体"/>
                <w:sz w:val="21"/>
              </w:rPr>
              <w:t>（</w:t>
            </w:r>
            <w:r>
              <w:rPr>
                <w:rFonts w:ascii="宋体" w:hAnsi="宋体" w:cs="宋体" w:eastAsia="宋体"/>
                <w:sz w:val="21"/>
              </w:rPr>
              <w:t>4）编制基于医保业务综合服务终端的医保电子凭证（医保码）应用场景规范</w:t>
            </w:r>
          </w:p>
          <w:p>
            <w:pPr>
              <w:pStyle w:val="null3"/>
              <w:ind w:firstLine="600"/>
            </w:pPr>
            <w:r>
              <w:rPr>
                <w:rFonts w:ascii="宋体" w:hAnsi="宋体" w:cs="宋体" w:eastAsia="宋体"/>
                <w:sz w:val="21"/>
              </w:rPr>
              <w:t>编制</w:t>
            </w:r>
            <w:r>
              <w:rPr>
                <w:rFonts w:ascii="宋体" w:hAnsi="宋体" w:cs="宋体" w:eastAsia="宋体"/>
                <w:sz w:val="21"/>
              </w:rPr>
              <w:t>基于医保业务综合服务终端</w:t>
            </w:r>
            <w:r>
              <w:rPr>
                <w:rFonts w:ascii="宋体" w:hAnsi="宋体" w:cs="宋体" w:eastAsia="宋体"/>
                <w:sz w:val="21"/>
              </w:rPr>
              <w:t>实现</w:t>
            </w:r>
            <w:r>
              <w:rPr>
                <w:rFonts w:ascii="宋体" w:hAnsi="宋体" w:cs="宋体" w:eastAsia="宋体"/>
                <w:sz w:val="21"/>
              </w:rPr>
              <w:t>医保电子凭证（医保码）</w:t>
            </w:r>
            <w:r>
              <w:rPr>
                <w:rFonts w:ascii="宋体" w:hAnsi="宋体" w:cs="宋体" w:eastAsia="宋体"/>
                <w:sz w:val="21"/>
              </w:rPr>
              <w:t>的应用场景规范，不限于参保证明打印、参保信息查询、居民参保缴费、灵活就业人员参保登记、城乡居民参保登记、特殊药品登记、门诊特慢病登记、生育医疗费用报销登记、跨省转移接续申请、家庭账户共济、跨省异地就医结算信息查询、跨省异地就医备案、医保公共信息查询、医保政策知识查询等的医保业务服务。</w:t>
            </w:r>
          </w:p>
          <w:p>
            <w:pPr>
              <w:pStyle w:val="null3"/>
              <w:ind w:firstLine="600"/>
            </w:pPr>
            <w:r>
              <w:rPr>
                <w:rFonts w:ascii="宋体" w:hAnsi="宋体" w:cs="宋体" w:eastAsia="宋体"/>
                <w:sz w:val="21"/>
              </w:rPr>
              <w:t>2）服务要求</w:t>
            </w:r>
          </w:p>
          <w:p>
            <w:pPr>
              <w:pStyle w:val="null3"/>
              <w:ind w:firstLine="600"/>
            </w:pPr>
            <w:r>
              <w:rPr>
                <w:rFonts w:ascii="宋体" w:hAnsi="宋体" w:cs="宋体" w:eastAsia="宋体"/>
                <w:sz w:val="21"/>
              </w:rPr>
              <w:t>结合国家医保局管理要求和地方实际需求，梳理医保业务综合服务终端管理和医保电子凭证应用相关工作导则、细则，落实好与相关技术规范的衔接，确保医保业务综合服务终端和医保电子凭证（医保码）的高效利用，持续性开展各项规范在执行过程中监测机制，不断补充完善，有效指导各单位有序开展相关工作，有力保障医保网络和医保支付安全。</w:t>
            </w:r>
          </w:p>
          <w:p>
            <w:pPr>
              <w:pStyle w:val="null3"/>
              <w:ind w:firstLine="600"/>
            </w:pPr>
            <w:r>
              <w:rPr>
                <w:rFonts w:ascii="宋体" w:hAnsi="宋体" w:cs="宋体" w:eastAsia="宋体"/>
                <w:sz w:val="21"/>
              </w:rPr>
              <w:t>3）交付物及交付标准</w:t>
            </w:r>
          </w:p>
          <w:tbl>
            <w:tblPr>
              <w:tblBorders>
                <w:top w:val="none" w:color="000000" w:sz="4"/>
                <w:left w:val="none" w:color="000000" w:sz="4"/>
                <w:bottom w:val="none" w:color="000000" w:sz="4"/>
                <w:right w:val="none" w:color="000000" w:sz="4"/>
                <w:insideH w:val="none"/>
                <w:insideV w:val="none"/>
              </w:tblBorders>
            </w:tblPr>
            <w:tblGrid>
              <w:gridCol w:w="1063"/>
              <w:gridCol w:w="1490"/>
            </w:tblGrid>
            <w:tr>
              <w:tc>
                <w:tcPr>
                  <w:tcW w:type="dxa" w:w="10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1"/>
                    </w:rPr>
                    <w:t>交付物</w:t>
                  </w:r>
                </w:p>
              </w:tc>
              <w:tc>
                <w:tcPr>
                  <w:tcW w:type="dxa" w:w="1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1"/>
                    </w:rPr>
                    <w:t>交付物标准</w:t>
                  </w:r>
                </w:p>
              </w:tc>
            </w:tr>
            <w:tr>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w:t>
                  </w:r>
                  <w:r>
                    <w:rPr>
                      <w:rFonts w:ascii="宋体" w:hAnsi="宋体" w:cs="宋体" w:eastAsia="宋体"/>
                      <w:color w:val="000000"/>
                      <w:sz w:val="21"/>
                    </w:rPr>
                    <w:t>陕西省医保业务综合服务终端接入管理规范</w:t>
                  </w:r>
                  <w:r>
                    <w:rPr>
                      <w:rFonts w:ascii="宋体" w:hAnsi="宋体" w:cs="宋体" w:eastAsia="宋体"/>
                      <w:sz w:val="21"/>
                    </w:rPr>
                    <w:t>》</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参考国家相关标准规范要求，根据</w:t>
                  </w:r>
                  <w:r>
                    <w:rPr>
                      <w:rFonts w:ascii="宋体" w:hAnsi="宋体" w:cs="宋体" w:eastAsia="宋体"/>
                      <w:sz w:val="21"/>
                    </w:rPr>
                    <w:t>实际</w:t>
                  </w:r>
                  <w:r>
                    <w:rPr>
                      <w:rFonts w:ascii="宋体" w:hAnsi="宋体" w:cs="宋体" w:eastAsia="宋体"/>
                      <w:sz w:val="21"/>
                    </w:rPr>
                    <w:t>需求编制</w:t>
                  </w:r>
                  <w:r>
                    <w:rPr>
                      <w:rFonts w:ascii="宋体" w:hAnsi="宋体" w:cs="宋体" w:eastAsia="宋体"/>
                      <w:sz w:val="21"/>
                    </w:rPr>
                    <w:t>，</w:t>
                  </w:r>
                  <w:r>
                    <w:rPr>
                      <w:rFonts w:ascii="宋体" w:hAnsi="宋体" w:cs="宋体" w:eastAsia="宋体"/>
                      <w:sz w:val="21"/>
                    </w:rPr>
                    <w:t>符合管理要求和工作实际需要。</w:t>
                  </w:r>
                </w:p>
              </w:tc>
            </w:tr>
            <w:tr>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《陕西省医保业务综合服务终端网络接入规范》</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参考国家相关标准规范要求，根据</w:t>
                  </w:r>
                  <w:r>
                    <w:rPr>
                      <w:rFonts w:ascii="宋体" w:hAnsi="宋体" w:cs="宋体" w:eastAsia="宋体"/>
                      <w:sz w:val="21"/>
                    </w:rPr>
                    <w:t>实际</w:t>
                  </w:r>
                  <w:r>
                    <w:rPr>
                      <w:rFonts w:ascii="宋体" w:hAnsi="宋体" w:cs="宋体" w:eastAsia="宋体"/>
                      <w:sz w:val="21"/>
                    </w:rPr>
                    <w:t>需求编制</w:t>
                  </w:r>
                  <w:r>
                    <w:rPr>
                      <w:rFonts w:ascii="宋体" w:hAnsi="宋体" w:cs="宋体" w:eastAsia="宋体"/>
                      <w:sz w:val="21"/>
                    </w:rPr>
                    <w:t>，</w:t>
                  </w:r>
                  <w:r>
                    <w:rPr>
                      <w:rFonts w:ascii="宋体" w:hAnsi="宋体" w:cs="宋体" w:eastAsia="宋体"/>
                      <w:sz w:val="21"/>
                    </w:rPr>
                    <w:t>符合管理要求和工作实际需要。</w:t>
                  </w:r>
                </w:p>
              </w:tc>
            </w:tr>
            <w:tr>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《陕西省医保业务综合服务终端医保业务接入规范》</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参考国家相关标准规范要求，根据</w:t>
                  </w:r>
                  <w:r>
                    <w:rPr>
                      <w:rFonts w:ascii="宋体" w:hAnsi="宋体" w:cs="宋体" w:eastAsia="宋体"/>
                      <w:sz w:val="21"/>
                    </w:rPr>
                    <w:t>实际</w:t>
                  </w:r>
                  <w:r>
                    <w:rPr>
                      <w:rFonts w:ascii="宋体" w:hAnsi="宋体" w:cs="宋体" w:eastAsia="宋体"/>
                      <w:sz w:val="21"/>
                    </w:rPr>
                    <w:t>需求编制</w:t>
                  </w:r>
                  <w:r>
                    <w:rPr>
                      <w:rFonts w:ascii="宋体" w:hAnsi="宋体" w:cs="宋体" w:eastAsia="宋体"/>
                      <w:sz w:val="21"/>
                    </w:rPr>
                    <w:t>，</w:t>
                  </w:r>
                  <w:r>
                    <w:rPr>
                      <w:rFonts w:ascii="宋体" w:hAnsi="宋体" w:cs="宋体" w:eastAsia="宋体"/>
                      <w:sz w:val="21"/>
                    </w:rPr>
                    <w:t>符合管理要求和工作实际需要。</w:t>
                  </w:r>
                </w:p>
              </w:tc>
            </w:tr>
            <w:tr>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《医保业务综合服务终端的医保电子凭证（医保码）应用场景规范》</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参考国家相关标准规范要求，根据</w:t>
                  </w:r>
                  <w:r>
                    <w:rPr>
                      <w:rFonts w:ascii="宋体" w:hAnsi="宋体" w:cs="宋体" w:eastAsia="宋体"/>
                      <w:sz w:val="21"/>
                    </w:rPr>
                    <w:t>实际</w:t>
                  </w:r>
                  <w:r>
                    <w:rPr>
                      <w:rFonts w:ascii="宋体" w:hAnsi="宋体" w:cs="宋体" w:eastAsia="宋体"/>
                      <w:sz w:val="21"/>
                    </w:rPr>
                    <w:t>需求编制</w:t>
                  </w:r>
                  <w:r>
                    <w:rPr>
                      <w:rFonts w:ascii="宋体" w:hAnsi="宋体" w:cs="宋体" w:eastAsia="宋体"/>
                      <w:sz w:val="21"/>
                    </w:rPr>
                    <w:t>，</w:t>
                  </w:r>
                  <w:r>
                    <w:rPr>
                      <w:rFonts w:ascii="宋体" w:hAnsi="宋体" w:cs="宋体" w:eastAsia="宋体"/>
                      <w:sz w:val="21"/>
                    </w:rPr>
                    <w:t>符合管理要求和工作实际需要。</w:t>
                  </w:r>
                </w:p>
              </w:tc>
            </w:tr>
          </w:tbl>
          <w:p>
            <w:pPr>
              <w:pStyle w:val="null3"/>
              <w:ind w:firstLine="600"/>
            </w:pPr>
            <w:r>
              <w:rPr>
                <w:rFonts w:ascii="宋体" w:hAnsi="宋体" w:cs="宋体" w:eastAsia="宋体"/>
                <w:sz w:val="21"/>
              </w:rPr>
              <w:t>4）服务量和工作量评估</w:t>
            </w:r>
          </w:p>
          <w:p>
            <w:pPr>
              <w:pStyle w:val="null3"/>
              <w:ind w:firstLine="600"/>
            </w:pPr>
            <w:r>
              <w:rPr>
                <w:rFonts w:ascii="宋体" w:hAnsi="宋体" w:cs="宋体" w:eastAsia="宋体"/>
                <w:sz w:val="21"/>
              </w:rPr>
              <w:t>结合国家规范和工作实际需要，制定</w:t>
            </w:r>
            <w:r>
              <w:rPr>
                <w:rFonts w:ascii="宋体" w:hAnsi="宋体" w:cs="宋体" w:eastAsia="宋体"/>
                <w:sz w:val="21"/>
              </w:rPr>
              <w:t>4项相关管理和应用规范。</w:t>
            </w:r>
          </w:p>
          <w:p>
            <w:pPr>
              <w:pStyle w:val="null3"/>
              <w:ind w:firstLine="600"/>
            </w:pPr>
            <w:r>
              <w:rPr>
                <w:rFonts w:ascii="宋体" w:hAnsi="宋体" w:cs="宋体" w:eastAsia="宋体"/>
                <w:sz w:val="21"/>
              </w:rPr>
              <w:t>3、技术指导服务</w:t>
            </w:r>
          </w:p>
          <w:p>
            <w:pPr>
              <w:pStyle w:val="null3"/>
              <w:ind w:firstLine="600"/>
            </w:pPr>
            <w:r>
              <w:rPr>
                <w:rFonts w:ascii="宋体" w:hAnsi="宋体" w:cs="宋体" w:eastAsia="宋体"/>
                <w:sz w:val="21"/>
              </w:rPr>
              <w:t>1）服务内容</w:t>
            </w:r>
          </w:p>
          <w:p>
            <w:pPr>
              <w:pStyle w:val="null3"/>
              <w:ind w:firstLine="600"/>
            </w:pPr>
            <w:r>
              <w:rPr>
                <w:rFonts w:ascii="宋体" w:hAnsi="宋体" w:cs="宋体" w:eastAsia="宋体"/>
                <w:sz w:val="21"/>
              </w:rPr>
              <w:t>技术指导服务主要为陕西省医保局信息化主管部门提供技术团队支撑服务，支撑医保信息化标准化的持续化建设工作。按照管理要求和技术标准规范，通过专业团队指导陕西省医疗保障信息平台相关承建厂商进行医保电子凭证（医保码）应用场景接口改造开发，实现医保电子凭证（医保码）应用场景清单业务深化应用；配合全省</w:t>
            </w:r>
            <w:r>
              <w:rPr>
                <w:rFonts w:ascii="宋体" w:hAnsi="宋体" w:cs="宋体" w:eastAsia="宋体"/>
                <w:sz w:val="21"/>
              </w:rPr>
              <w:t>12个统筹区市、县（区）两级共计326个医保部门，指导所属辖区内各级定点医药机构（24471家定点医疗机构和14956 家定点药店）、HIS软件厂商和终端设备厂商的接口改造工作，实现定点医药机构医药业务服务与医保业务服务的兼容互通。在指导过程中，将常见问题和解决方案编制成指引手册，便于服务对象快速解决问题。</w:t>
            </w:r>
          </w:p>
          <w:p>
            <w:pPr>
              <w:pStyle w:val="null3"/>
              <w:ind w:firstLine="600"/>
            </w:pPr>
            <w:r>
              <w:rPr>
                <w:rFonts w:ascii="宋体" w:hAnsi="宋体" w:cs="宋体" w:eastAsia="宋体"/>
                <w:sz w:val="21"/>
              </w:rPr>
              <w:t>2）服务要求</w:t>
            </w:r>
          </w:p>
          <w:p>
            <w:pPr>
              <w:pStyle w:val="null3"/>
              <w:ind w:firstLine="600"/>
            </w:pPr>
            <w:r>
              <w:rPr>
                <w:rFonts w:ascii="宋体" w:hAnsi="宋体" w:cs="宋体" w:eastAsia="宋体"/>
                <w:sz w:val="21"/>
              </w:rPr>
              <w:t>严格遵循各项管理要求和技术标准规范，技术团队必须具有医保业务综合服务终端和医保电子凭证（医保）领域的专业知识、技能以及良好的沟通能力和表达能力，能够为各类对象提供准确、专业的指导和建议，及时响应解决应用落地中遇到的相关技术问题。</w:t>
            </w:r>
          </w:p>
          <w:p>
            <w:pPr>
              <w:pStyle w:val="null3"/>
              <w:ind w:firstLine="600"/>
            </w:pPr>
            <w:r>
              <w:rPr>
                <w:rFonts w:ascii="宋体" w:hAnsi="宋体" w:cs="宋体" w:eastAsia="宋体"/>
                <w:sz w:val="21"/>
              </w:rPr>
              <w:t>3）交付物及交付标准</w:t>
            </w:r>
          </w:p>
          <w:tbl>
            <w:tblPr>
              <w:tblBorders>
                <w:top w:val="none" w:color="000000" w:sz="4"/>
                <w:left w:val="none" w:color="000000" w:sz="4"/>
                <w:bottom w:val="none" w:color="000000" w:sz="4"/>
                <w:right w:val="none" w:color="000000" w:sz="4"/>
                <w:insideH w:val="none"/>
                <w:insideV w:val="none"/>
              </w:tblBorders>
            </w:tblPr>
            <w:tblGrid>
              <w:gridCol w:w="1063"/>
              <w:gridCol w:w="1490"/>
            </w:tblGrid>
            <w:tr>
              <w:tc>
                <w:tcPr>
                  <w:tcW w:type="dxa" w:w="10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pPr>
                  <w:r>
                    <w:rPr>
                      <w:rFonts w:ascii="宋体" w:hAnsi="宋体" w:cs="宋体" w:eastAsia="宋体"/>
                      <w:sz w:val="21"/>
                    </w:rPr>
                    <w:t>交付物</w:t>
                  </w:r>
                </w:p>
              </w:tc>
              <w:tc>
                <w:tcPr>
                  <w:tcW w:type="dxa" w:w="1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pPr>
                  <w:r>
                    <w:rPr>
                      <w:rFonts w:ascii="宋体" w:hAnsi="宋体" w:cs="宋体" w:eastAsia="宋体"/>
                      <w:sz w:val="21"/>
                    </w:rPr>
                    <w:t>交付物标准</w:t>
                  </w:r>
                </w:p>
              </w:tc>
            </w:tr>
            <w:tr>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pPr>
                  <w:r>
                    <w:rPr>
                      <w:rFonts w:ascii="宋体" w:hAnsi="宋体" w:cs="宋体" w:eastAsia="宋体"/>
                      <w:sz w:val="21"/>
                    </w:rPr>
                    <w:t>《常见问题指引手册》</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pPr>
                  <w:r>
                    <w:rPr>
                      <w:rFonts w:ascii="宋体" w:hAnsi="宋体" w:cs="宋体" w:eastAsia="宋体"/>
                      <w:sz w:val="21"/>
                    </w:rPr>
                    <w:t>有效指引相关单位快速定位问题、解决问题，并持续更新。</w:t>
                  </w:r>
                </w:p>
              </w:tc>
            </w:tr>
          </w:tbl>
          <w:p>
            <w:pPr>
              <w:pStyle w:val="null3"/>
              <w:ind w:firstLine="600"/>
            </w:pPr>
            <w:r>
              <w:rPr>
                <w:rFonts w:ascii="宋体" w:hAnsi="宋体" w:cs="宋体" w:eastAsia="宋体"/>
                <w:sz w:val="21"/>
              </w:rPr>
              <w:t>4）服务量和工作量评估</w:t>
            </w:r>
          </w:p>
          <w:p>
            <w:pPr>
              <w:pStyle w:val="null3"/>
              <w:ind w:firstLine="600"/>
            </w:pPr>
            <w:r>
              <w:rPr>
                <w:rFonts w:ascii="宋体" w:hAnsi="宋体" w:cs="宋体" w:eastAsia="宋体"/>
                <w:sz w:val="21"/>
              </w:rPr>
              <w:t>面向全省</w:t>
            </w:r>
            <w:r>
              <w:rPr>
                <w:rFonts w:ascii="宋体" w:hAnsi="宋体" w:cs="宋体" w:eastAsia="宋体"/>
                <w:sz w:val="21"/>
              </w:rPr>
              <w:t>12个统筹区各级医保部门，指导所属辖区内各级定点医药机构、HIS软件厂商和终端设备厂商等单位提供技术指导服务</w:t>
            </w:r>
            <w:r>
              <w:rPr>
                <w:rFonts w:ascii="宋体" w:hAnsi="宋体" w:cs="宋体" w:eastAsia="宋体"/>
                <w:sz w:val="21"/>
              </w:rPr>
              <w:t>，</w:t>
            </w:r>
            <w:r>
              <w:rPr>
                <w:rFonts w:ascii="宋体" w:hAnsi="宋体" w:cs="宋体" w:eastAsia="宋体"/>
                <w:sz w:val="21"/>
              </w:rPr>
              <w:t>持续开展此工作。</w:t>
            </w:r>
          </w:p>
          <w:p>
            <w:pPr>
              <w:pStyle w:val="null3"/>
              <w:ind w:firstLine="600"/>
            </w:pPr>
            <w:r>
              <w:rPr>
                <w:rFonts w:ascii="宋体" w:hAnsi="宋体" w:cs="宋体" w:eastAsia="宋体"/>
                <w:sz w:val="21"/>
              </w:rPr>
              <w:t>4、宣贯培训服务</w:t>
            </w:r>
          </w:p>
          <w:p>
            <w:pPr>
              <w:pStyle w:val="null3"/>
              <w:ind w:firstLine="600"/>
            </w:pPr>
            <w:r>
              <w:rPr>
                <w:rFonts w:ascii="宋体" w:hAnsi="宋体" w:cs="宋体" w:eastAsia="宋体"/>
                <w:sz w:val="21"/>
              </w:rPr>
              <w:t>1）服务内容</w:t>
            </w:r>
          </w:p>
          <w:p>
            <w:pPr>
              <w:pStyle w:val="null3"/>
              <w:ind w:firstLine="600"/>
            </w:pPr>
            <w:r>
              <w:rPr>
                <w:rFonts w:ascii="宋体" w:hAnsi="宋体" w:cs="宋体" w:eastAsia="宋体"/>
                <w:sz w:val="21"/>
              </w:rPr>
              <w:t>通过会议、讲座、视频等方式，协助省医保局或地市医保局开展基于医保业务综合服务终端的医保电子凭证（医保码）全流程应用的宣贯培训服务。配合省医保局指导地市医保局开展定点医药机构基于医保业务综合服务终端的医保电子凭证（医保码）全流程应用建设，提供专业的应用推广技术咨询服务。</w:t>
            </w:r>
          </w:p>
          <w:p>
            <w:pPr>
              <w:pStyle w:val="null3"/>
              <w:ind w:firstLine="600"/>
            </w:pPr>
            <w:r>
              <w:rPr>
                <w:rFonts w:ascii="宋体" w:hAnsi="宋体" w:cs="宋体" w:eastAsia="宋体"/>
                <w:sz w:val="21"/>
              </w:rPr>
              <w:t>2）服务要求</w:t>
            </w:r>
          </w:p>
          <w:p>
            <w:pPr>
              <w:pStyle w:val="null3"/>
              <w:ind w:firstLine="600"/>
            </w:pPr>
            <w:r>
              <w:rPr>
                <w:rFonts w:ascii="宋体" w:hAnsi="宋体" w:cs="宋体" w:eastAsia="宋体"/>
                <w:sz w:val="21"/>
              </w:rPr>
              <w:t>在陕西省医保局统一规划下，结合调研分析情况，制定培训计划、培训方案，针对培训内容编制培训课件，安排具有相关技术能力和经验的培训讲师，保障培训效果质量。</w:t>
            </w:r>
          </w:p>
          <w:p>
            <w:pPr>
              <w:pStyle w:val="null3"/>
              <w:ind w:firstLine="600"/>
            </w:pPr>
            <w:r>
              <w:rPr>
                <w:rFonts w:ascii="宋体" w:hAnsi="宋体" w:cs="宋体" w:eastAsia="宋体"/>
                <w:sz w:val="21"/>
              </w:rPr>
              <w:t>3）交付物及交付标准</w:t>
            </w:r>
          </w:p>
          <w:tbl>
            <w:tblPr>
              <w:tblBorders>
                <w:top w:val="none" w:color="000000" w:sz="4"/>
                <w:left w:val="none" w:color="000000" w:sz="4"/>
                <w:bottom w:val="none" w:color="000000" w:sz="4"/>
                <w:right w:val="none" w:color="000000" w:sz="4"/>
                <w:insideH w:val="none"/>
                <w:insideV w:val="none"/>
              </w:tblBorders>
            </w:tblPr>
            <w:tblGrid>
              <w:gridCol w:w="1063"/>
              <w:gridCol w:w="1490"/>
            </w:tblGrid>
            <w:tr>
              <w:tc>
                <w:tcPr>
                  <w:tcW w:type="dxa" w:w="10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1"/>
                    </w:rPr>
                    <w:t>交付物</w:t>
                  </w:r>
                </w:p>
              </w:tc>
              <w:tc>
                <w:tcPr>
                  <w:tcW w:type="dxa" w:w="1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1"/>
                    </w:rPr>
                    <w:t>交付物标准</w:t>
                  </w:r>
                </w:p>
              </w:tc>
            </w:tr>
            <w:tr>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r>
                    <w:rPr>
                      <w:rFonts w:ascii="宋体" w:hAnsi="宋体" w:cs="宋体" w:eastAsia="宋体"/>
                      <w:sz w:val="21"/>
                    </w:rPr>
                    <w:t>培训计划</w:t>
                  </w:r>
                  <w:r>
                    <w:rPr>
                      <w:rFonts w:ascii="宋体" w:hAnsi="宋体" w:cs="宋体" w:eastAsia="宋体"/>
                      <w:sz w:val="21"/>
                    </w:rPr>
                    <w:t>》</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计划安排合理，符合工作开展需要。</w:t>
                  </w:r>
                </w:p>
              </w:tc>
            </w:tr>
            <w:tr>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《培训方案》</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培训范围、内容、时间、地点、讲师等安排合理，满足培训对象对知识获取的需求。</w:t>
                  </w:r>
                </w:p>
              </w:tc>
            </w:tr>
            <w:tr>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《培训课件》</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知识全面，覆盖不同对象对知识获取的需求，有效提升培训对象的专业能力。</w:t>
                  </w:r>
                </w:p>
              </w:tc>
            </w:tr>
          </w:tbl>
          <w:p>
            <w:pPr>
              <w:pStyle w:val="null3"/>
              <w:ind w:firstLine="600"/>
            </w:pPr>
            <w:r>
              <w:rPr>
                <w:rFonts w:ascii="宋体" w:hAnsi="宋体" w:cs="宋体" w:eastAsia="宋体"/>
                <w:sz w:val="21"/>
              </w:rPr>
              <w:t>4）服务量和工作量评估</w:t>
            </w:r>
          </w:p>
          <w:p>
            <w:pPr>
              <w:pStyle w:val="null3"/>
              <w:ind w:firstLine="600"/>
            </w:pPr>
            <w:r>
              <w:rPr>
                <w:rFonts w:ascii="宋体" w:hAnsi="宋体" w:cs="宋体" w:eastAsia="宋体"/>
                <w:sz w:val="21"/>
              </w:rPr>
              <w:t>配合省医保局或地市医保局向所属辖区内各级定点医药机构、</w:t>
            </w:r>
            <w:r>
              <w:rPr>
                <w:rFonts w:ascii="宋体" w:hAnsi="宋体" w:cs="宋体" w:eastAsia="宋体"/>
                <w:sz w:val="21"/>
              </w:rPr>
              <w:t>HIS软件厂商和终端设备厂商等单位提供技术培训服务，围绕医保业务综合服务终端和基于终端的电子凭证（医保码）的应用，编制培训计划、方案、课件等</w:t>
            </w:r>
            <w:r>
              <w:rPr>
                <w:rFonts w:ascii="宋体" w:hAnsi="宋体" w:cs="宋体" w:eastAsia="宋体"/>
                <w:sz w:val="21"/>
              </w:rPr>
              <w:t>，至少</w:t>
            </w:r>
            <w:r>
              <w:rPr>
                <w:rFonts w:ascii="宋体" w:hAnsi="宋体" w:cs="宋体" w:eastAsia="宋体"/>
                <w:sz w:val="21"/>
              </w:rPr>
              <w:t>2次</w:t>
            </w:r>
            <w:r>
              <w:rPr>
                <w:rFonts w:ascii="宋体" w:hAnsi="宋体" w:cs="宋体" w:eastAsia="宋体"/>
                <w:sz w:val="21"/>
              </w:rPr>
              <w:t>培训。</w:t>
            </w:r>
          </w:p>
          <w:p>
            <w:pPr>
              <w:pStyle w:val="null3"/>
              <w:ind w:firstLine="600"/>
            </w:pPr>
            <w:r>
              <w:rPr>
                <w:rFonts w:ascii="宋体" w:hAnsi="宋体" w:cs="宋体" w:eastAsia="宋体"/>
                <w:sz w:val="21"/>
              </w:rPr>
              <w:t>5、绩效评估服务</w:t>
            </w:r>
          </w:p>
          <w:p>
            <w:pPr>
              <w:pStyle w:val="null3"/>
              <w:ind w:firstLine="600"/>
            </w:pPr>
            <w:r>
              <w:rPr>
                <w:rFonts w:ascii="宋体" w:hAnsi="宋体" w:cs="宋体" w:eastAsia="宋体"/>
                <w:sz w:val="21"/>
              </w:rPr>
              <w:t>1）服务内容</w:t>
            </w:r>
          </w:p>
          <w:p>
            <w:pPr>
              <w:pStyle w:val="null3"/>
              <w:ind w:firstLine="600"/>
            </w:pPr>
            <w:r>
              <w:rPr>
                <w:rFonts w:ascii="宋体" w:hAnsi="宋体" w:cs="宋体" w:eastAsia="宋体"/>
                <w:sz w:val="21"/>
              </w:rPr>
              <w:t>绩效评估服务主要为陕西省医疗保障局主管部门、考核管理人员提供考核支撑服务。为支撑常态化医保电子凭证（医保码）考核工作。根据国家局医保信息化标准化工作绩效考核评估工作中对医保电子凭证（医保码）的要求，服务人员按照上级的评估方法、评估流程、评估指标收集资料，结合各地市实际情况，配合陕西省医保局推进地市医保电子凭证（医保码）应用绩效考核。</w:t>
            </w:r>
          </w:p>
          <w:p>
            <w:pPr>
              <w:pStyle w:val="null3"/>
              <w:ind w:firstLine="600"/>
            </w:pPr>
            <w:r>
              <w:rPr>
                <w:rFonts w:ascii="宋体" w:hAnsi="宋体" w:cs="宋体" w:eastAsia="宋体"/>
                <w:sz w:val="21"/>
              </w:rPr>
              <w:t>2）服务要求</w:t>
            </w:r>
          </w:p>
          <w:p>
            <w:pPr>
              <w:pStyle w:val="null3"/>
              <w:ind w:firstLine="600"/>
            </w:pPr>
            <w:r>
              <w:rPr>
                <w:rFonts w:ascii="宋体" w:hAnsi="宋体" w:cs="宋体" w:eastAsia="宋体"/>
                <w:sz w:val="21"/>
              </w:rPr>
              <w:t>开展绩效评估服务工作，在期初协助梳理国家医保信息化标准化指标体系及省市二级指标分解，在考核过程中开展对接答疑，确保绩效评估口径充分理解，常态化开展绩效评估服务。</w:t>
            </w:r>
          </w:p>
          <w:p>
            <w:pPr>
              <w:pStyle w:val="null3"/>
              <w:ind w:firstLine="600"/>
            </w:pPr>
            <w:r>
              <w:rPr>
                <w:rFonts w:ascii="宋体" w:hAnsi="宋体" w:cs="宋体" w:eastAsia="宋体"/>
                <w:sz w:val="21"/>
              </w:rPr>
              <w:t>3）交付物及交付标准</w:t>
            </w:r>
          </w:p>
          <w:tbl>
            <w:tblPr>
              <w:tblBorders>
                <w:top w:val="none" w:color="000000" w:sz="4"/>
                <w:left w:val="none" w:color="000000" w:sz="4"/>
                <w:bottom w:val="none" w:color="000000" w:sz="4"/>
                <w:right w:val="none" w:color="000000" w:sz="4"/>
                <w:insideH w:val="none"/>
                <w:insideV w:val="none"/>
              </w:tblBorders>
            </w:tblPr>
            <w:tblGrid>
              <w:gridCol w:w="1063"/>
              <w:gridCol w:w="1490"/>
            </w:tblGrid>
            <w:tr>
              <w:tc>
                <w:tcPr>
                  <w:tcW w:type="dxa" w:w="10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1"/>
                    </w:rPr>
                    <w:t>交付物</w:t>
                  </w:r>
                </w:p>
              </w:tc>
              <w:tc>
                <w:tcPr>
                  <w:tcW w:type="dxa" w:w="1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1"/>
                    </w:rPr>
                    <w:t>交付物标准</w:t>
                  </w:r>
                </w:p>
              </w:tc>
            </w:tr>
            <w:tr>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r>
                    <w:rPr>
                      <w:rFonts w:ascii="宋体" w:hAnsi="宋体" w:cs="宋体" w:eastAsia="宋体"/>
                      <w:color w:val="000000"/>
                      <w:sz w:val="21"/>
                    </w:rPr>
                    <w:t>绩效考核指标</w:t>
                  </w:r>
                  <w:r>
                    <w:rPr>
                      <w:rFonts w:ascii="宋体" w:hAnsi="宋体" w:cs="宋体" w:eastAsia="宋体"/>
                      <w:sz w:val="21"/>
                    </w:rPr>
                    <w:t>》</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参考国家相关标准规范要求，根据</w:t>
                  </w:r>
                  <w:r>
                    <w:rPr>
                      <w:rFonts w:ascii="宋体" w:hAnsi="宋体" w:cs="宋体" w:eastAsia="宋体"/>
                      <w:sz w:val="21"/>
                    </w:rPr>
                    <w:t>实际</w:t>
                  </w:r>
                  <w:r>
                    <w:rPr>
                      <w:rFonts w:ascii="宋体" w:hAnsi="宋体" w:cs="宋体" w:eastAsia="宋体"/>
                      <w:sz w:val="21"/>
                    </w:rPr>
                    <w:t>需求编制</w:t>
                  </w:r>
                  <w:r>
                    <w:rPr>
                      <w:rFonts w:ascii="宋体" w:hAnsi="宋体" w:cs="宋体" w:eastAsia="宋体"/>
                      <w:sz w:val="21"/>
                    </w:rPr>
                    <w:t>医保电子凭证（医保码）应用绩效考核指标。</w:t>
                  </w:r>
                </w:p>
              </w:tc>
            </w:tr>
          </w:tbl>
          <w:p>
            <w:pPr>
              <w:pStyle w:val="null3"/>
              <w:ind w:firstLine="600"/>
            </w:pPr>
            <w:r>
              <w:rPr>
                <w:rFonts w:ascii="宋体" w:hAnsi="宋体" w:cs="宋体" w:eastAsia="宋体"/>
                <w:sz w:val="21"/>
              </w:rPr>
              <w:t>4）服务量和工作量评估</w:t>
            </w:r>
          </w:p>
          <w:p>
            <w:pPr>
              <w:pStyle w:val="null3"/>
              <w:ind w:firstLine="600"/>
            </w:pPr>
            <w:r>
              <w:rPr>
                <w:rFonts w:ascii="宋体" w:hAnsi="宋体" w:cs="宋体" w:eastAsia="宋体"/>
                <w:sz w:val="21"/>
              </w:rPr>
              <w:t>编制绩效考核指标，配合省医保局按需向</w:t>
            </w:r>
            <w:r>
              <w:rPr>
                <w:rFonts w:ascii="宋体" w:hAnsi="宋体" w:cs="宋体" w:eastAsia="宋体"/>
                <w:sz w:val="21"/>
              </w:rPr>
              <w:t>12个统筹区医保部门收集考核所需上报材料。</w:t>
            </w:r>
          </w:p>
          <w:p>
            <w:pPr>
              <w:pStyle w:val="null3"/>
              <w:ind w:firstLine="600"/>
            </w:pPr>
            <w:r>
              <w:rPr>
                <w:rFonts w:ascii="宋体" w:hAnsi="宋体" w:cs="宋体" w:eastAsia="宋体"/>
                <w:sz w:val="21"/>
              </w:rPr>
              <w:t>6、督导调度服务</w:t>
            </w:r>
          </w:p>
          <w:p>
            <w:pPr>
              <w:pStyle w:val="null3"/>
              <w:ind w:firstLine="600"/>
            </w:pPr>
            <w:r>
              <w:rPr>
                <w:rFonts w:ascii="宋体" w:hAnsi="宋体" w:cs="宋体" w:eastAsia="宋体"/>
                <w:sz w:val="21"/>
              </w:rPr>
              <w:t>1）服务内容</w:t>
            </w:r>
          </w:p>
          <w:p>
            <w:pPr>
              <w:pStyle w:val="null3"/>
              <w:ind w:firstLine="600"/>
            </w:pPr>
            <w:r>
              <w:rPr>
                <w:rFonts w:ascii="宋体" w:hAnsi="宋体" w:cs="宋体" w:eastAsia="宋体"/>
                <w:sz w:val="21"/>
              </w:rPr>
              <w:t>对比绩效考核指标，协助省医保局制定下步工作方针。对未满足考核标准的医保部门和定点医药机构进行督导调度，并给予指导和培训工作。</w:t>
            </w:r>
          </w:p>
          <w:p>
            <w:pPr>
              <w:pStyle w:val="null3"/>
              <w:ind w:firstLine="600"/>
            </w:pPr>
            <w:r>
              <w:rPr>
                <w:rFonts w:ascii="宋体" w:hAnsi="宋体" w:cs="宋体" w:eastAsia="宋体"/>
                <w:sz w:val="21"/>
              </w:rPr>
              <w:t>2）服务要求</w:t>
            </w:r>
          </w:p>
          <w:p>
            <w:pPr>
              <w:pStyle w:val="null3"/>
              <w:ind w:firstLine="600"/>
            </w:pPr>
            <w:r>
              <w:rPr>
                <w:rFonts w:ascii="宋体" w:hAnsi="宋体" w:cs="宋体" w:eastAsia="宋体"/>
                <w:sz w:val="21"/>
              </w:rPr>
              <w:t>在陕西省医疗保障局的统一领导下，分析</w:t>
            </w:r>
            <w:r>
              <w:rPr>
                <w:rFonts w:ascii="宋体" w:hAnsi="宋体" w:cs="宋体" w:eastAsia="宋体"/>
                <w:sz w:val="21"/>
              </w:rPr>
              <w:t>12个统筹区医保部门以及辖区内各级定点医药机构的医保电子凭证（医保码）应用绩效考核情况，聚焦重点领域和问题，给予专业的建议与支持。</w:t>
            </w:r>
          </w:p>
          <w:p>
            <w:pPr>
              <w:pStyle w:val="null3"/>
              <w:ind w:firstLine="600"/>
            </w:pPr>
            <w:r>
              <w:rPr>
                <w:rFonts w:ascii="宋体" w:hAnsi="宋体" w:cs="宋体" w:eastAsia="宋体"/>
                <w:sz w:val="21"/>
              </w:rPr>
              <w:t>3）交付物及交付标准</w:t>
            </w:r>
          </w:p>
          <w:tbl>
            <w:tblPr>
              <w:tblBorders>
                <w:top w:val="none" w:color="000000" w:sz="4"/>
                <w:left w:val="none" w:color="000000" w:sz="4"/>
                <w:bottom w:val="none" w:color="000000" w:sz="4"/>
                <w:right w:val="none" w:color="000000" w:sz="4"/>
                <w:insideH w:val="none"/>
                <w:insideV w:val="none"/>
              </w:tblBorders>
            </w:tblPr>
            <w:tblGrid>
              <w:gridCol w:w="1063"/>
              <w:gridCol w:w="1490"/>
            </w:tblGrid>
            <w:tr>
              <w:tc>
                <w:tcPr>
                  <w:tcW w:type="dxa" w:w="10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1"/>
                    </w:rPr>
                    <w:t>交付物</w:t>
                  </w:r>
                </w:p>
              </w:tc>
              <w:tc>
                <w:tcPr>
                  <w:tcW w:type="dxa" w:w="1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1"/>
                    </w:rPr>
                    <w:t>交付物标准</w:t>
                  </w:r>
                </w:p>
              </w:tc>
            </w:tr>
            <w:tr>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r>
                    <w:rPr>
                      <w:rFonts w:ascii="宋体" w:hAnsi="宋体" w:cs="宋体" w:eastAsia="宋体"/>
                      <w:color w:val="000000"/>
                      <w:sz w:val="21"/>
                    </w:rPr>
                    <w:t>重点问题记录台账</w:t>
                  </w:r>
                  <w:r>
                    <w:rPr>
                      <w:rFonts w:ascii="宋体" w:hAnsi="宋体" w:cs="宋体" w:eastAsia="宋体"/>
                      <w:sz w:val="21"/>
                    </w:rPr>
                    <w:t>》</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根据应用绩效考核情况，聚焦重点领域和问题，详实记录。</w:t>
                  </w:r>
                </w:p>
              </w:tc>
            </w:tr>
          </w:tbl>
          <w:p>
            <w:pPr>
              <w:pStyle w:val="null3"/>
              <w:ind w:firstLine="600"/>
            </w:pPr>
            <w:r>
              <w:rPr>
                <w:rFonts w:ascii="宋体" w:hAnsi="宋体" w:cs="宋体" w:eastAsia="宋体"/>
                <w:sz w:val="21"/>
              </w:rPr>
              <w:t>4）服务量和工作量评估</w:t>
            </w:r>
          </w:p>
          <w:p>
            <w:pPr>
              <w:pStyle w:val="null3"/>
              <w:ind w:firstLine="600"/>
            </w:pPr>
            <w:r>
              <w:rPr>
                <w:rFonts w:ascii="宋体" w:hAnsi="宋体" w:cs="宋体" w:eastAsia="宋体"/>
                <w:sz w:val="21"/>
              </w:rPr>
              <w:t>根据绩效考核指标，定向向地市医保局向所属辖区内各级定点医药机构、</w:t>
            </w:r>
            <w:r>
              <w:rPr>
                <w:rFonts w:ascii="宋体" w:hAnsi="宋体" w:cs="宋体" w:eastAsia="宋体"/>
                <w:sz w:val="21"/>
              </w:rPr>
              <w:t>HIS软件厂商和终端设备厂商等单位的工作进度、质量等不满足情况，进度督促指导</w:t>
            </w:r>
            <w:r>
              <w:rPr>
                <w:rFonts w:ascii="宋体" w:hAnsi="宋体" w:cs="宋体" w:eastAsia="宋体"/>
                <w:sz w:val="21"/>
              </w:rPr>
              <w:t>，</w:t>
            </w:r>
            <w:r>
              <w:rPr>
                <w:rFonts w:ascii="宋体" w:hAnsi="宋体" w:cs="宋体" w:eastAsia="宋体"/>
                <w:sz w:val="21"/>
              </w:rPr>
              <w:t>持续开展此工作。</w:t>
            </w:r>
          </w:p>
          <w:p>
            <w:pPr>
              <w:pStyle w:val="null3"/>
              <w:ind w:firstLine="600"/>
              <w:outlineLvl w:val="2"/>
            </w:pPr>
            <w:r>
              <w:rPr>
                <w:rFonts w:ascii="宋体" w:hAnsi="宋体" w:cs="宋体" w:eastAsia="宋体"/>
                <w:b/>
                <w:sz w:val="21"/>
              </w:rPr>
              <w:t>（二）数据加工处理服务</w:t>
            </w:r>
          </w:p>
          <w:p>
            <w:pPr>
              <w:pStyle w:val="null3"/>
              <w:ind w:firstLine="600"/>
            </w:pPr>
            <w:r>
              <w:rPr>
                <w:rFonts w:ascii="宋体" w:hAnsi="宋体" w:cs="宋体" w:eastAsia="宋体"/>
                <w:sz w:val="21"/>
              </w:rPr>
              <w:t>1、数据采集服务</w:t>
            </w:r>
          </w:p>
          <w:p>
            <w:pPr>
              <w:pStyle w:val="null3"/>
              <w:ind w:firstLine="600"/>
            </w:pPr>
            <w:r>
              <w:rPr>
                <w:rFonts w:ascii="宋体" w:hAnsi="宋体" w:cs="宋体" w:eastAsia="宋体"/>
                <w:sz w:val="21"/>
              </w:rPr>
              <w:t>1）服务内容</w:t>
            </w:r>
          </w:p>
          <w:p>
            <w:pPr>
              <w:pStyle w:val="null3"/>
              <w:ind w:firstLine="600"/>
            </w:pPr>
            <w:r>
              <w:rPr>
                <w:rFonts w:ascii="宋体" w:hAnsi="宋体" w:cs="宋体" w:eastAsia="宋体"/>
                <w:sz w:val="21"/>
              </w:rPr>
              <w:t>为有效开展统筹管理工作，常态化监测医保业务综合服务终端运行状态、医保电子凭证（医保码）应用情况，对基于医保业务综合服务终端所产生的设备信息数据、机构信息数据、网络接入信息数据、医保业务应用数据以及所产生医保电子凭证（医保码）的激活数据、结算数据和应用场景数据进行采集。</w:t>
            </w:r>
          </w:p>
          <w:p>
            <w:pPr>
              <w:pStyle w:val="null3"/>
              <w:ind w:firstLine="600"/>
            </w:pPr>
            <w:r>
              <w:rPr>
                <w:rFonts w:ascii="宋体" w:hAnsi="宋体" w:cs="宋体" w:eastAsia="宋体"/>
                <w:sz w:val="21"/>
              </w:rPr>
              <w:t>2）服务指标要求</w:t>
            </w:r>
          </w:p>
          <w:p>
            <w:pPr>
              <w:pStyle w:val="null3"/>
              <w:ind w:firstLine="600"/>
            </w:pPr>
            <w:r>
              <w:rPr>
                <w:rFonts w:ascii="宋体" w:hAnsi="宋体" w:cs="宋体" w:eastAsia="宋体"/>
                <w:sz w:val="21"/>
              </w:rPr>
              <w:t>数据采集完整性：大于</w:t>
            </w:r>
            <w:r>
              <w:rPr>
                <w:rFonts w:ascii="宋体" w:hAnsi="宋体" w:cs="宋体" w:eastAsia="宋体"/>
                <w:sz w:val="21"/>
              </w:rPr>
              <w:t>99%</w:t>
            </w:r>
          </w:p>
          <w:p>
            <w:pPr>
              <w:pStyle w:val="null3"/>
              <w:ind w:firstLine="600"/>
            </w:pPr>
            <w:r>
              <w:rPr>
                <w:rFonts w:ascii="宋体" w:hAnsi="宋体" w:cs="宋体" w:eastAsia="宋体"/>
                <w:sz w:val="21"/>
              </w:rPr>
              <w:t>数据采集准确性：大于</w:t>
            </w:r>
            <w:r>
              <w:rPr>
                <w:rFonts w:ascii="宋体" w:hAnsi="宋体" w:cs="宋体" w:eastAsia="宋体"/>
                <w:sz w:val="21"/>
              </w:rPr>
              <w:t>99%</w:t>
            </w:r>
          </w:p>
          <w:p>
            <w:pPr>
              <w:pStyle w:val="null3"/>
              <w:ind w:firstLine="600"/>
            </w:pPr>
            <w:r>
              <w:rPr>
                <w:rFonts w:ascii="宋体" w:hAnsi="宋体" w:cs="宋体" w:eastAsia="宋体"/>
                <w:sz w:val="21"/>
              </w:rPr>
              <w:t>数据采集安全性：通过医保专网有线或无线模式采集，确保数据采集过程中不被截取或泄露。</w:t>
            </w:r>
          </w:p>
          <w:p>
            <w:pPr>
              <w:pStyle w:val="null3"/>
              <w:ind w:firstLine="600"/>
            </w:pPr>
            <w:r>
              <w:rPr>
                <w:rFonts w:ascii="宋体" w:hAnsi="宋体" w:cs="宋体" w:eastAsia="宋体"/>
                <w:sz w:val="21"/>
              </w:rPr>
              <w:t>3）交付物与交付标准</w:t>
            </w:r>
          </w:p>
          <w:tbl>
            <w:tblPr>
              <w:tblBorders>
                <w:top w:val="none" w:color="000000" w:sz="4"/>
                <w:left w:val="none" w:color="000000" w:sz="4"/>
                <w:bottom w:val="none" w:color="000000" w:sz="4"/>
                <w:right w:val="none" w:color="000000" w:sz="4"/>
                <w:insideH w:val="none"/>
                <w:insideV w:val="none"/>
              </w:tblBorders>
            </w:tblPr>
            <w:tblGrid>
              <w:gridCol w:w="1063"/>
              <w:gridCol w:w="1490"/>
            </w:tblGrid>
            <w:tr>
              <w:tc>
                <w:tcPr>
                  <w:tcW w:type="dxa" w:w="10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1"/>
                    </w:rPr>
                    <w:t>交付物</w:t>
                  </w:r>
                </w:p>
              </w:tc>
              <w:tc>
                <w:tcPr>
                  <w:tcW w:type="dxa" w:w="1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1"/>
                    </w:rPr>
                    <w:t>交付物标准</w:t>
                  </w:r>
                </w:p>
              </w:tc>
            </w:tr>
            <w:tr>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r>
                    <w:rPr>
                      <w:rFonts w:ascii="宋体" w:hAnsi="宋体" w:cs="宋体" w:eastAsia="宋体"/>
                      <w:sz w:val="21"/>
                    </w:rPr>
                    <w:t>设备信息数据表</w:t>
                  </w:r>
                  <w:r>
                    <w:rPr>
                      <w:rFonts w:ascii="宋体" w:hAnsi="宋体" w:cs="宋体" w:eastAsia="宋体"/>
                      <w:sz w:val="21"/>
                    </w:rPr>
                    <w:t>》</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陕西省内接入的医保业务综合服务终端的设备信息、运行信息、厂家信息等数据内容。</w:t>
                  </w:r>
                </w:p>
              </w:tc>
            </w:tr>
            <w:tr>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r>
                    <w:rPr>
                      <w:rFonts w:ascii="宋体" w:hAnsi="宋体" w:cs="宋体" w:eastAsia="宋体"/>
                      <w:sz w:val="21"/>
                    </w:rPr>
                    <w:t>机构信息数据表</w:t>
                  </w:r>
                  <w:r>
                    <w:rPr>
                      <w:rFonts w:ascii="宋体" w:hAnsi="宋体" w:cs="宋体" w:eastAsia="宋体"/>
                      <w:sz w:val="21"/>
                    </w:rPr>
                    <w:t>》</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根据医保业务综合服务终端的设备激活信息关联出使用单位、生产厂家等机构信息等数据内容。</w:t>
                  </w:r>
                </w:p>
              </w:tc>
            </w:tr>
            <w:tr>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《网络接入信息数据表》</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包括网络</w:t>
                  </w:r>
                  <w:r>
                    <w:rPr>
                      <w:rFonts w:ascii="宋体" w:hAnsi="宋体" w:cs="宋体" w:eastAsia="宋体"/>
                      <w:sz w:val="21"/>
                    </w:rPr>
                    <w:t>IP信息、设备SN信息等数据内容。</w:t>
                  </w:r>
                </w:p>
              </w:tc>
            </w:tr>
            <w:tr>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《医保业务应用数据表》</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包括医保业务接口入参、出参、请求方式、接口描述、加密方式等配置信息数据。</w:t>
                  </w:r>
                </w:p>
              </w:tc>
            </w:tr>
            <w:tr>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《激活数据表》</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通过医保业务综合服务终端所产生的电子凭证激活记录、数量等数据内容。</w:t>
                  </w:r>
                </w:p>
              </w:tc>
            </w:tr>
            <w:tr>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《结算数据表》</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通过医保业务综合服务终端所产生的挂号、诊间、住院、购药等医保支付结算数据。</w:t>
                  </w:r>
                </w:p>
              </w:tc>
            </w:tr>
            <w:tr>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《应用场景数据表》</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通过医保业务综合服务终端实现医保业务和诊疗服务等场景信息等数据。</w:t>
                  </w:r>
                </w:p>
              </w:tc>
            </w:tr>
          </w:tbl>
          <w:p>
            <w:pPr>
              <w:pStyle w:val="null3"/>
              <w:ind w:firstLine="600"/>
            </w:pPr>
            <w:r>
              <w:rPr>
                <w:rFonts w:ascii="宋体" w:hAnsi="宋体" w:cs="宋体" w:eastAsia="宋体"/>
                <w:sz w:val="21"/>
              </w:rPr>
              <w:t>4）服务量和工作量评估</w:t>
            </w:r>
          </w:p>
          <w:p>
            <w:pPr>
              <w:pStyle w:val="null3"/>
              <w:ind w:firstLine="600"/>
            </w:pPr>
            <w:r>
              <w:rPr>
                <w:rFonts w:ascii="宋体" w:hAnsi="宋体" w:cs="宋体" w:eastAsia="宋体"/>
                <w:sz w:val="21"/>
              </w:rPr>
              <w:t>采集</w:t>
            </w:r>
            <w:r>
              <w:rPr>
                <w:rFonts w:ascii="宋体" w:hAnsi="宋体" w:cs="宋体" w:eastAsia="宋体"/>
                <w:sz w:val="21"/>
              </w:rPr>
              <w:t>7项数据，包含数据采集、数据质控、数据整改等3个阶段，持续开展此项工作，服务期内持续采集。</w:t>
            </w:r>
          </w:p>
          <w:p>
            <w:pPr>
              <w:pStyle w:val="null3"/>
              <w:ind w:firstLine="600"/>
            </w:pPr>
            <w:r>
              <w:rPr>
                <w:rFonts w:ascii="宋体" w:hAnsi="宋体" w:cs="宋体" w:eastAsia="宋体"/>
                <w:sz w:val="21"/>
              </w:rPr>
              <w:t>2、数据统计分析服务</w:t>
            </w:r>
          </w:p>
          <w:p>
            <w:pPr>
              <w:pStyle w:val="null3"/>
              <w:ind w:firstLine="600"/>
            </w:pPr>
            <w:r>
              <w:rPr>
                <w:rFonts w:ascii="宋体" w:hAnsi="宋体" w:cs="宋体" w:eastAsia="宋体"/>
                <w:sz w:val="21"/>
              </w:rPr>
              <w:t>1）服务内容</w:t>
            </w:r>
          </w:p>
          <w:p>
            <w:pPr>
              <w:pStyle w:val="null3"/>
              <w:ind w:firstLine="600"/>
            </w:pPr>
            <w:r>
              <w:rPr>
                <w:rFonts w:ascii="宋体" w:hAnsi="宋体" w:cs="宋体" w:eastAsia="宋体"/>
                <w:sz w:val="21"/>
              </w:rPr>
              <w:t>对设备信息数据、机构信息数据、网络接入信息数据、医保业务应用数据以及所产生医保电子凭证（医保码）的激活数据、结算数据和应用场景数据统计分析，按照绩效考核指标性进行排序、筛选，有效支撑下步工作开展。</w:t>
            </w:r>
          </w:p>
          <w:p>
            <w:pPr>
              <w:pStyle w:val="null3"/>
              <w:ind w:firstLine="600"/>
            </w:pPr>
            <w:r>
              <w:rPr>
                <w:rFonts w:ascii="宋体" w:hAnsi="宋体" w:cs="宋体" w:eastAsia="宋体"/>
                <w:sz w:val="21"/>
              </w:rPr>
              <w:t>2）服务指标要求</w:t>
            </w:r>
          </w:p>
          <w:p>
            <w:pPr>
              <w:pStyle w:val="null3"/>
              <w:ind w:firstLine="600"/>
            </w:pPr>
            <w:r>
              <w:rPr>
                <w:rFonts w:ascii="宋体" w:hAnsi="宋体" w:cs="宋体" w:eastAsia="宋体"/>
                <w:sz w:val="21"/>
              </w:rPr>
              <w:t>数据统计分析数据量：全量数据</w:t>
            </w:r>
          </w:p>
          <w:p>
            <w:pPr>
              <w:pStyle w:val="null3"/>
              <w:ind w:firstLine="600"/>
            </w:pPr>
            <w:r>
              <w:rPr>
                <w:rFonts w:ascii="宋体" w:hAnsi="宋体" w:cs="宋体" w:eastAsia="宋体"/>
                <w:sz w:val="21"/>
              </w:rPr>
              <w:t>数据统计分析准确性：大于</w:t>
            </w:r>
            <w:r>
              <w:rPr>
                <w:rFonts w:ascii="宋体" w:hAnsi="宋体" w:cs="宋体" w:eastAsia="宋体"/>
                <w:sz w:val="21"/>
              </w:rPr>
              <w:t>99%</w:t>
            </w:r>
          </w:p>
          <w:p>
            <w:pPr>
              <w:pStyle w:val="null3"/>
              <w:ind w:firstLine="600"/>
            </w:pPr>
            <w:r>
              <w:rPr>
                <w:rFonts w:ascii="宋体" w:hAnsi="宋体" w:cs="宋体" w:eastAsia="宋体"/>
                <w:sz w:val="21"/>
              </w:rPr>
              <w:t>数据统计分析安全性：必须在医保网络内，通过具备安全保护能力的终端设备上操作。</w:t>
            </w:r>
          </w:p>
          <w:p>
            <w:pPr>
              <w:pStyle w:val="null3"/>
              <w:ind w:firstLine="600"/>
            </w:pPr>
            <w:r>
              <w:rPr>
                <w:rFonts w:ascii="宋体" w:hAnsi="宋体" w:cs="宋体" w:eastAsia="宋体"/>
                <w:sz w:val="21"/>
              </w:rPr>
              <w:t>3）交付物与交付标准</w:t>
            </w:r>
          </w:p>
          <w:tbl>
            <w:tblPr>
              <w:tblBorders>
                <w:top w:val="none" w:color="000000" w:sz="4"/>
                <w:left w:val="none" w:color="000000" w:sz="4"/>
                <w:bottom w:val="none" w:color="000000" w:sz="4"/>
                <w:right w:val="none" w:color="000000" w:sz="4"/>
                <w:insideH w:val="none"/>
                <w:insideV w:val="none"/>
              </w:tblBorders>
            </w:tblPr>
            <w:tblGrid>
              <w:gridCol w:w="995"/>
              <w:gridCol w:w="1558"/>
            </w:tblGrid>
            <w:tr>
              <w:tc>
                <w:tcPr>
                  <w:tcW w:type="dxa" w:w="9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1"/>
                    </w:rPr>
                    <w:t>交付物</w:t>
                  </w:r>
                </w:p>
              </w:tc>
              <w:tc>
                <w:tcPr>
                  <w:tcW w:type="dxa" w:w="15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1"/>
                    </w:rPr>
                    <w:t>交付物标准</w:t>
                  </w:r>
                </w:p>
              </w:tc>
            </w:tr>
            <w:tr>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r>
                    <w:rPr>
                      <w:rFonts w:ascii="宋体" w:hAnsi="宋体" w:cs="宋体" w:eastAsia="宋体"/>
                      <w:sz w:val="21"/>
                    </w:rPr>
                    <w:t>设备信息数据统计分析报告</w:t>
                  </w:r>
                  <w:r>
                    <w:rPr>
                      <w:rFonts w:ascii="宋体" w:hAnsi="宋体" w:cs="宋体" w:eastAsia="宋体"/>
                      <w:sz w:val="21"/>
                    </w:rPr>
                    <w:t>》</w:t>
                  </w: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根据工作实际需要和不同维度条件需求，输出分析报告。</w:t>
                  </w:r>
                </w:p>
              </w:tc>
            </w:tr>
            <w:tr>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r>
                    <w:rPr>
                      <w:rFonts w:ascii="宋体" w:hAnsi="宋体" w:cs="宋体" w:eastAsia="宋体"/>
                      <w:sz w:val="21"/>
                    </w:rPr>
                    <w:t>机构信息数据</w:t>
                  </w:r>
                  <w:r>
                    <w:rPr>
                      <w:rFonts w:ascii="宋体" w:hAnsi="宋体" w:cs="宋体" w:eastAsia="宋体"/>
                      <w:sz w:val="21"/>
                    </w:rPr>
                    <w:t>统计分析报告》</w:t>
                  </w: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根据工作实际需要和不同维度条件需求，输出分析报告。</w:t>
                  </w:r>
                </w:p>
              </w:tc>
            </w:tr>
            <w:tr>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《网络接入信息数据</w:t>
                  </w:r>
                  <w:r>
                    <w:rPr>
                      <w:rFonts w:ascii="宋体" w:hAnsi="宋体" w:cs="宋体" w:eastAsia="宋体"/>
                      <w:sz w:val="21"/>
                    </w:rPr>
                    <w:t>统计分析报告</w:t>
                  </w:r>
                  <w:r>
                    <w:rPr>
                      <w:rFonts w:ascii="宋体" w:hAnsi="宋体" w:cs="宋体" w:eastAsia="宋体"/>
                      <w:sz w:val="21"/>
                    </w:rPr>
                    <w:t>》</w:t>
                  </w: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根据工作实际需要和不同维度条件需求，输出分析报告。</w:t>
                  </w:r>
                </w:p>
              </w:tc>
            </w:tr>
            <w:tr>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《医保业务应用数据</w:t>
                  </w:r>
                  <w:r>
                    <w:rPr>
                      <w:rFonts w:ascii="宋体" w:hAnsi="宋体" w:cs="宋体" w:eastAsia="宋体"/>
                      <w:sz w:val="21"/>
                    </w:rPr>
                    <w:t>统计分析报告</w:t>
                  </w:r>
                  <w:r>
                    <w:rPr>
                      <w:rFonts w:ascii="宋体" w:hAnsi="宋体" w:cs="宋体" w:eastAsia="宋体"/>
                      <w:sz w:val="21"/>
                    </w:rPr>
                    <w:t>》</w:t>
                  </w: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根据工作实际需要和不同维度条件需求，输出分析报告。</w:t>
                  </w:r>
                </w:p>
              </w:tc>
            </w:tr>
            <w:tr>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《激活数据</w:t>
                  </w:r>
                  <w:r>
                    <w:rPr>
                      <w:rFonts w:ascii="宋体" w:hAnsi="宋体" w:cs="宋体" w:eastAsia="宋体"/>
                      <w:sz w:val="21"/>
                    </w:rPr>
                    <w:t>统计分析报告</w:t>
                  </w:r>
                  <w:r>
                    <w:rPr>
                      <w:rFonts w:ascii="宋体" w:hAnsi="宋体" w:cs="宋体" w:eastAsia="宋体"/>
                      <w:sz w:val="21"/>
                    </w:rPr>
                    <w:t>》</w:t>
                  </w: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根据工作实际需要和不同维度条件需求，输出分析报告。</w:t>
                  </w:r>
                </w:p>
              </w:tc>
            </w:tr>
            <w:tr>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《结算数据</w:t>
                  </w:r>
                  <w:r>
                    <w:rPr>
                      <w:rFonts w:ascii="宋体" w:hAnsi="宋体" w:cs="宋体" w:eastAsia="宋体"/>
                      <w:sz w:val="21"/>
                    </w:rPr>
                    <w:t>统计分析报告</w:t>
                  </w:r>
                  <w:r>
                    <w:rPr>
                      <w:rFonts w:ascii="宋体" w:hAnsi="宋体" w:cs="宋体" w:eastAsia="宋体"/>
                      <w:sz w:val="21"/>
                    </w:rPr>
                    <w:t>》</w:t>
                  </w: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根据工作实际需要和不同维度条件需求，输出分析报告。</w:t>
                  </w:r>
                </w:p>
              </w:tc>
            </w:tr>
            <w:tr>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《应用场景数据</w:t>
                  </w:r>
                  <w:r>
                    <w:rPr>
                      <w:rFonts w:ascii="宋体" w:hAnsi="宋体" w:cs="宋体" w:eastAsia="宋体"/>
                      <w:sz w:val="21"/>
                    </w:rPr>
                    <w:t>统计分析报告</w:t>
                  </w:r>
                  <w:r>
                    <w:rPr>
                      <w:rFonts w:ascii="宋体" w:hAnsi="宋体" w:cs="宋体" w:eastAsia="宋体"/>
                      <w:sz w:val="21"/>
                    </w:rPr>
                    <w:t>》</w:t>
                  </w: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根据工作实际需要和不同维度条件需求，输出分析报告。</w:t>
                  </w:r>
                </w:p>
              </w:tc>
            </w:tr>
          </w:tbl>
          <w:p>
            <w:pPr>
              <w:pStyle w:val="null3"/>
              <w:ind w:firstLine="600"/>
            </w:pPr>
            <w:r>
              <w:rPr>
                <w:rFonts w:ascii="宋体" w:hAnsi="宋体" w:cs="宋体" w:eastAsia="宋体"/>
                <w:sz w:val="21"/>
              </w:rPr>
              <w:t>4）服务量和工作量评估</w:t>
            </w:r>
          </w:p>
          <w:p>
            <w:pPr>
              <w:pStyle w:val="null3"/>
              <w:ind w:firstLine="600"/>
            </w:pPr>
            <w:r>
              <w:rPr>
                <w:rFonts w:ascii="宋体" w:hAnsi="宋体" w:cs="宋体" w:eastAsia="宋体"/>
                <w:sz w:val="21"/>
              </w:rPr>
              <w:t>分析</w:t>
            </w:r>
            <w:r>
              <w:rPr>
                <w:rFonts w:ascii="宋体" w:hAnsi="宋体" w:cs="宋体" w:eastAsia="宋体"/>
                <w:sz w:val="21"/>
              </w:rPr>
              <w:t>7项数据，包含指标制定、数据关联、报告编制等3个阶段，持续开展此项工作</w:t>
            </w:r>
            <w:r>
              <w:rPr>
                <w:rFonts w:ascii="宋体" w:hAnsi="宋体" w:cs="宋体" w:eastAsia="宋体"/>
                <w:sz w:val="21"/>
              </w:rPr>
              <w:t>。</w:t>
            </w:r>
          </w:p>
          <w:p>
            <w:pPr>
              <w:pStyle w:val="null3"/>
              <w:ind w:firstLine="600"/>
              <w:outlineLvl w:val="2"/>
            </w:pPr>
            <w:r>
              <w:rPr>
                <w:rFonts w:ascii="宋体" w:hAnsi="宋体" w:cs="宋体" w:eastAsia="宋体"/>
                <w:b/>
                <w:sz w:val="21"/>
              </w:rPr>
              <w:t>（三）支撑工具软件要求</w:t>
            </w:r>
          </w:p>
          <w:p>
            <w:pPr>
              <w:pStyle w:val="null3"/>
              <w:ind w:firstLine="600"/>
            </w:pPr>
            <w:r>
              <w:rPr>
                <w:rFonts w:ascii="宋体" w:hAnsi="宋体" w:cs="宋体" w:eastAsia="宋体"/>
                <w:sz w:val="21"/>
              </w:rPr>
              <w:t>1、系统架构要求</w:t>
            </w:r>
          </w:p>
          <w:p>
            <w:pPr>
              <w:pStyle w:val="null3"/>
              <w:ind w:firstLine="600"/>
            </w:pPr>
            <w:r>
              <w:rPr>
                <w:rFonts w:ascii="宋体" w:hAnsi="宋体" w:cs="宋体" w:eastAsia="宋体"/>
                <w:sz w:val="21"/>
              </w:rPr>
              <w:t>为高效保障陕西省医保业务综合服务终端规范管理，本项目服务提供方的支撑工具软件即医保业务综合服务终端综合管理系统，提供终端设备接入、网络接入、医保业务服务接入、医保服务接口统一归口管理、数据采集、数据统计分析、数据可视化、自定义业务流程等能力。在充分考虑陕西省医疗保障信息平台资源的整合利旧基础上，部署在医保核心业务区，利用现有计算资源、存储资源、中间件资源、网络资源、安全资源等。</w:t>
            </w:r>
          </w:p>
          <w:p>
            <w:pPr>
              <w:pStyle w:val="null3"/>
              <w:ind w:firstLine="600"/>
              <w:jc w:val="center"/>
            </w:pPr>
            <w:r>
              <w:rPr>
                <w:rFonts w:ascii="宋体" w:hAnsi="宋体" w:cs="宋体" w:eastAsia="宋体"/>
                <w:color w:val="000000"/>
                <w:sz w:val="24"/>
              </w:rPr>
              <w:t>图</w:t>
            </w:r>
            <w:r>
              <w:rPr>
                <w:rFonts w:ascii="calibri" w:hAnsi="calibri" w:cs="calibri" w:eastAsia="calibri"/>
                <w:color w:val="000000"/>
                <w:sz w:val="24"/>
              </w:rPr>
              <w:t>4-</w:t>
            </w:r>
            <w:r>
              <w:rPr>
                <w:rFonts w:ascii="calibri" w:hAnsi="calibri" w:cs="calibri" w:eastAsia="calibri"/>
                <w:color w:val="000000"/>
                <w:sz w:val="24"/>
              </w:rPr>
              <w:t xml:space="preserve">1 </w:t>
            </w:r>
            <w:r>
              <w:rPr>
                <w:rFonts w:ascii="宋体" w:hAnsi="宋体" w:cs="宋体" w:eastAsia="宋体"/>
                <w:color w:val="000000"/>
                <w:sz w:val="24"/>
              </w:rPr>
              <w:t>医</w:t>
            </w:r>
            <w:r>
              <w:rPr>
                <w:rFonts w:ascii="宋体" w:hAnsi="宋体" w:cs="宋体" w:eastAsia="宋体"/>
                <w:color w:val="000000"/>
                <w:sz w:val="24"/>
              </w:rPr>
              <w:t>保业务综合服务终端综合管理系统架构图</w:t>
            </w:r>
          </w:p>
          <w:p>
            <w:pPr>
              <w:pStyle w:val="null3"/>
              <w:ind w:firstLine="600"/>
            </w:pPr>
            <w:r>
              <w:rPr>
                <w:rFonts w:ascii="宋体" w:hAnsi="宋体" w:cs="宋体" w:eastAsia="宋体"/>
                <w:sz w:val="21"/>
              </w:rPr>
              <w:t>2、技术架构要求</w:t>
            </w:r>
          </w:p>
          <w:p>
            <w:pPr>
              <w:pStyle w:val="null3"/>
              <w:ind w:firstLine="600"/>
            </w:pPr>
            <w:r>
              <w:rPr>
                <w:rFonts w:ascii="宋体" w:hAnsi="宋体" w:cs="宋体" w:eastAsia="宋体"/>
                <w:sz w:val="21"/>
              </w:rPr>
              <w:t>系统技术架构才有采用</w:t>
            </w:r>
            <w:r>
              <w:rPr>
                <w:rFonts w:ascii="宋体" w:hAnsi="宋体" w:cs="宋体" w:eastAsia="宋体"/>
                <w:sz w:val="21"/>
              </w:rPr>
              <w:t>B/S架构和基于微服务框架，对各功能模块进行结构化分层拆分，单个功能模块形成高内聚，模块之间形成低耦合。业务能力通过微服务框架基于高内聚低耦合的思路实现。所有服务均为无状态服务，实现在线应用的扩缩容能力。围绕具体业务可以独立部署，具有良好的横向扩展能力，以应对未来业务的快速发展。</w:t>
            </w:r>
          </w:p>
          <w:p>
            <w:pPr>
              <w:pStyle w:val="null3"/>
              <w:ind w:firstLine="600"/>
            </w:pPr>
            <w:r>
              <w:rPr>
                <w:rFonts w:ascii="宋体" w:hAnsi="宋体" w:cs="宋体" w:eastAsia="宋体"/>
                <w:sz w:val="21"/>
              </w:rPr>
              <w:t>3、系统性能要求</w:t>
            </w:r>
          </w:p>
          <w:p>
            <w:pPr>
              <w:pStyle w:val="null3"/>
              <w:ind w:firstLine="600"/>
            </w:pPr>
            <w:r>
              <w:rPr>
                <w:rFonts w:ascii="宋体" w:hAnsi="宋体" w:cs="宋体" w:eastAsia="宋体"/>
                <w:sz w:val="21"/>
              </w:rPr>
              <w:t>不低于</w:t>
            </w:r>
            <w:r>
              <w:rPr>
                <w:rFonts w:ascii="宋体" w:hAnsi="宋体" w:cs="宋体" w:eastAsia="宋体"/>
                <w:sz w:val="21"/>
              </w:rPr>
              <w:t>50000台设备的管理，确保实用性，提高设备的日常使用效率。</w:t>
            </w:r>
          </w:p>
          <w:p>
            <w:pPr>
              <w:pStyle w:val="null3"/>
              <w:ind w:firstLine="600"/>
            </w:pPr>
            <w:r>
              <w:rPr>
                <w:rFonts w:ascii="宋体" w:hAnsi="宋体" w:cs="宋体" w:eastAsia="宋体"/>
                <w:sz w:val="21"/>
              </w:rPr>
              <w:t>交互类业务是指平时工作中在系统中进行的业务处理，如录入、修改或删除一条记录、发布一条信息等操作。</w:t>
            </w:r>
          </w:p>
          <w:p>
            <w:pPr>
              <w:pStyle w:val="null3"/>
              <w:ind w:firstLine="600"/>
            </w:pPr>
            <w:r>
              <w:rPr>
                <w:rFonts w:ascii="宋体" w:hAnsi="宋体" w:cs="宋体" w:eastAsia="宋体"/>
                <w:sz w:val="21"/>
              </w:rPr>
              <w:t>平均响应时间：</w:t>
            </w:r>
            <w:r>
              <w:rPr>
                <w:rFonts w:ascii="宋体" w:hAnsi="宋体" w:cs="宋体" w:eastAsia="宋体"/>
                <w:sz w:val="21"/>
              </w:rPr>
              <w:t>≤1秒；</w:t>
            </w:r>
          </w:p>
          <w:p>
            <w:pPr>
              <w:pStyle w:val="null3"/>
              <w:ind w:firstLine="600"/>
            </w:pPr>
            <w:r>
              <w:rPr>
                <w:rFonts w:ascii="宋体" w:hAnsi="宋体" w:cs="宋体" w:eastAsia="宋体"/>
                <w:sz w:val="21"/>
              </w:rPr>
              <w:t>峰值响应时间：</w:t>
            </w:r>
            <w:r>
              <w:rPr>
                <w:rFonts w:ascii="宋体" w:hAnsi="宋体" w:cs="宋体" w:eastAsia="宋体"/>
                <w:sz w:val="21"/>
              </w:rPr>
              <w:t>≤3秒</w:t>
            </w:r>
            <w:r>
              <w:rPr>
                <w:rFonts w:ascii="宋体" w:hAnsi="宋体" w:cs="宋体" w:eastAsia="宋体"/>
                <w:sz w:val="21"/>
              </w:rPr>
              <w:t>；</w:t>
            </w:r>
          </w:p>
          <w:p>
            <w:pPr>
              <w:pStyle w:val="null3"/>
              <w:ind w:firstLine="600"/>
            </w:pPr>
            <w:r>
              <w:rPr>
                <w:rFonts w:ascii="宋体" w:hAnsi="宋体" w:cs="宋体" w:eastAsia="宋体"/>
                <w:sz w:val="21"/>
              </w:rPr>
              <w:t>系统并发用户数：</w:t>
            </w:r>
            <w:r>
              <w:rPr>
                <w:rFonts w:ascii="宋体" w:hAnsi="宋体" w:cs="宋体" w:eastAsia="宋体"/>
                <w:sz w:val="21"/>
              </w:rPr>
              <w:t>50。</w:t>
            </w:r>
          </w:p>
          <w:p>
            <w:pPr>
              <w:pStyle w:val="null3"/>
              <w:ind w:firstLine="600"/>
            </w:pPr>
            <w:r>
              <w:rPr>
                <w:rFonts w:ascii="宋体" w:hAnsi="宋体" w:cs="宋体" w:eastAsia="宋体"/>
                <w:sz w:val="21"/>
              </w:rPr>
              <w:t>查询业务由于受到查询的复杂程度、查询的数据量大小等因素的影响，需要根据具体情况而定，在此给出一个参考范围。</w:t>
            </w:r>
          </w:p>
          <w:p>
            <w:pPr>
              <w:pStyle w:val="null3"/>
              <w:ind w:firstLine="600"/>
            </w:pPr>
            <w:r>
              <w:rPr>
                <w:rFonts w:ascii="宋体" w:hAnsi="宋体" w:cs="宋体" w:eastAsia="宋体"/>
                <w:sz w:val="21"/>
              </w:rPr>
              <w:t>简单查询平均响应时间：</w:t>
            </w:r>
            <w:r>
              <w:rPr>
                <w:rFonts w:ascii="宋体" w:hAnsi="宋体" w:cs="宋体" w:eastAsia="宋体"/>
                <w:sz w:val="21"/>
              </w:rPr>
              <w:t>≤2秒；</w:t>
            </w:r>
          </w:p>
          <w:p>
            <w:pPr>
              <w:pStyle w:val="null3"/>
              <w:ind w:firstLine="600"/>
            </w:pPr>
            <w:r>
              <w:rPr>
                <w:rFonts w:ascii="宋体" w:hAnsi="宋体" w:cs="宋体" w:eastAsia="宋体"/>
                <w:sz w:val="21"/>
              </w:rPr>
              <w:t>复杂查询平均响应时间：</w:t>
            </w:r>
            <w:r>
              <w:rPr>
                <w:rFonts w:ascii="宋体" w:hAnsi="宋体" w:cs="宋体" w:eastAsia="宋体"/>
                <w:sz w:val="21"/>
              </w:rPr>
              <w:t>≤3秒；</w:t>
            </w:r>
          </w:p>
          <w:p>
            <w:pPr>
              <w:pStyle w:val="null3"/>
              <w:ind w:firstLine="600"/>
            </w:pPr>
            <w:r>
              <w:rPr>
                <w:rFonts w:ascii="宋体" w:hAnsi="宋体" w:cs="宋体" w:eastAsia="宋体"/>
                <w:sz w:val="21"/>
              </w:rPr>
              <w:t>4、系统部署要求</w:t>
            </w:r>
          </w:p>
          <w:p>
            <w:pPr>
              <w:pStyle w:val="null3"/>
              <w:ind w:firstLine="480"/>
              <w:jc w:val="center"/>
            </w:pPr>
            <w:r>
              <w:rPr>
                <w:rFonts w:ascii="宋体" w:hAnsi="宋体" w:cs="宋体" w:eastAsia="宋体"/>
                <w:color w:val="000000"/>
                <w:sz w:val="24"/>
              </w:rPr>
              <w:t>图</w:t>
            </w:r>
            <w:r>
              <w:rPr>
                <w:rFonts w:ascii="宋体" w:hAnsi="宋体" w:cs="宋体" w:eastAsia="宋体"/>
                <w:color w:val="000000"/>
                <w:sz w:val="24"/>
              </w:rPr>
              <w:t>4-2 系统网络部署拓扑图</w:t>
            </w:r>
          </w:p>
          <w:p>
            <w:pPr>
              <w:pStyle w:val="null3"/>
              <w:ind w:firstLine="600"/>
            </w:pPr>
            <w:r>
              <w:rPr>
                <w:rFonts w:ascii="宋体" w:hAnsi="宋体" w:cs="宋体" w:eastAsia="宋体"/>
                <w:sz w:val="21"/>
              </w:rPr>
              <w:t>根据陕西省医疗保障信息平台整体架构和使用服务对象应用网络，支撑工具软件部署在医保核心业务区，基于阿里云平台计算、存储、中间件、网络等资源部署。</w:t>
            </w:r>
          </w:p>
          <w:p>
            <w:pPr>
              <w:pStyle w:val="null3"/>
              <w:ind w:firstLine="600"/>
            </w:pPr>
            <w:r>
              <w:rPr>
                <w:rFonts w:ascii="宋体" w:hAnsi="宋体" w:cs="宋体" w:eastAsia="宋体"/>
                <w:sz w:val="21"/>
              </w:rPr>
              <w:t>5、业务流程要求</w:t>
            </w:r>
          </w:p>
          <w:p>
            <w:pPr>
              <w:pStyle w:val="null3"/>
              <w:ind w:firstLine="480"/>
              <w:jc w:val="center"/>
            </w:pPr>
            <w:r>
              <w:rPr>
                <w:rFonts w:ascii="宋体" w:hAnsi="宋体" w:cs="宋体" w:eastAsia="宋体"/>
                <w:color w:val="000000"/>
                <w:sz w:val="24"/>
              </w:rPr>
              <w:t>图</w:t>
            </w:r>
            <w:r>
              <w:rPr>
                <w:rFonts w:ascii="宋体" w:hAnsi="宋体" w:cs="宋体" w:eastAsia="宋体"/>
                <w:color w:val="000000"/>
                <w:sz w:val="24"/>
              </w:rPr>
              <w:t>4-3 业务流程示意图</w:t>
            </w:r>
          </w:p>
          <w:p>
            <w:pPr>
              <w:pStyle w:val="null3"/>
              <w:ind w:firstLine="600"/>
            </w:pPr>
            <w:r>
              <w:rPr>
                <w:rFonts w:ascii="宋体" w:hAnsi="宋体" w:cs="宋体" w:eastAsia="宋体"/>
                <w:sz w:val="21"/>
              </w:rPr>
              <w:t>按照管理要求，实现省</w:t>
            </w:r>
            <w:r>
              <w:rPr>
                <w:rFonts w:ascii="宋体" w:hAnsi="宋体" w:cs="宋体" w:eastAsia="宋体"/>
                <w:sz w:val="21"/>
              </w:rPr>
              <w:t>-市-区（县）-定点医药机构（等其他使用单位）四级医保业务综合服务终端的设备、网络。医保业务等管理的业务流程（根据管理制度和实际情况，可做具体调整）。</w:t>
            </w:r>
          </w:p>
          <w:p>
            <w:pPr>
              <w:pStyle w:val="null3"/>
              <w:ind w:firstLine="420"/>
              <w:jc w:val="both"/>
            </w:pPr>
            <w:r>
              <w:rPr/>
              <w:t xml:space="preserve"> </w:t>
            </w:r>
          </w:p>
          <w:p>
            <w:pPr>
              <w:pStyle w:val="null3"/>
              <w:ind w:firstLine="600"/>
            </w:pPr>
            <w:r>
              <w:rPr>
                <w:rFonts w:ascii="宋体" w:hAnsi="宋体" w:cs="宋体" w:eastAsia="宋体"/>
                <w:sz w:val="21"/>
              </w:rPr>
              <w:t>6、数据流向要求</w:t>
            </w:r>
          </w:p>
          <w:p>
            <w:pPr>
              <w:pStyle w:val="null3"/>
              <w:ind w:firstLine="480"/>
              <w:jc w:val="center"/>
            </w:pPr>
            <w:r>
              <w:rPr>
                <w:rFonts w:ascii="宋体" w:hAnsi="宋体" w:cs="宋体" w:eastAsia="宋体"/>
                <w:color w:val="000000"/>
                <w:sz w:val="24"/>
              </w:rPr>
              <w:t>图</w:t>
            </w:r>
            <w:r>
              <w:rPr>
                <w:rFonts w:ascii="宋体" w:hAnsi="宋体" w:cs="宋体" w:eastAsia="宋体"/>
                <w:color w:val="000000"/>
                <w:sz w:val="24"/>
              </w:rPr>
              <w:t>4-3 业务流程示意图</w:t>
            </w:r>
          </w:p>
          <w:p>
            <w:pPr>
              <w:pStyle w:val="null3"/>
              <w:ind w:firstLine="600"/>
            </w:pPr>
            <w:r>
              <w:rPr>
                <w:rFonts w:ascii="宋体" w:hAnsi="宋体" w:cs="宋体" w:eastAsia="宋体"/>
                <w:sz w:val="21"/>
              </w:rPr>
              <w:t>采集和生产的数据结构和数据元必须符合医保数据库设计规范及数据元目录规范的要求。医保码渠道侧、终端应用侧以及调用的业务子系统所产生的数据单向传输至终端支撑工具，终端支撑工具使用医保平台统一的数据库进行存储。</w:t>
            </w:r>
          </w:p>
          <w:p>
            <w:pPr>
              <w:pStyle w:val="null3"/>
              <w:ind w:firstLine="600"/>
            </w:pPr>
            <w:r>
              <w:rPr>
                <w:rFonts w:ascii="宋体" w:hAnsi="宋体" w:cs="宋体" w:eastAsia="宋体"/>
                <w:sz w:val="21"/>
              </w:rPr>
              <w:t>7、系统安全要求</w:t>
            </w:r>
          </w:p>
          <w:p>
            <w:pPr>
              <w:pStyle w:val="null3"/>
              <w:ind w:firstLine="600"/>
            </w:pPr>
            <w:r>
              <w:rPr>
                <w:rFonts w:ascii="宋体" w:hAnsi="宋体" w:cs="宋体" w:eastAsia="宋体"/>
                <w:sz w:val="21"/>
              </w:rPr>
              <w:t>（</w:t>
            </w:r>
            <w:r>
              <w:rPr>
                <w:rFonts w:ascii="宋体" w:hAnsi="宋体" w:cs="宋体" w:eastAsia="宋体"/>
                <w:sz w:val="21"/>
              </w:rPr>
              <w:t>1）网络环境：部署在医保内网中，与外部网络隔离，禁止外部网络访问和入侵，从而有效地保护医保数据和系统的安全性。</w:t>
            </w:r>
          </w:p>
          <w:p>
            <w:pPr>
              <w:pStyle w:val="null3"/>
              <w:ind w:firstLine="600"/>
            </w:pPr>
            <w:r>
              <w:rPr>
                <w:rFonts w:ascii="宋体" w:hAnsi="宋体" w:cs="宋体" w:eastAsia="宋体"/>
                <w:sz w:val="21"/>
              </w:rPr>
              <w:t>（</w:t>
            </w:r>
            <w:r>
              <w:rPr>
                <w:rFonts w:ascii="宋体" w:hAnsi="宋体" w:cs="宋体" w:eastAsia="宋体"/>
                <w:sz w:val="21"/>
              </w:rPr>
              <w:t>2）访问控制和身份认证：将实施严格的访问控制和身份认证机制，只有授权的用户和终端设备才能访问平台，同时采用多因素身份认证方法，提高认证的安全性。</w:t>
            </w:r>
          </w:p>
          <w:p>
            <w:pPr>
              <w:pStyle w:val="null3"/>
              <w:ind w:firstLine="600"/>
            </w:pPr>
            <w:r>
              <w:rPr>
                <w:rFonts w:ascii="宋体" w:hAnsi="宋体" w:cs="宋体" w:eastAsia="宋体"/>
                <w:sz w:val="21"/>
              </w:rPr>
              <w:t>（</w:t>
            </w:r>
            <w:r>
              <w:rPr>
                <w:rFonts w:ascii="宋体" w:hAnsi="宋体" w:cs="宋体" w:eastAsia="宋体"/>
                <w:sz w:val="21"/>
              </w:rPr>
              <w:t>3）审计和监控：实施全面的审计和监控机制，记录所有操作和访问请求，并对可疑行为进行告警和记录，确保各项操作的安全性和合规性。</w:t>
            </w:r>
          </w:p>
          <w:p>
            <w:pPr>
              <w:pStyle w:val="null3"/>
              <w:ind w:firstLine="600"/>
            </w:pPr>
            <w:r>
              <w:rPr>
                <w:rFonts w:ascii="宋体" w:hAnsi="宋体" w:cs="宋体" w:eastAsia="宋体"/>
                <w:sz w:val="21"/>
              </w:rPr>
              <w:t>（</w:t>
            </w:r>
            <w:r>
              <w:rPr>
                <w:rFonts w:ascii="宋体" w:hAnsi="宋体" w:cs="宋体" w:eastAsia="宋体"/>
                <w:sz w:val="21"/>
              </w:rPr>
              <w:t>4）漏洞管理和更新：实施漏洞管理和更新机制，及时发现和处理平台中存在的漏洞和补丁，确保系统的安全性和稳定性。</w:t>
            </w:r>
          </w:p>
          <w:p>
            <w:pPr>
              <w:pStyle w:val="null3"/>
              <w:ind w:firstLine="600"/>
            </w:pPr>
            <w:r>
              <w:rPr>
                <w:rFonts w:ascii="宋体" w:hAnsi="宋体" w:cs="宋体" w:eastAsia="宋体"/>
                <w:sz w:val="21"/>
              </w:rPr>
              <w:t>8、系统连通性要求</w:t>
            </w:r>
          </w:p>
          <w:p>
            <w:pPr>
              <w:pStyle w:val="null3"/>
              <w:ind w:firstLine="600"/>
            </w:pPr>
            <w:r>
              <w:rPr>
                <w:rFonts w:ascii="宋体" w:hAnsi="宋体" w:cs="宋体" w:eastAsia="宋体"/>
                <w:sz w:val="21"/>
              </w:rPr>
              <w:t>支持和区域内医保系统单位、定点医疗机构和定点药店的相关业务系统进行数据对接。</w:t>
            </w:r>
          </w:p>
          <w:p>
            <w:pPr>
              <w:pStyle w:val="null3"/>
              <w:ind w:firstLine="600"/>
            </w:pPr>
            <w:r>
              <w:rPr/>
              <w:t xml:space="preserve"> </w:t>
            </w:r>
          </w:p>
          <w:p>
            <w:pPr>
              <w:pStyle w:val="null3"/>
              <w:ind w:firstLine="600"/>
            </w:pPr>
            <w:r>
              <w:rPr>
                <w:rFonts w:ascii="宋体" w:hAnsi="宋体" w:cs="宋体" w:eastAsia="宋体"/>
                <w:sz w:val="21"/>
              </w:rPr>
              <w:t>9、系统功能要求</w:t>
            </w:r>
          </w:p>
          <w:p>
            <w:pPr>
              <w:pStyle w:val="null3"/>
              <w:ind w:firstLine="367"/>
              <w:jc w:val="left"/>
            </w:pPr>
            <w:r>
              <w:rPr>
                <w:rFonts w:ascii="宋体" w:hAnsi="宋体" w:cs="宋体" w:eastAsia="宋体"/>
                <w:color w:val="000000"/>
                <w:sz w:val="21"/>
              </w:rPr>
              <w:t>说明：表</w:t>
            </w:r>
            <w:r>
              <w:rPr>
                <w:rFonts w:ascii="calibri" w:hAnsi="calibri" w:cs="calibri" w:eastAsia="calibri"/>
                <w:color w:val="000000"/>
                <w:sz w:val="21"/>
              </w:rPr>
              <w:t>4-1</w:t>
            </w:r>
            <w:r>
              <w:rPr>
                <w:rFonts w:ascii="宋体" w:hAnsi="宋体" w:cs="宋体" w:eastAsia="宋体"/>
                <w:color w:val="000000"/>
                <w:sz w:val="21"/>
              </w:rPr>
              <w:t>系统功能要求中所列</w:t>
            </w:r>
            <w:r>
              <w:rPr>
                <w:rFonts w:ascii="宋体" w:hAnsi="宋体" w:cs="宋体" w:eastAsia="宋体"/>
                <w:color w:val="000000"/>
                <w:sz w:val="21"/>
              </w:rPr>
              <w:t>功能模块</w:t>
            </w:r>
            <w:r>
              <w:rPr>
                <w:rFonts w:ascii="宋体" w:hAnsi="宋体" w:cs="宋体" w:eastAsia="宋体"/>
                <w:color w:val="000000"/>
                <w:sz w:val="21"/>
              </w:rPr>
              <w:t>为满足本项目的最低要求，供应商拟供产品</w:t>
            </w:r>
            <w:r>
              <w:rPr>
                <w:rFonts w:ascii="宋体" w:hAnsi="宋体" w:cs="宋体" w:eastAsia="宋体"/>
                <w:color w:val="000000"/>
                <w:sz w:val="21"/>
              </w:rPr>
              <w:t>功能</w:t>
            </w:r>
            <w:r>
              <w:rPr>
                <w:rFonts w:ascii="宋体" w:hAnsi="宋体" w:cs="宋体" w:eastAsia="宋体"/>
                <w:color w:val="000000"/>
                <w:sz w:val="21"/>
              </w:rPr>
              <w:t>须满足或优于所列</w:t>
            </w:r>
            <w:r>
              <w:rPr>
                <w:rFonts w:ascii="宋体" w:hAnsi="宋体" w:cs="宋体" w:eastAsia="宋体"/>
                <w:color w:val="000000"/>
                <w:sz w:val="21"/>
              </w:rPr>
              <w:t>功能</w:t>
            </w:r>
            <w:r>
              <w:rPr>
                <w:rFonts w:ascii="宋体" w:hAnsi="宋体" w:cs="宋体" w:eastAsia="宋体"/>
                <w:color w:val="000000"/>
                <w:sz w:val="21"/>
              </w:rPr>
              <w:t>。</w:t>
            </w:r>
            <w:r>
              <w:rPr>
                <w:rFonts w:ascii="宋体" w:hAnsi="宋体" w:cs="宋体" w:eastAsia="宋体"/>
                <w:color w:val="000000"/>
                <w:sz w:val="21"/>
              </w:rPr>
              <w:t>功能模块</w:t>
            </w:r>
            <w:r>
              <w:rPr>
                <w:rFonts w:ascii="宋体" w:hAnsi="宋体" w:cs="宋体" w:eastAsia="宋体"/>
                <w:color w:val="000000"/>
                <w:sz w:val="21"/>
              </w:rPr>
              <w:t>中标注</w:t>
            </w:r>
            <w:r>
              <w:rPr>
                <w:rFonts w:ascii="宋体" w:hAnsi="宋体" w:cs="宋体" w:eastAsia="宋体"/>
                <w:color w:val="000000"/>
                <w:sz w:val="21"/>
              </w:rPr>
              <w:t>▲</w:t>
            </w:r>
            <w:r>
              <w:rPr>
                <w:rFonts w:ascii="宋体" w:hAnsi="宋体" w:cs="宋体" w:eastAsia="宋体"/>
                <w:color w:val="000000"/>
                <w:sz w:val="21"/>
              </w:rPr>
              <w:t>的条款为重点</w:t>
            </w:r>
            <w:r>
              <w:rPr>
                <w:rFonts w:ascii="宋体" w:hAnsi="宋体" w:cs="宋体" w:eastAsia="宋体"/>
                <w:color w:val="000000"/>
                <w:sz w:val="21"/>
              </w:rPr>
              <w:t>功能</w:t>
            </w:r>
            <w:r>
              <w:rPr>
                <w:rFonts w:ascii="宋体" w:hAnsi="宋体" w:cs="宋体" w:eastAsia="宋体"/>
                <w:color w:val="000000"/>
                <w:sz w:val="21"/>
              </w:rPr>
              <w:t>及要求。</w:t>
            </w:r>
          </w:p>
          <w:p>
            <w:pPr>
              <w:pStyle w:val="null3"/>
              <w:jc w:val="center"/>
            </w:pPr>
            <w:r>
              <w:rPr>
                <w:rFonts w:ascii="宋体" w:hAnsi="宋体" w:cs="宋体" w:eastAsia="宋体"/>
                <w:color w:val="000000"/>
                <w:sz w:val="24"/>
              </w:rPr>
              <w:t>表</w:t>
            </w:r>
            <w:r>
              <w:rPr>
                <w:rFonts w:ascii="calibri" w:hAnsi="calibri" w:cs="calibri" w:eastAsia="calibri"/>
                <w:color w:val="000000"/>
                <w:sz w:val="24"/>
              </w:rPr>
              <w:t>4-1</w:t>
            </w:r>
            <w:r>
              <w:rPr>
                <w:rFonts w:ascii="宋体" w:hAnsi="宋体" w:cs="宋体" w:eastAsia="宋体"/>
                <w:color w:val="000000"/>
                <w:sz w:val="24"/>
              </w:rPr>
              <w:t>系统功能要求</w:t>
            </w:r>
          </w:p>
          <w:tbl>
            <w:tblPr>
              <w:tblBorders>
                <w:top w:val="none" w:color="000000" w:sz="4"/>
                <w:left w:val="none" w:color="000000" w:sz="4"/>
                <w:bottom w:val="none" w:color="000000" w:sz="4"/>
                <w:right w:val="none" w:color="000000" w:sz="4"/>
                <w:insideH w:val="none"/>
                <w:insideV w:val="none"/>
              </w:tblBorders>
            </w:tblPr>
            <w:tblGrid>
              <w:gridCol w:w="162"/>
              <w:gridCol w:w="474"/>
              <w:gridCol w:w="611"/>
              <w:gridCol w:w="1305"/>
            </w:tblGrid>
            <w:tr>
              <w:tc>
                <w:tcPr>
                  <w:tcW w:type="dxa" w:w="1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b/>
                      <w:color w:val="000000"/>
                      <w:sz w:val="18"/>
                    </w:rPr>
                    <w:t>序号</w:t>
                  </w:r>
                </w:p>
              </w:tc>
              <w:tc>
                <w:tcPr>
                  <w:tcW w:type="dxa" w:w="4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b/>
                      <w:color w:val="000000"/>
                      <w:sz w:val="18"/>
                    </w:rPr>
                    <w:t>功能模块</w:t>
                  </w:r>
                </w:p>
              </w:tc>
              <w:tc>
                <w:tcPr>
                  <w:tcW w:type="dxa" w:w="6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b/>
                      <w:color w:val="000000"/>
                      <w:sz w:val="18"/>
                    </w:rPr>
                    <w:t>子模块</w:t>
                  </w:r>
                </w:p>
              </w:tc>
              <w:tc>
                <w:tcPr>
                  <w:tcW w:type="dxa" w:w="13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b/>
                      <w:color w:val="000000"/>
                      <w:sz w:val="18"/>
                    </w:rPr>
                    <w:t>功能描述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1</w:t>
                  </w:r>
                </w:p>
              </w:tc>
              <w:tc>
                <w:tcPr>
                  <w:tcW w:type="dxa" w:w="4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21"/>
                    </w:rPr>
                    <w:t>▲</w:t>
                  </w:r>
                  <w:r>
                    <w:rPr>
                      <w:rFonts w:ascii="宋体" w:hAnsi="宋体" w:cs="宋体" w:eastAsia="宋体"/>
                      <w:color w:val="000000"/>
                      <w:sz w:val="18"/>
                    </w:rPr>
                    <w:t>设备接入管理</w:t>
                  </w:r>
                </w:p>
                <w:p>
                  <w:pPr>
                    <w:pStyle w:val="null3"/>
                    <w:ind w:firstLine="600"/>
                    <w:jc w:val="center"/>
                  </w:pPr>
                  <w:r>
                    <w:rPr>
                      <w:rFonts w:ascii="宋体" w:hAnsi="宋体" w:cs="宋体" w:eastAsia="宋体"/>
                      <w:color w:val="000000"/>
                      <w:sz w:val="18"/>
                    </w:rPr>
                    <w:t>（提供功能截图）</w:t>
                  </w:r>
                </w:p>
              </w:tc>
              <w:tc>
                <w:tcPr>
                  <w:tcW w:type="dxa" w:w="6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21"/>
                    </w:rPr>
                    <w:t>▲</w:t>
                  </w:r>
                  <w:r>
                    <w:rPr>
                      <w:rFonts w:ascii="宋体" w:hAnsi="宋体" w:cs="宋体" w:eastAsia="宋体"/>
                      <w:color w:val="000000"/>
                      <w:sz w:val="18"/>
                    </w:rPr>
                    <w:t>终端列表</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left"/>
                  </w:pPr>
                  <w:r>
                    <w:rPr>
                      <w:rFonts w:ascii="宋体" w:hAnsi="宋体" w:cs="宋体" w:eastAsia="宋体"/>
                      <w:color w:val="000000"/>
                      <w:sz w:val="18"/>
                    </w:rPr>
                    <w:t>省内部署终端列表，支持筛选查询和查看详情</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2</w:t>
                  </w:r>
                </w:p>
              </w:tc>
              <w:tc>
                <w:tcPr>
                  <w:tcW w:type="dxa" w:w="474"/>
                  <w:vMerge/>
                  <w:tcBorders>
                    <w:top w:val="non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left"/>
                  </w:pPr>
                  <w:r>
                    <w:rPr>
                      <w:rFonts w:ascii="宋体" w:hAnsi="宋体" w:cs="宋体" w:eastAsia="宋体"/>
                      <w:color w:val="000000"/>
                      <w:sz w:val="18"/>
                    </w:rPr>
                    <w:t>列表字段包括：终端</w:t>
                  </w:r>
                  <w:r>
                    <w:rPr>
                      <w:rFonts w:ascii="宋体" w:hAnsi="宋体" w:cs="宋体" w:eastAsia="宋体"/>
                      <w:color w:val="000000"/>
                      <w:sz w:val="18"/>
                    </w:rPr>
                    <w:t>SN、医保SN、终端类型、终端型号、终端厂商、所属机构、入库类型、状态。</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3</w:t>
                  </w:r>
                </w:p>
              </w:tc>
              <w:tc>
                <w:tcPr>
                  <w:tcW w:type="dxa" w:w="474"/>
                  <w:vMerge/>
                  <w:tcBorders>
                    <w:top w:val="none" w:color="000000" w:sz="4"/>
                    <w:left w:val="none" w:color="000000" w:sz="4"/>
                    <w:bottom w:val="single" w:color="000000" w:sz="4"/>
                    <w:right w:val="single" w:color="000000" w:sz="4"/>
                  </w:tcBorders>
                </w:tcP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21"/>
                    </w:rPr>
                    <w:t>▲</w:t>
                  </w:r>
                  <w:r>
                    <w:rPr>
                      <w:rFonts w:ascii="宋体" w:hAnsi="宋体" w:cs="宋体" w:eastAsia="宋体"/>
                      <w:color w:val="000000"/>
                      <w:sz w:val="18"/>
                    </w:rPr>
                    <w:t>指令下发</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left"/>
                  </w:pPr>
                  <w:r>
                    <w:rPr>
                      <w:rFonts w:ascii="宋体" w:hAnsi="宋体" w:cs="宋体" w:eastAsia="宋体"/>
                      <w:color w:val="000000"/>
                      <w:sz w:val="18"/>
                    </w:rPr>
                    <w:t>可以获取终端在线状态并针对在线终端下发重启和关机指令</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4</w:t>
                  </w:r>
                </w:p>
              </w:tc>
              <w:tc>
                <w:tcPr>
                  <w:tcW w:type="dxa" w:w="474"/>
                  <w:vMerge/>
                  <w:tcBorders>
                    <w:top w:val="none" w:color="000000" w:sz="4"/>
                    <w:left w:val="none" w:color="000000" w:sz="4"/>
                    <w:bottom w:val="single" w:color="000000" w:sz="4"/>
                    <w:right w:val="single" w:color="000000" w:sz="4"/>
                  </w:tcBorders>
                </w:tcPr>
                <w:p/>
              </w:tc>
              <w:tc>
                <w:tcPr>
                  <w:tcW w:type="dxa" w:w="6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21"/>
                    </w:rPr>
                    <w:t>▲</w:t>
                  </w:r>
                  <w:r>
                    <w:rPr>
                      <w:rFonts w:ascii="宋体" w:hAnsi="宋体" w:cs="宋体" w:eastAsia="宋体"/>
                      <w:color w:val="000000"/>
                      <w:sz w:val="18"/>
                    </w:rPr>
                    <w:t>终端信息详情</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left"/>
                  </w:pPr>
                  <w:r>
                    <w:rPr>
                      <w:rFonts w:ascii="宋体" w:hAnsi="宋体" w:cs="宋体" w:eastAsia="宋体"/>
                      <w:color w:val="000000"/>
                      <w:sz w:val="18"/>
                    </w:rPr>
                    <w:t>终端软件信息：终端应用当前版本、终端</w:t>
                  </w:r>
                  <w:r>
                    <w:rPr>
                      <w:rFonts w:ascii="宋体" w:hAnsi="宋体" w:cs="宋体" w:eastAsia="宋体"/>
                      <w:color w:val="000000"/>
                      <w:sz w:val="18"/>
                    </w:rPr>
                    <w:t>AIOT版本、Simle当前版本、凭证SDK版本</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5</w:t>
                  </w:r>
                </w:p>
              </w:tc>
              <w:tc>
                <w:tcPr>
                  <w:tcW w:type="dxa" w:w="474"/>
                  <w:vMerge/>
                  <w:tcBorders>
                    <w:top w:val="non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left"/>
                  </w:pPr>
                  <w:r>
                    <w:rPr>
                      <w:rFonts w:ascii="宋体" w:hAnsi="宋体" w:cs="宋体" w:eastAsia="宋体"/>
                      <w:color w:val="000000"/>
                      <w:sz w:val="18"/>
                    </w:rPr>
                    <w:t>物联卡信息：</w:t>
                  </w:r>
                  <w:r>
                    <w:rPr>
                      <w:rFonts w:ascii="宋体" w:hAnsi="宋体" w:cs="宋体" w:eastAsia="宋体"/>
                      <w:color w:val="000000"/>
                      <w:sz w:val="18"/>
                    </w:rPr>
                    <w:t>SIM卡状态、运营商、IMSI、ICCID、首次上报时间、最新上报时间</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6</w:t>
                  </w:r>
                </w:p>
              </w:tc>
              <w:tc>
                <w:tcPr>
                  <w:tcW w:type="dxa" w:w="4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21"/>
                    </w:rPr>
                    <w:t>▲</w:t>
                  </w:r>
                  <w:r>
                    <w:rPr>
                      <w:rFonts w:ascii="宋体" w:hAnsi="宋体" w:cs="宋体" w:eastAsia="宋体"/>
                      <w:color w:val="000000"/>
                      <w:sz w:val="18"/>
                    </w:rPr>
                    <w:t>网络接入管理</w:t>
                  </w:r>
                </w:p>
                <w:p>
                  <w:pPr>
                    <w:pStyle w:val="null3"/>
                    <w:ind w:firstLine="600"/>
                    <w:jc w:val="center"/>
                  </w:pPr>
                  <w:r>
                    <w:rPr>
                      <w:rFonts w:ascii="宋体" w:hAnsi="宋体" w:cs="宋体" w:eastAsia="宋体"/>
                      <w:color w:val="000000"/>
                      <w:sz w:val="18"/>
                    </w:rPr>
                    <w:t>（提供功能截图）</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21"/>
                    </w:rPr>
                    <w:t>▲</w:t>
                  </w:r>
                  <w:r>
                    <w:rPr>
                      <w:rFonts w:ascii="宋体" w:hAnsi="宋体" w:cs="宋体" w:eastAsia="宋体"/>
                      <w:color w:val="000000"/>
                      <w:sz w:val="18"/>
                    </w:rPr>
                    <w:t>网络</w:t>
                  </w:r>
                  <w:r>
                    <w:rPr>
                      <w:rFonts w:ascii="宋体" w:hAnsi="宋体" w:cs="宋体" w:eastAsia="宋体"/>
                      <w:color w:val="000000"/>
                      <w:sz w:val="18"/>
                    </w:rPr>
                    <w:t>IP池管理</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left"/>
                  </w:pPr>
                  <w:r>
                    <w:rPr>
                      <w:rFonts w:ascii="宋体" w:hAnsi="宋体" w:cs="宋体" w:eastAsia="宋体"/>
                      <w:color w:val="000000"/>
                      <w:sz w:val="18"/>
                    </w:rPr>
                    <w:t>定义终端使用网络</w:t>
                  </w:r>
                  <w:r>
                    <w:rPr>
                      <w:rFonts w:ascii="宋体" w:hAnsi="宋体" w:cs="宋体" w:eastAsia="宋体"/>
                      <w:color w:val="000000"/>
                      <w:sz w:val="18"/>
                    </w:rPr>
                    <w:t>IP域，包括医保有线网络IP域、医保无线网络IP域的统一配置</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7</w:t>
                  </w:r>
                </w:p>
              </w:tc>
              <w:tc>
                <w:tcPr>
                  <w:tcW w:type="dxa" w:w="474"/>
                  <w:vMerge/>
                  <w:tcBorders>
                    <w:top w:val="none" w:color="000000" w:sz="4"/>
                    <w:left w:val="none" w:color="000000" w:sz="4"/>
                    <w:bottom w:val="single" w:color="000000" w:sz="4"/>
                    <w:right w:val="single" w:color="000000" w:sz="4"/>
                  </w:tcBorders>
                </w:tcP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21"/>
                    </w:rPr>
                    <w:t>▲</w:t>
                  </w:r>
                  <w:r>
                    <w:rPr>
                      <w:rFonts w:ascii="宋体" w:hAnsi="宋体" w:cs="宋体" w:eastAsia="宋体"/>
                      <w:color w:val="000000"/>
                      <w:sz w:val="18"/>
                    </w:rPr>
                    <w:t>申请审核管理</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left"/>
                  </w:pPr>
                  <w:r>
                    <w:rPr>
                      <w:rFonts w:ascii="宋体" w:hAnsi="宋体" w:cs="宋体" w:eastAsia="宋体"/>
                      <w:color w:val="000000"/>
                      <w:sz w:val="18"/>
                    </w:rPr>
                    <w:t>基于业务流程，实现使用单位的接网络接入、变更、注销等申请、审核业务工作；审核完成后，自动分配网络</w:t>
                  </w:r>
                  <w:r>
                    <w:rPr>
                      <w:rFonts w:ascii="宋体" w:hAnsi="宋体" w:cs="宋体" w:eastAsia="宋体"/>
                      <w:color w:val="000000"/>
                      <w:sz w:val="18"/>
                    </w:rPr>
                    <w:t>IP</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8</w:t>
                  </w:r>
                </w:p>
              </w:tc>
              <w:tc>
                <w:tcPr>
                  <w:tcW w:type="dxa" w:w="474"/>
                  <w:vMerge/>
                  <w:tcBorders>
                    <w:top w:val="none" w:color="000000" w:sz="4"/>
                    <w:left w:val="none" w:color="000000" w:sz="4"/>
                    <w:bottom w:val="single" w:color="000000" w:sz="4"/>
                    <w:right w:val="single" w:color="000000" w:sz="4"/>
                  </w:tcBorders>
                </w:tcP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21"/>
                    </w:rPr>
                    <w:t>▲</w:t>
                  </w:r>
                  <w:r>
                    <w:rPr>
                      <w:rFonts w:ascii="宋体" w:hAnsi="宋体" w:cs="宋体" w:eastAsia="宋体"/>
                      <w:color w:val="000000"/>
                      <w:sz w:val="18"/>
                    </w:rPr>
                    <w:t>网络信息综合查询</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left"/>
                  </w:pPr>
                  <w:r>
                    <w:rPr>
                      <w:rFonts w:ascii="宋体" w:hAnsi="宋体" w:cs="宋体" w:eastAsia="宋体"/>
                      <w:color w:val="000000"/>
                      <w:sz w:val="18"/>
                    </w:rPr>
                    <w:t>实现网络</w:t>
                  </w:r>
                  <w:r>
                    <w:rPr>
                      <w:rFonts w:ascii="宋体" w:hAnsi="宋体" w:cs="宋体" w:eastAsia="宋体"/>
                      <w:color w:val="000000"/>
                      <w:sz w:val="18"/>
                    </w:rPr>
                    <w:t>IP、使用单位、设备信息等多维度条件的网络信息使用情况查询</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9</w:t>
                  </w:r>
                </w:p>
              </w:tc>
              <w:tc>
                <w:tcPr>
                  <w:tcW w:type="dxa" w:w="4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21"/>
                    </w:rPr>
                    <w:t>▲</w:t>
                  </w:r>
                  <w:r>
                    <w:rPr>
                      <w:rFonts w:ascii="宋体" w:hAnsi="宋体" w:cs="宋体" w:eastAsia="宋体"/>
                      <w:color w:val="000000"/>
                      <w:sz w:val="18"/>
                    </w:rPr>
                    <w:t>医保业务接入管理</w:t>
                  </w:r>
                </w:p>
                <w:p>
                  <w:pPr>
                    <w:pStyle w:val="null3"/>
                    <w:ind w:firstLine="600"/>
                    <w:jc w:val="center"/>
                  </w:pPr>
                  <w:r>
                    <w:rPr>
                      <w:rFonts w:ascii="宋体" w:hAnsi="宋体" w:cs="宋体" w:eastAsia="宋体"/>
                      <w:color w:val="000000"/>
                      <w:sz w:val="18"/>
                    </w:rPr>
                    <w:t>（提供功能截图）</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21"/>
                    </w:rPr>
                    <w:t>▲</w:t>
                  </w:r>
                  <w:r>
                    <w:rPr>
                      <w:rFonts w:ascii="宋体" w:hAnsi="宋体" w:cs="宋体" w:eastAsia="宋体"/>
                      <w:color w:val="000000"/>
                      <w:sz w:val="18"/>
                    </w:rPr>
                    <w:t>医保业务接口管理</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left"/>
                  </w:pPr>
                  <w:r>
                    <w:rPr>
                      <w:rFonts w:ascii="宋体" w:hAnsi="宋体" w:cs="宋体" w:eastAsia="宋体"/>
                      <w:color w:val="000000"/>
                      <w:sz w:val="18"/>
                    </w:rPr>
                    <w:t>医保业务接口管理，包括医保业务接口请求地址、入参、出参、描述等基础信息维护；接口状态标记；接口信息查询。</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10</w:t>
                  </w:r>
                </w:p>
              </w:tc>
              <w:tc>
                <w:tcPr>
                  <w:tcW w:type="dxa" w:w="474"/>
                  <w:vMerge/>
                  <w:tcBorders>
                    <w:top w:val="none" w:color="000000" w:sz="4"/>
                    <w:left w:val="none" w:color="000000" w:sz="4"/>
                    <w:bottom w:val="single" w:color="000000" w:sz="4"/>
                    <w:right w:val="single" w:color="000000" w:sz="4"/>
                  </w:tcBorders>
                </w:tcP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21"/>
                    </w:rPr>
                    <w:t>▲</w:t>
                  </w:r>
                  <w:r>
                    <w:rPr>
                      <w:rFonts w:ascii="宋体" w:hAnsi="宋体" w:cs="宋体" w:eastAsia="宋体"/>
                      <w:color w:val="000000"/>
                      <w:sz w:val="18"/>
                    </w:rPr>
                    <w:t>申请审核管理</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left"/>
                  </w:pPr>
                  <w:r>
                    <w:rPr>
                      <w:rFonts w:ascii="宋体" w:hAnsi="宋体" w:cs="宋体" w:eastAsia="宋体"/>
                      <w:color w:val="000000"/>
                      <w:sz w:val="18"/>
                    </w:rPr>
                    <w:t>基于业务流程，实现基于终端的医保业务接入、变更、注销等申请、审核业务工作</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11</w:t>
                  </w:r>
                </w:p>
              </w:tc>
              <w:tc>
                <w:tcPr>
                  <w:tcW w:type="dxa" w:w="474"/>
                  <w:vMerge/>
                  <w:tcBorders>
                    <w:top w:val="none" w:color="000000" w:sz="4"/>
                    <w:left w:val="none" w:color="000000" w:sz="4"/>
                    <w:bottom w:val="single" w:color="000000" w:sz="4"/>
                    <w:right w:val="single" w:color="000000" w:sz="4"/>
                  </w:tcBorders>
                </w:tcP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21"/>
                    </w:rPr>
                    <w:t>▲</w:t>
                  </w:r>
                  <w:r>
                    <w:rPr>
                      <w:rFonts w:ascii="宋体" w:hAnsi="宋体" w:cs="宋体" w:eastAsia="宋体"/>
                      <w:color w:val="000000"/>
                      <w:sz w:val="18"/>
                    </w:rPr>
                    <w:t>接入监测管理</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left"/>
                  </w:pPr>
                  <w:r>
                    <w:rPr>
                      <w:rFonts w:ascii="宋体" w:hAnsi="宋体" w:cs="宋体" w:eastAsia="宋体"/>
                      <w:color w:val="000000"/>
                      <w:sz w:val="18"/>
                    </w:rPr>
                    <w:t>对于终端接入医保业务运行状态监测</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12</w:t>
                  </w:r>
                </w:p>
              </w:tc>
              <w:tc>
                <w:tcPr>
                  <w:tcW w:type="dxa" w:w="4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数据采集管理</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数据库管理</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left"/>
                  </w:pPr>
                  <w:r>
                    <w:rPr>
                      <w:rFonts w:ascii="宋体" w:hAnsi="宋体" w:cs="宋体" w:eastAsia="宋体"/>
                      <w:color w:val="000000"/>
                      <w:sz w:val="18"/>
                    </w:rPr>
                    <w:t>源数据、目标数据库、各类表的权限配置，数据库信息查询等</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13</w:t>
                  </w:r>
                </w:p>
              </w:tc>
              <w:tc>
                <w:tcPr>
                  <w:tcW w:type="dxa" w:w="474"/>
                  <w:vMerge/>
                  <w:tcBorders>
                    <w:top w:val="none" w:color="000000" w:sz="4"/>
                    <w:left w:val="none" w:color="000000" w:sz="4"/>
                    <w:bottom w:val="single" w:color="000000" w:sz="4"/>
                    <w:right w:val="single" w:color="000000" w:sz="4"/>
                  </w:tcBorders>
                </w:tcP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采集任务管理</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left"/>
                  </w:pPr>
                  <w:r>
                    <w:rPr>
                      <w:rFonts w:ascii="宋体" w:hAnsi="宋体" w:cs="宋体" w:eastAsia="宋体"/>
                      <w:color w:val="000000"/>
                      <w:sz w:val="18"/>
                    </w:rPr>
                    <w:t>配置采集任务的源数据、目标数据库、表等信息，实现数据调度作业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14</w:t>
                  </w:r>
                </w:p>
              </w:tc>
              <w:tc>
                <w:tcPr>
                  <w:tcW w:type="dxa" w:w="474"/>
                  <w:vMerge/>
                  <w:tcBorders>
                    <w:top w:val="none" w:color="000000" w:sz="4"/>
                    <w:left w:val="none" w:color="000000" w:sz="4"/>
                    <w:bottom w:val="single" w:color="000000" w:sz="4"/>
                    <w:right w:val="single" w:color="000000" w:sz="4"/>
                  </w:tcBorders>
                </w:tcP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任务作业日志</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left"/>
                  </w:pPr>
                  <w:r>
                    <w:rPr>
                      <w:rFonts w:ascii="宋体" w:hAnsi="宋体" w:cs="宋体" w:eastAsia="宋体"/>
                      <w:color w:val="000000"/>
                      <w:sz w:val="18"/>
                    </w:rPr>
                    <w:t>记录数据采集任务配置记录、运行日志、操作日志、异常日志等</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15</w:t>
                  </w:r>
                </w:p>
              </w:tc>
              <w:tc>
                <w:tcPr>
                  <w:tcW w:type="dxa" w:w="474"/>
                  <w:vMerge/>
                  <w:tcBorders>
                    <w:top w:val="none" w:color="000000" w:sz="4"/>
                    <w:left w:val="none" w:color="000000" w:sz="4"/>
                    <w:bottom w:val="single" w:color="000000" w:sz="4"/>
                    <w:right w:val="single" w:color="000000" w:sz="4"/>
                  </w:tcBorders>
                </w:tcP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基础信息配置</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left"/>
                  </w:pPr>
                  <w:r>
                    <w:rPr>
                      <w:rFonts w:ascii="宋体" w:hAnsi="宋体" w:cs="宋体" w:eastAsia="宋体"/>
                      <w:color w:val="000000"/>
                      <w:sz w:val="18"/>
                    </w:rPr>
                    <w:t>源数据、目标数据库的</w:t>
                  </w:r>
                  <w:r>
                    <w:rPr>
                      <w:rFonts w:ascii="宋体" w:hAnsi="宋体" w:cs="宋体" w:eastAsia="宋体"/>
                      <w:color w:val="000000"/>
                      <w:sz w:val="18"/>
                    </w:rPr>
                    <w:t>IP、端口、账号等信息配置；表字段、索引等信息配置</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16</w:t>
                  </w:r>
                </w:p>
              </w:tc>
              <w:tc>
                <w:tcPr>
                  <w:tcW w:type="dxa" w:w="4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数据统计分析管理</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设备信息数据统计分析</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left"/>
                  </w:pPr>
                  <w:r>
                    <w:rPr>
                      <w:rFonts w:ascii="宋体" w:hAnsi="宋体" w:cs="宋体" w:eastAsia="宋体"/>
                      <w:color w:val="000000"/>
                      <w:sz w:val="18"/>
                    </w:rPr>
                    <w:t>终端设备详细运行信息和监控管理功能。可以查看终端设备的网络信息、运行信息以及终端位置的连续性变化；在辖区内两定机构部署覆盖率进行多维度统计分析。包括但不限于按照机构类型、地区、设备型号等维度进行统计，了解不同类型和地区的机构对终端设备的部署情况，以及不同设备型号在机构中的覆盖率；建立以时间（近半年、近三个月、近一个月）为统计时间跨度，展示区域内终端新增部署数量，掌握设备应用的进展和趋势</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17</w:t>
                  </w:r>
                </w:p>
              </w:tc>
              <w:tc>
                <w:tcPr>
                  <w:tcW w:type="dxa" w:w="474"/>
                  <w:vMerge/>
                  <w:tcBorders>
                    <w:top w:val="none" w:color="000000" w:sz="4"/>
                    <w:left w:val="none" w:color="000000" w:sz="4"/>
                    <w:bottom w:val="single" w:color="000000" w:sz="4"/>
                    <w:right w:val="single" w:color="000000" w:sz="4"/>
                  </w:tcBorders>
                </w:tcP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机构信息数据统计分析</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left"/>
                  </w:pPr>
                  <w:r>
                    <w:rPr>
                      <w:rFonts w:ascii="宋体" w:hAnsi="宋体" w:cs="宋体" w:eastAsia="宋体"/>
                      <w:color w:val="000000"/>
                      <w:sz w:val="18"/>
                    </w:rPr>
                    <w:t>针对定点医疗医院、定点零售药店和医保系统单位的终端设备部署覆盖率进行统计分析；两定机构发展情况和设备覆盖趋势，通过以半年、一年为统计时间跨度，展示每月新增两定机构数量和当月总机构覆盖率；通过</w:t>
                  </w:r>
                  <w:r>
                    <w:rPr>
                      <w:rFonts w:ascii="宋体" w:hAnsi="宋体" w:cs="宋体" w:eastAsia="宋体"/>
                      <w:color w:val="000000"/>
                      <w:sz w:val="18"/>
                    </w:rPr>
                    <w:t>/支持对所有两定机构已部署终端数量进行排行统计，同时提供多种筛选排名统计的维度，需包含机构类型、机构级别、所在地区等。通过多维度的筛选，可更加全面了解不同类型、不同级别、不同地区的两定机构在终端部署和排名情况</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18</w:t>
                  </w:r>
                </w:p>
              </w:tc>
              <w:tc>
                <w:tcPr>
                  <w:tcW w:type="dxa" w:w="474"/>
                  <w:vMerge/>
                  <w:tcBorders>
                    <w:top w:val="none" w:color="000000" w:sz="4"/>
                    <w:left w:val="none" w:color="000000" w:sz="4"/>
                    <w:bottom w:val="single" w:color="000000" w:sz="4"/>
                    <w:right w:val="single" w:color="000000" w:sz="4"/>
                  </w:tcBorders>
                </w:tcP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网络信息数据统计分析</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left"/>
                  </w:pPr>
                  <w:r>
                    <w:rPr>
                      <w:rFonts w:ascii="宋体" w:hAnsi="宋体" w:cs="宋体" w:eastAsia="宋体"/>
                      <w:color w:val="000000"/>
                      <w:sz w:val="18"/>
                    </w:rPr>
                    <w:t>展示区域内医保终端的医保有线、无线模式终端应用数量以及不同网络链路（运营商）的占比</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19</w:t>
                  </w:r>
                </w:p>
              </w:tc>
              <w:tc>
                <w:tcPr>
                  <w:tcW w:type="dxa" w:w="474"/>
                  <w:vMerge/>
                  <w:tcBorders>
                    <w:top w:val="none" w:color="000000" w:sz="4"/>
                    <w:left w:val="none" w:color="000000" w:sz="4"/>
                    <w:bottom w:val="single" w:color="000000" w:sz="4"/>
                    <w:right w:val="single" w:color="000000" w:sz="4"/>
                  </w:tcBorders>
                </w:tcP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医保业务应用信息数据统计分析</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left"/>
                  </w:pPr>
                  <w:r>
                    <w:rPr>
                      <w:rFonts w:ascii="宋体" w:hAnsi="宋体" w:cs="宋体" w:eastAsia="宋体"/>
                      <w:color w:val="000000"/>
                      <w:sz w:val="18"/>
                    </w:rPr>
                    <w:t>不限于参保证明打印、参保信息查询、居民参保缴费、灵活就业人员参保登记、城乡居民参保登记、特殊药品登记、门诊特慢病登记、生育医疗费用报销登记、跨省转移接续申请、家庭账户共济、跨省异地就医结算信息查询、跨省异地就医备案、医保公共信息查询、医保政策知识查询等的医保业务服务应用频率统计，以日或月为颗粒度，展示近一周、近一月或近一年、近半年的应用数据</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20</w:t>
                  </w:r>
                </w:p>
              </w:tc>
              <w:tc>
                <w:tcPr>
                  <w:tcW w:type="dxa" w:w="474"/>
                  <w:vMerge/>
                  <w:tcBorders>
                    <w:top w:val="none" w:color="000000" w:sz="4"/>
                    <w:left w:val="none" w:color="000000" w:sz="4"/>
                    <w:bottom w:val="single" w:color="000000" w:sz="4"/>
                    <w:right w:val="single" w:color="000000" w:sz="4"/>
                  </w:tcBorders>
                </w:tcP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终端服务数据统计分析</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left"/>
                  </w:pPr>
                  <w:r>
                    <w:rPr>
                      <w:rFonts w:ascii="宋体" w:hAnsi="宋体" w:cs="宋体" w:eastAsia="宋体"/>
                      <w:color w:val="000000"/>
                      <w:sz w:val="18"/>
                    </w:rPr>
                    <w:t>包括基于终端的医保电子凭证（医保码）激活、结算、医保业务应用数据；通过数据统计了解不同身份核验方式的使用情况和比例，为进一步优化身份核验流程和提高核验效率提供参考。支持统计使用人脸识别方式、身份证方式和电子凭证方式进行身份核验的次数和占比等方式收集和整理数据统计；对比不同时间跨度的服务人数统计信息；以日或月为颗粒度，展示近一周、近一月或近一年、近半年的服务人数统计信息，直观了解服务人数的变化趋势和规律；以日或月为颗粒度，展示近一周、近一月或近一年、近半年的服务次数统计信息</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21</w:t>
                  </w:r>
                </w:p>
              </w:tc>
              <w:tc>
                <w:tcPr>
                  <w:tcW w:type="dxa" w:w="4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数据可视化</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关键指数</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left"/>
                  </w:pPr>
                  <w:r>
                    <w:rPr>
                      <w:rFonts w:ascii="宋体" w:hAnsi="宋体" w:cs="宋体" w:eastAsia="宋体"/>
                      <w:color w:val="000000"/>
                      <w:sz w:val="18"/>
                    </w:rPr>
                    <w:t>展示关键指数：机构部署总数、部署总覆盖率、终端累计服务人数、终端累计服务人次</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22</w:t>
                  </w:r>
                </w:p>
              </w:tc>
              <w:tc>
                <w:tcPr>
                  <w:tcW w:type="dxa" w:w="474"/>
                  <w:vMerge/>
                  <w:tcBorders>
                    <w:top w:val="none" w:color="000000" w:sz="4"/>
                    <w:left w:val="none" w:color="000000" w:sz="4"/>
                    <w:bottom w:val="single" w:color="000000" w:sz="4"/>
                    <w:right w:val="single" w:color="000000" w:sz="4"/>
                  </w:tcBorders>
                </w:tcP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医保终端部署地图</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left"/>
                  </w:pPr>
                  <w:r>
                    <w:rPr>
                      <w:rFonts w:ascii="宋体" w:hAnsi="宋体" w:cs="宋体" w:eastAsia="宋体"/>
                      <w:color w:val="000000"/>
                      <w:sz w:val="18"/>
                    </w:rPr>
                    <w:t>省</w:t>
                  </w:r>
                  <w:r>
                    <w:rPr>
                      <w:rFonts w:ascii="宋体" w:hAnsi="宋体" w:cs="宋体" w:eastAsia="宋体"/>
                      <w:color w:val="000000"/>
                      <w:sz w:val="18"/>
                    </w:rPr>
                    <w:t>2D地图中以颜色深浅直观对比终端部署数量，并轮换气泡方式展示各市部署机构数、部署终端数、服务次数。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23</w:t>
                  </w:r>
                </w:p>
              </w:tc>
              <w:tc>
                <w:tcPr>
                  <w:tcW w:type="dxa" w:w="474"/>
                  <w:vMerge/>
                  <w:tcBorders>
                    <w:top w:val="none" w:color="000000" w:sz="4"/>
                    <w:left w:val="none" w:color="000000" w:sz="4"/>
                    <w:bottom w:val="single" w:color="000000" w:sz="4"/>
                    <w:right w:val="single" w:color="000000" w:sz="4"/>
                  </w:tcBorders>
                </w:tcP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医保终端部署统计</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left"/>
                  </w:pPr>
                  <w:r>
                    <w:rPr>
                      <w:rFonts w:ascii="宋体" w:hAnsi="宋体" w:cs="宋体" w:eastAsia="宋体"/>
                      <w:color w:val="000000"/>
                      <w:sz w:val="18"/>
                    </w:rPr>
                    <w:t>省内部署终端定点医疗机构数量、定点零售药店数量、医保系统机构单位数量、医院部署终端数量、药店部署终端数量、经办机构部署终端数量</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24</w:t>
                  </w:r>
                </w:p>
              </w:tc>
              <w:tc>
                <w:tcPr>
                  <w:tcW w:type="dxa" w:w="474"/>
                  <w:vMerge/>
                  <w:tcBorders>
                    <w:top w:val="none" w:color="000000" w:sz="4"/>
                    <w:left w:val="none" w:color="000000" w:sz="4"/>
                    <w:bottom w:val="single" w:color="000000" w:sz="4"/>
                    <w:right w:val="single" w:color="000000" w:sz="4"/>
                  </w:tcBorders>
                </w:tcP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机构终端在线率</w:t>
                  </w:r>
                  <w:r>
                    <w:rPr>
                      <w:rFonts w:ascii="宋体" w:hAnsi="宋体" w:cs="宋体" w:eastAsia="宋体"/>
                      <w:color w:val="000000"/>
                      <w:sz w:val="18"/>
                    </w:rPr>
                    <w:t>TOP10</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left"/>
                  </w:pPr>
                  <w:r>
                    <w:rPr>
                      <w:rFonts w:ascii="宋体" w:hAnsi="宋体" w:cs="宋体" w:eastAsia="宋体"/>
                      <w:color w:val="000000"/>
                      <w:sz w:val="18"/>
                    </w:rPr>
                    <w:t>统计省内机构终端在线率</w:t>
                  </w:r>
                  <w:r>
                    <w:rPr>
                      <w:rFonts w:ascii="宋体" w:hAnsi="宋体" w:cs="宋体" w:eastAsia="宋体"/>
                      <w:color w:val="000000"/>
                      <w:sz w:val="18"/>
                    </w:rPr>
                    <w:t>TOP10。（排名、机构名称、终端在线数量、终端在线率）</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25</w:t>
                  </w:r>
                </w:p>
              </w:tc>
              <w:tc>
                <w:tcPr>
                  <w:tcW w:type="dxa" w:w="474"/>
                  <w:vMerge/>
                  <w:tcBorders>
                    <w:top w:val="none" w:color="000000" w:sz="4"/>
                    <w:left w:val="none" w:color="000000" w:sz="4"/>
                    <w:bottom w:val="single" w:color="000000" w:sz="4"/>
                    <w:right w:val="single" w:color="000000" w:sz="4"/>
                  </w:tcBorders>
                </w:tcP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终端运行状态统计</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left"/>
                  </w:pPr>
                  <w:r>
                    <w:rPr>
                      <w:rFonts w:ascii="宋体" w:hAnsi="宋体" w:cs="宋体" w:eastAsia="宋体"/>
                      <w:color w:val="000000"/>
                      <w:sz w:val="18"/>
                    </w:rPr>
                    <w:t>统计省内机构终端在线中</w:t>
                  </w:r>
                  <w:r>
                    <w:rPr>
                      <w:rFonts w:ascii="宋体" w:hAnsi="宋体" w:cs="宋体" w:eastAsia="宋体"/>
                      <w:color w:val="000000"/>
                      <w:sz w:val="18"/>
                    </w:rPr>
                    <w:t>/离线中数量及占比情况。</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26</w:t>
                  </w:r>
                </w:p>
              </w:tc>
              <w:tc>
                <w:tcPr>
                  <w:tcW w:type="dxa" w:w="474"/>
                  <w:vMerge/>
                  <w:tcBorders>
                    <w:top w:val="none" w:color="000000" w:sz="4"/>
                    <w:left w:val="none" w:color="000000" w:sz="4"/>
                    <w:bottom w:val="single" w:color="000000" w:sz="4"/>
                    <w:right w:val="single" w:color="000000" w:sz="4"/>
                  </w:tcBorders>
                </w:tcP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机构部署覆盖率</w:t>
                  </w:r>
                  <w:r>
                    <w:rPr>
                      <w:rFonts w:ascii="宋体" w:hAnsi="宋体" w:cs="宋体" w:eastAsia="宋体"/>
                      <w:color w:val="000000"/>
                      <w:sz w:val="18"/>
                    </w:rPr>
                    <w:t>/终端部署机构数</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left"/>
                  </w:pPr>
                  <w:r>
                    <w:rPr>
                      <w:rFonts w:ascii="宋体" w:hAnsi="宋体" w:cs="宋体" w:eastAsia="宋体"/>
                      <w:color w:val="000000"/>
                      <w:sz w:val="18"/>
                    </w:rPr>
                    <w:t>按照时间维度统计省内机构部署覆盖率和部署机构数量</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27</w:t>
                  </w:r>
                </w:p>
              </w:tc>
              <w:tc>
                <w:tcPr>
                  <w:tcW w:type="dxa" w:w="474"/>
                  <w:vMerge/>
                  <w:tcBorders>
                    <w:top w:val="none" w:color="000000" w:sz="4"/>
                    <w:left w:val="none" w:color="000000" w:sz="4"/>
                    <w:bottom w:val="single" w:color="000000" w:sz="4"/>
                    <w:right w:val="single" w:color="000000" w:sz="4"/>
                  </w:tcBorders>
                </w:tcP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医保终端身份核验次数统计柱图</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left"/>
                  </w:pPr>
                  <w:r>
                    <w:rPr>
                      <w:rFonts w:ascii="宋体" w:hAnsi="宋体" w:cs="宋体" w:eastAsia="宋体"/>
                      <w:color w:val="000000"/>
                      <w:sz w:val="18"/>
                    </w:rPr>
                    <w:t>以柱状图形式展示通过医保终端刷脸核身、扫码核身、身份证核身的次数。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28</w:t>
                  </w:r>
                </w:p>
              </w:tc>
              <w:tc>
                <w:tcPr>
                  <w:tcW w:type="dxa" w:w="474"/>
                  <w:vMerge/>
                  <w:tcBorders>
                    <w:top w:val="none" w:color="000000" w:sz="4"/>
                    <w:left w:val="none" w:color="000000" w:sz="4"/>
                    <w:bottom w:val="single" w:color="000000" w:sz="4"/>
                    <w:right w:val="single" w:color="000000" w:sz="4"/>
                  </w:tcBorders>
                </w:tcP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机构终端服务人次</w:t>
                  </w:r>
                  <w:r>
                    <w:rPr>
                      <w:rFonts w:ascii="宋体" w:hAnsi="宋体" w:cs="宋体" w:eastAsia="宋体"/>
                      <w:color w:val="000000"/>
                      <w:sz w:val="18"/>
                    </w:rPr>
                    <w:t>TOP10</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left"/>
                  </w:pPr>
                  <w:r>
                    <w:rPr>
                      <w:rFonts w:ascii="宋体" w:hAnsi="宋体" w:cs="宋体" w:eastAsia="宋体"/>
                      <w:color w:val="000000"/>
                      <w:sz w:val="18"/>
                    </w:rPr>
                    <w:t>以广告牌翻牌形式展示机构终端服务人次</w:t>
                  </w:r>
                  <w:r>
                    <w:rPr>
                      <w:rFonts w:ascii="宋体" w:hAnsi="宋体" w:cs="宋体" w:eastAsia="宋体"/>
                      <w:color w:val="000000"/>
                      <w:sz w:val="18"/>
                    </w:rPr>
                    <w:t>TOP10。（排名、机构名称、服务人次）</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29</w:t>
                  </w:r>
                </w:p>
              </w:tc>
              <w:tc>
                <w:tcPr>
                  <w:tcW w:type="dxa" w:w="474"/>
                  <w:vMerge/>
                  <w:tcBorders>
                    <w:top w:val="none" w:color="000000" w:sz="4"/>
                    <w:left w:val="none" w:color="000000" w:sz="4"/>
                    <w:bottom w:val="single" w:color="000000" w:sz="4"/>
                    <w:right w:val="single" w:color="000000" w:sz="4"/>
                  </w:tcBorders>
                </w:tcP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终端服务人次趋势图</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left"/>
                  </w:pPr>
                  <w:r>
                    <w:rPr>
                      <w:rFonts w:ascii="宋体" w:hAnsi="宋体" w:cs="宋体" w:eastAsia="宋体"/>
                      <w:color w:val="000000"/>
                      <w:sz w:val="18"/>
                    </w:rPr>
                    <w:t>以柱状图</w:t>
                  </w:r>
                  <w:r>
                    <w:rPr>
                      <w:rFonts w:ascii="宋体" w:hAnsi="宋体" w:cs="宋体" w:eastAsia="宋体"/>
                      <w:color w:val="000000"/>
                      <w:sz w:val="18"/>
                    </w:rPr>
                    <w:t>/折线图形式展示近3个月终端服务人次趋势。（月份、人次）</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30</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业务流程管理</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流程配置管理</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left"/>
                  </w:pPr>
                  <w:r>
                    <w:rPr>
                      <w:rFonts w:ascii="宋体" w:hAnsi="宋体" w:cs="宋体" w:eastAsia="宋体"/>
                      <w:color w:val="000000"/>
                      <w:sz w:val="18"/>
                    </w:rPr>
                    <w:t>结合管理要求，配置终端、网络、医保业务等申请、审核业务流程</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31</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机构管理</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机构编码表</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left"/>
                  </w:pPr>
                  <w:r>
                    <w:rPr>
                      <w:rFonts w:ascii="宋体" w:hAnsi="宋体" w:cs="宋体" w:eastAsia="宋体"/>
                      <w:color w:val="000000"/>
                      <w:sz w:val="18"/>
                    </w:rPr>
                    <w:t>查看机构信息，包含机构编码、名称、地址、类型、联系人、联系方式</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32</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内容管理</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内容方案管理</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left"/>
                  </w:pPr>
                  <w:r>
                    <w:rPr>
                      <w:rFonts w:ascii="宋体" w:hAnsi="宋体" w:cs="宋体" w:eastAsia="宋体"/>
                      <w:color w:val="000000"/>
                      <w:sz w:val="18"/>
                    </w:rPr>
                    <w:t>查询内容配置方案信息。</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33</w:t>
                  </w:r>
                </w:p>
              </w:tc>
              <w:tc>
                <w:tcPr>
                  <w:tcW w:type="dxa" w:w="4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系统管理</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我的消息</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left"/>
                  </w:pPr>
                  <w:r>
                    <w:rPr>
                      <w:rFonts w:ascii="宋体" w:hAnsi="宋体" w:cs="宋体" w:eastAsia="宋体"/>
                      <w:color w:val="000000"/>
                      <w:sz w:val="18"/>
                    </w:rPr>
                    <w:t>可以查看用户的所有消息并支持状态筛选、标记已读和删除操作</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34</w:t>
                  </w:r>
                </w:p>
              </w:tc>
              <w:tc>
                <w:tcPr>
                  <w:tcW w:type="dxa" w:w="474"/>
                  <w:vMerge/>
                  <w:tcBorders>
                    <w:top w:val="none" w:color="000000" w:sz="4"/>
                    <w:left w:val="none" w:color="000000" w:sz="4"/>
                    <w:bottom w:val="single" w:color="000000" w:sz="4"/>
                    <w:right w:val="single" w:color="000000" w:sz="4"/>
                  </w:tcBorders>
                </w:tcP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个人中心</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left"/>
                  </w:pPr>
                  <w:r>
                    <w:rPr>
                      <w:rFonts w:ascii="宋体" w:hAnsi="宋体" w:cs="宋体" w:eastAsia="宋体"/>
                      <w:color w:val="000000"/>
                      <w:sz w:val="18"/>
                    </w:rPr>
                    <w:t>框架右上方显示消息入口，并有未读消息提示。</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35</w:t>
                  </w:r>
                </w:p>
              </w:tc>
              <w:tc>
                <w:tcPr>
                  <w:tcW w:type="dxa" w:w="474"/>
                  <w:vMerge/>
                  <w:tcBorders>
                    <w:top w:val="none" w:color="000000" w:sz="4"/>
                    <w:left w:val="none" w:color="000000" w:sz="4"/>
                    <w:bottom w:val="single" w:color="000000" w:sz="4"/>
                    <w:right w:val="single" w:color="000000" w:sz="4"/>
                  </w:tcBorders>
                </w:tcP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用户管理</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left"/>
                  </w:pPr>
                  <w:r>
                    <w:rPr>
                      <w:rFonts w:ascii="宋体" w:hAnsi="宋体" w:cs="宋体" w:eastAsia="宋体"/>
                      <w:color w:val="000000"/>
                      <w:sz w:val="18"/>
                    </w:rPr>
                    <w:t>管理平台账号，可进行增删改查操作</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36</w:t>
                  </w:r>
                </w:p>
              </w:tc>
              <w:tc>
                <w:tcPr>
                  <w:tcW w:type="dxa" w:w="474"/>
                  <w:vMerge/>
                  <w:tcBorders>
                    <w:top w:val="none" w:color="000000" w:sz="4"/>
                    <w:left w:val="none" w:color="000000" w:sz="4"/>
                    <w:bottom w:val="single" w:color="000000" w:sz="4"/>
                    <w:right w:val="single" w:color="000000" w:sz="4"/>
                  </w:tcBorders>
                </w:tcP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角色管理</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left"/>
                  </w:pPr>
                  <w:r>
                    <w:rPr>
                      <w:rFonts w:ascii="宋体" w:hAnsi="宋体" w:cs="宋体" w:eastAsia="宋体"/>
                      <w:color w:val="000000"/>
                      <w:sz w:val="18"/>
                    </w:rPr>
                    <w:t>管理平台账号的角色，配置角色的菜单权限，在创建账号时关联角色，可实现精细化的权限隔离。</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37</w:t>
                  </w:r>
                </w:p>
              </w:tc>
              <w:tc>
                <w:tcPr>
                  <w:tcW w:type="dxa" w:w="474"/>
                  <w:vMerge/>
                  <w:tcBorders>
                    <w:top w:val="none" w:color="000000" w:sz="4"/>
                    <w:left w:val="none" w:color="000000" w:sz="4"/>
                    <w:bottom w:val="single" w:color="000000" w:sz="4"/>
                    <w:right w:val="single" w:color="000000" w:sz="4"/>
                  </w:tcBorders>
                </w:tcP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菜单管理</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left"/>
                  </w:pPr>
                  <w:r>
                    <w:rPr>
                      <w:rFonts w:ascii="宋体" w:hAnsi="宋体" w:cs="宋体" w:eastAsia="宋体"/>
                      <w:color w:val="000000"/>
                      <w:sz w:val="18"/>
                    </w:rPr>
                    <w:t>管理平台的菜单，可以进行菜单的增减、调序、变更菜单名等操作</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38</w:t>
                  </w:r>
                </w:p>
              </w:tc>
              <w:tc>
                <w:tcPr>
                  <w:tcW w:type="dxa" w:w="474"/>
                  <w:vMerge/>
                  <w:tcBorders>
                    <w:top w:val="none" w:color="000000" w:sz="4"/>
                    <w:left w:val="none" w:color="000000" w:sz="4"/>
                    <w:bottom w:val="single" w:color="000000" w:sz="4"/>
                    <w:right w:val="single" w:color="000000" w:sz="4"/>
                  </w:tcBorders>
                </w:tcP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部门管理</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left"/>
                  </w:pPr>
                  <w:r>
                    <w:rPr>
                      <w:rFonts w:ascii="宋体" w:hAnsi="宋体" w:cs="宋体" w:eastAsia="宋体"/>
                      <w:color w:val="000000"/>
                      <w:sz w:val="18"/>
                    </w:rPr>
                    <w:t>可以管理平台账号的部门，在创建账号时关联部门，可实现精细化的权限隔离。</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39</w:t>
                  </w:r>
                </w:p>
              </w:tc>
              <w:tc>
                <w:tcPr>
                  <w:tcW w:type="dxa" w:w="474"/>
                  <w:vMerge/>
                  <w:tcBorders>
                    <w:top w:val="none" w:color="000000" w:sz="4"/>
                    <w:left w:val="none" w:color="000000" w:sz="4"/>
                    <w:bottom w:val="single" w:color="000000" w:sz="4"/>
                    <w:right w:val="single" w:color="000000" w:sz="4"/>
                  </w:tcBorders>
                </w:tcP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字典管理</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left"/>
                  </w:pPr>
                  <w:r>
                    <w:rPr>
                      <w:rFonts w:ascii="宋体" w:hAnsi="宋体" w:cs="宋体" w:eastAsia="宋体"/>
                      <w:color w:val="000000"/>
                      <w:sz w:val="18"/>
                    </w:rPr>
                    <w:t>对系统内一些字典进行管理</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40</w:t>
                  </w:r>
                </w:p>
              </w:tc>
              <w:tc>
                <w:tcPr>
                  <w:tcW w:type="dxa" w:w="474"/>
                  <w:vMerge/>
                  <w:tcBorders>
                    <w:top w:val="none" w:color="000000" w:sz="4"/>
                    <w:left w:val="none" w:color="000000" w:sz="4"/>
                    <w:bottom w:val="single" w:color="000000" w:sz="4"/>
                    <w:right w:val="single" w:color="000000" w:sz="4"/>
                  </w:tcBorders>
                </w:tcP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基础数据管理</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left"/>
                  </w:pPr>
                  <w:r>
                    <w:rPr>
                      <w:rFonts w:ascii="宋体" w:hAnsi="宋体" w:cs="宋体" w:eastAsia="宋体"/>
                      <w:color w:val="000000"/>
                      <w:sz w:val="18"/>
                    </w:rPr>
                    <w:t>医保行政区映射关系管理</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41</w:t>
                  </w:r>
                </w:p>
              </w:tc>
              <w:tc>
                <w:tcPr>
                  <w:tcW w:type="dxa" w:w="474"/>
                  <w:vMerge/>
                  <w:tcBorders>
                    <w:top w:val="none" w:color="000000" w:sz="4"/>
                    <w:left w:val="none" w:color="000000" w:sz="4"/>
                    <w:bottom w:val="single" w:color="000000" w:sz="4"/>
                    <w:right w:val="single" w:color="000000" w:sz="4"/>
                  </w:tcBorders>
                </w:tcP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宋体" w:hAnsi="宋体" w:cs="宋体" w:eastAsia="宋体"/>
                      <w:color w:val="000000"/>
                      <w:sz w:val="18"/>
                    </w:rPr>
                    <w:t>日志管理</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left"/>
                  </w:pPr>
                  <w:r>
                    <w:rPr>
                      <w:rFonts w:ascii="宋体" w:hAnsi="宋体" w:cs="宋体" w:eastAsia="宋体"/>
                      <w:color w:val="000000"/>
                      <w:sz w:val="18"/>
                    </w:rPr>
                    <w:t>可以查操作日志、登录日志</w:t>
                  </w:r>
                </w:p>
              </w:tc>
            </w:tr>
          </w:tbl>
          <w:p>
            <w:pPr>
              <w:pStyle w:val="null3"/>
              <w:ind w:firstLine="600"/>
              <w:outlineLvl w:val="2"/>
            </w:pPr>
            <w:r>
              <w:rPr>
                <w:rFonts w:ascii="宋体" w:hAnsi="宋体" w:cs="宋体" w:eastAsia="宋体"/>
                <w:b/>
                <w:sz w:val="21"/>
              </w:rPr>
              <w:t>（四）精细管理服务</w:t>
            </w:r>
          </w:p>
          <w:p>
            <w:pPr>
              <w:pStyle w:val="null3"/>
              <w:ind w:firstLine="600"/>
            </w:pPr>
            <w:r>
              <w:rPr>
                <w:rFonts w:ascii="宋体" w:hAnsi="宋体" w:cs="宋体" w:eastAsia="宋体"/>
                <w:sz w:val="21"/>
              </w:rPr>
              <w:t>1、服务内容</w:t>
            </w:r>
          </w:p>
          <w:p>
            <w:pPr>
              <w:pStyle w:val="null3"/>
              <w:ind w:firstLine="600"/>
            </w:pPr>
            <w:r>
              <w:rPr>
                <w:rFonts w:ascii="宋体" w:hAnsi="宋体" w:cs="宋体" w:eastAsia="宋体"/>
                <w:sz w:val="21"/>
              </w:rPr>
              <w:t>精细管理服务主要是为省医保局信息化主管部门提供基于医保业务综合服务终端规范管理的专业技术人员服务支撑保障，结合管理规范制度，充分利用支撑工具软件，保障医保业务综合服务终端规范管理的顺利实施，协助陕西省医疗保障局信息化主管部门对全省</w:t>
            </w:r>
            <w:r>
              <w:rPr>
                <w:rFonts w:ascii="宋体" w:hAnsi="宋体" w:cs="宋体" w:eastAsia="宋体"/>
                <w:sz w:val="21"/>
              </w:rPr>
              <w:t>12个统筹区的各级医保部门、3万余家定点医药机构的医保业务综合服务终端等使用单位的终端设备、网络、医保业务的接入、变更、注销申请进行管理，详实记录申请台账。持续开展监测运行情况，并对违规事件进行上报。严格把控医保业务服务应用的统一归口管理，实施技术风险风控机制，确保医保业务服务应用安全和应用成效显著。</w:t>
            </w:r>
          </w:p>
          <w:p>
            <w:pPr>
              <w:pStyle w:val="null3"/>
              <w:ind w:firstLine="600"/>
            </w:pPr>
            <w:r>
              <w:rPr>
                <w:rFonts w:ascii="宋体" w:hAnsi="宋体" w:cs="宋体" w:eastAsia="宋体"/>
                <w:sz w:val="21"/>
              </w:rPr>
              <w:t>2、服务人员要求</w:t>
            </w:r>
          </w:p>
          <w:p>
            <w:pPr>
              <w:pStyle w:val="null3"/>
              <w:ind w:firstLine="600"/>
            </w:pPr>
            <w:r>
              <w:rPr>
                <w:rFonts w:ascii="宋体" w:hAnsi="宋体" w:cs="宋体" w:eastAsia="宋体"/>
                <w:sz w:val="21"/>
              </w:rPr>
              <w:t>服务实施过程中需要投入必要的人员，保障省医保局医保业务综合服务终端管理工作正常开展，提供现场驻场服务人员</w:t>
            </w:r>
            <w:r>
              <w:rPr>
                <w:rFonts w:ascii="宋体" w:hAnsi="宋体" w:cs="宋体" w:eastAsia="宋体"/>
                <w:sz w:val="21"/>
              </w:rPr>
              <w:t>（不少于</w:t>
            </w:r>
            <w:r>
              <w:rPr>
                <w:rFonts w:ascii="宋体" w:hAnsi="宋体" w:cs="宋体" w:eastAsia="宋体"/>
                <w:sz w:val="21"/>
              </w:rPr>
              <w:t>2人）</w:t>
            </w:r>
            <w:r>
              <w:rPr>
                <w:rFonts w:ascii="宋体" w:hAnsi="宋体" w:cs="宋体" w:eastAsia="宋体"/>
                <w:sz w:val="21"/>
              </w:rPr>
              <w:t>和远程服务人员的综合保障团队，保障项目服务交付和服务质量。根据管理服务工作岗位内容和要求，形成由专家、高、中、初级水平人员构成，根据管理服务岗位和工作量需求，建立具备项目管理、专业技术、服务交付、运维实施等多种类型、多层次的服务团队，提供包括阶段性服务（如咨询服务、重保专项等），常驻现场运营服务和远程支撑服务，保障医保业务综合服务终端高效管理和项目目标的高质量交付。</w:t>
            </w:r>
          </w:p>
          <w:p>
            <w:pPr>
              <w:pStyle w:val="null3"/>
              <w:ind w:firstLine="600"/>
            </w:pPr>
            <w:r>
              <w:rPr>
                <w:rFonts w:ascii="宋体" w:hAnsi="宋体" w:cs="宋体" w:eastAsia="宋体"/>
                <w:sz w:val="21"/>
              </w:rPr>
              <w:t>3、交付物与交付标准</w:t>
            </w:r>
          </w:p>
          <w:tbl>
            <w:tblPr>
              <w:tblBorders>
                <w:top w:val="none" w:color="000000" w:sz="4"/>
                <w:left w:val="none" w:color="000000" w:sz="4"/>
                <w:bottom w:val="none" w:color="000000" w:sz="4"/>
                <w:right w:val="none" w:color="000000" w:sz="4"/>
                <w:insideH w:val="none"/>
                <w:insideV w:val="none"/>
              </w:tblBorders>
            </w:tblPr>
            <w:tblGrid>
              <w:gridCol w:w="995"/>
              <w:gridCol w:w="1558"/>
            </w:tblGrid>
            <w:tr>
              <w:tc>
                <w:tcPr>
                  <w:tcW w:type="dxa" w:w="9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1"/>
                    </w:rPr>
                    <w:t>交付物</w:t>
                  </w:r>
                </w:p>
              </w:tc>
              <w:tc>
                <w:tcPr>
                  <w:tcW w:type="dxa" w:w="15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1"/>
                    </w:rPr>
                    <w:t>交付物标准</w:t>
                  </w:r>
                </w:p>
              </w:tc>
            </w:tr>
            <w:tr>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r>
                    <w:rPr>
                      <w:rFonts w:ascii="宋体" w:hAnsi="宋体" w:cs="宋体" w:eastAsia="宋体"/>
                      <w:sz w:val="21"/>
                    </w:rPr>
                    <w:t>项目月报</w:t>
                  </w:r>
                  <w:r>
                    <w:rPr>
                      <w:rFonts w:ascii="宋体" w:hAnsi="宋体" w:cs="宋体" w:eastAsia="宋体"/>
                      <w:sz w:val="21"/>
                    </w:rPr>
                    <w:t>》</w:t>
                  </w: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以月为纬度，输出月度工作报告</w:t>
                  </w:r>
                </w:p>
              </w:tc>
            </w:tr>
            <w:tr>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r>
                    <w:rPr>
                      <w:rFonts w:ascii="宋体" w:hAnsi="宋体" w:cs="宋体" w:eastAsia="宋体"/>
                      <w:sz w:val="21"/>
                    </w:rPr>
                    <w:t>设备管理台账</w:t>
                  </w:r>
                  <w:r>
                    <w:rPr>
                      <w:rFonts w:ascii="宋体" w:hAnsi="宋体" w:cs="宋体" w:eastAsia="宋体"/>
                      <w:sz w:val="21"/>
                    </w:rPr>
                    <w:t>》</w:t>
                  </w: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省内终端设备接入记录台账。</w:t>
                  </w:r>
                </w:p>
              </w:tc>
            </w:tr>
            <w:tr>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《网络管理台账》</w:t>
                  </w: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省内终端网络接入信息记录台账。</w:t>
                  </w:r>
                </w:p>
              </w:tc>
            </w:tr>
            <w:tr>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《医保电子凭证应用台账》</w:t>
                  </w: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医保电子凭证业务场景、业务流程等是用记录台账。</w:t>
                  </w:r>
                </w:p>
              </w:tc>
            </w:tr>
          </w:tbl>
          <w:p>
            <w:pPr>
              <w:pStyle w:val="null3"/>
              <w:ind w:firstLine="600"/>
            </w:pPr>
            <w:r>
              <w:rPr>
                <w:rFonts w:ascii="宋体" w:hAnsi="宋体" w:cs="宋体" w:eastAsia="宋体"/>
                <w:sz w:val="21"/>
              </w:rPr>
              <w:t>4、服务量和工作量评估</w:t>
            </w:r>
          </w:p>
          <w:p>
            <w:pPr>
              <w:pStyle w:val="null3"/>
              <w:ind w:firstLine="600"/>
            </w:pPr>
            <w:r>
              <w:rPr>
                <w:rFonts w:ascii="宋体" w:hAnsi="宋体" w:cs="宋体" w:eastAsia="宋体"/>
                <w:sz w:val="21"/>
              </w:rPr>
              <w:t>配合省医保局面向全省</w:t>
            </w:r>
            <w:r>
              <w:rPr>
                <w:rFonts w:ascii="宋体" w:hAnsi="宋体" w:cs="宋体" w:eastAsia="宋体"/>
                <w:sz w:val="21"/>
              </w:rPr>
              <w:t>12 个统筹区的326家医保部门，326家医保系统单位，24471家定点医疗机构，14956家定点药店等医保业务综合服务终端使用单位，持续开展设备、网络、医保业务接入申请审核和违规管理等工作。</w:t>
            </w:r>
          </w:p>
          <w:p>
            <w:pPr>
              <w:pStyle w:val="null3"/>
              <w:ind w:firstLine="600"/>
              <w:outlineLvl w:val="2"/>
            </w:pPr>
            <w:r>
              <w:rPr>
                <w:rFonts w:ascii="宋体" w:hAnsi="宋体" w:cs="宋体" w:eastAsia="宋体"/>
                <w:b/>
                <w:sz w:val="21"/>
              </w:rPr>
              <w:t>（五）服务考核办法和应用</w:t>
            </w:r>
          </w:p>
          <w:p>
            <w:pPr>
              <w:pStyle w:val="null3"/>
              <w:ind w:firstLine="600"/>
            </w:pPr>
            <w:r>
              <w:rPr>
                <w:rFonts w:ascii="宋体" w:hAnsi="宋体" w:cs="宋体" w:eastAsia="宋体"/>
                <w:sz w:val="21"/>
              </w:rPr>
              <w:t>为保障本项目的服务质量，由项目单位开展</w:t>
            </w:r>
            <w:r>
              <w:rPr>
                <w:rFonts w:ascii="宋体" w:hAnsi="宋体" w:cs="宋体" w:eastAsia="宋体"/>
                <w:sz w:val="21"/>
              </w:rPr>
              <w:t>对项目服务提供方</w:t>
            </w:r>
            <w:r>
              <w:rPr>
                <w:rFonts w:ascii="宋体" w:hAnsi="宋体" w:cs="宋体" w:eastAsia="宋体"/>
                <w:sz w:val="21"/>
              </w:rPr>
              <w:t>进行服务考核评估。服务评估内容主要包括服务质量、服务交付、服务管理和服务满意度等方面。</w:t>
            </w:r>
            <w:r>
              <w:rPr>
                <w:rFonts w:ascii="宋体" w:hAnsi="宋体" w:cs="宋体" w:eastAsia="宋体"/>
                <w:sz w:val="21"/>
              </w:rPr>
              <w:t>按季度服务考核，</w:t>
            </w:r>
            <w:r>
              <w:rPr>
                <w:rFonts w:ascii="宋体" w:hAnsi="宋体" w:cs="宋体" w:eastAsia="宋体"/>
                <w:sz w:val="21"/>
              </w:rPr>
              <w:t>每周期服务评估分值满分为</w:t>
            </w:r>
            <w:r>
              <w:rPr>
                <w:rFonts w:ascii="宋体" w:hAnsi="宋体" w:cs="宋体" w:eastAsia="宋体"/>
                <w:sz w:val="21"/>
              </w:rPr>
              <w:t>100分，并分为四个评估等级。由项目单位常态化开展日常服务记录。每个服务考核周期对期间的日常服务记录进行汇总，阶段性地对周期内的服务进行综合考核评价，形成阶段性服务考核结果。</w:t>
            </w:r>
          </w:p>
          <w:p>
            <w:pPr>
              <w:pStyle w:val="null3"/>
              <w:ind w:firstLine="600"/>
            </w:pPr>
            <w:r>
              <w:rPr>
                <w:rFonts w:ascii="宋体" w:hAnsi="宋体" w:cs="宋体" w:eastAsia="宋体"/>
                <w:sz w:val="21"/>
              </w:rPr>
              <w:t>项目单位根据阶段性服务评估分值按下表确定对应阶段的服务费用付款比例：</w:t>
            </w:r>
          </w:p>
          <w:p>
            <w:pPr>
              <w:pStyle w:val="null3"/>
              <w:ind w:firstLine="480"/>
              <w:jc w:val="center"/>
            </w:pPr>
            <w:r>
              <w:rPr>
                <w:rFonts w:ascii="宋体" w:hAnsi="宋体" w:cs="宋体" w:eastAsia="宋体"/>
                <w:color w:val="000000"/>
                <w:sz w:val="24"/>
              </w:rPr>
              <w:t>表</w:t>
            </w:r>
            <w:r>
              <w:rPr>
                <w:rFonts w:ascii="calibri" w:hAnsi="calibri" w:cs="calibri" w:eastAsia="calibri"/>
                <w:color w:val="000000"/>
                <w:sz w:val="24"/>
              </w:rPr>
              <w:t xml:space="preserve">4-2 </w:t>
            </w:r>
            <w:r>
              <w:rPr>
                <w:rFonts w:ascii="宋体" w:hAnsi="宋体" w:cs="宋体" w:eastAsia="宋体"/>
                <w:color w:val="000000"/>
                <w:sz w:val="24"/>
              </w:rPr>
              <w:t>服务考核结果应用表</w:t>
            </w:r>
          </w:p>
          <w:tbl>
            <w:tblPr>
              <w:tblBorders>
                <w:top w:val="none" w:color="000000" w:sz="4"/>
                <w:left w:val="none" w:color="000000" w:sz="4"/>
                <w:bottom w:val="none" w:color="000000" w:sz="4"/>
                <w:right w:val="none" w:color="000000" w:sz="4"/>
                <w:insideH w:val="none"/>
                <w:insideV w:val="none"/>
              </w:tblBorders>
            </w:tblPr>
            <w:tblGrid>
              <w:gridCol w:w="714"/>
              <w:gridCol w:w="273"/>
              <w:gridCol w:w="1567"/>
            </w:tblGrid>
            <w:tr>
              <w:tc>
                <w:tcPr>
                  <w:tcW w:type="dxa" w:w="7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服务考评分值</w:t>
                  </w:r>
                </w:p>
              </w:tc>
              <w:tc>
                <w:tcPr>
                  <w:tcW w:type="dxa" w:w="2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等级</w:t>
                  </w:r>
                </w:p>
              </w:tc>
              <w:tc>
                <w:tcPr>
                  <w:tcW w:type="dxa" w:w="15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付款比例（</w:t>
                  </w:r>
                  <w:r>
                    <w:rPr>
                      <w:rFonts w:ascii="宋体" w:hAnsi="宋体" w:cs="宋体" w:eastAsia="宋体"/>
                      <w:b/>
                      <w:color w:val="000000"/>
                      <w:sz w:val="21"/>
                    </w:rPr>
                    <w:t>%）</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w:t>
                  </w:r>
                  <w:r>
                    <w:rPr>
                      <w:rFonts w:ascii="宋体" w:hAnsi="宋体" w:cs="宋体" w:eastAsia="宋体"/>
                      <w:color w:val="000000"/>
                      <w:sz w:val="21"/>
                    </w:rPr>
                    <w:t>90</w:t>
                  </w:r>
                  <w:r>
                    <w:rPr>
                      <w:rFonts w:ascii="宋体" w:hAnsi="宋体" w:cs="宋体" w:eastAsia="宋体"/>
                      <w:color w:val="000000"/>
                      <w:sz w:val="21"/>
                    </w:rPr>
                    <w:t xml:space="preserve"> </w:t>
                  </w:r>
                  <w:r>
                    <w:rPr>
                      <w:rFonts w:ascii="宋体" w:hAnsi="宋体" w:cs="宋体" w:eastAsia="宋体"/>
                      <w:color w:val="000000"/>
                      <w:sz w:val="21"/>
                    </w:rPr>
                    <w:t>分</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A</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r>
                    <w:rPr>
                      <w:rFonts w:ascii="宋体" w:hAnsi="宋体" w:cs="宋体" w:eastAsia="宋体"/>
                      <w:color w:val="000000"/>
                      <w:sz w:val="21"/>
                    </w:rPr>
                    <w:t>00</w:t>
                  </w:r>
                  <w:r>
                    <w:rPr>
                      <w:rFonts w:ascii="宋体" w:hAnsi="宋体" w:cs="宋体" w:eastAsia="宋体"/>
                      <w:color w:val="000000"/>
                      <w:sz w:val="21"/>
                    </w:rPr>
                    <w:t>%</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w:t>
                  </w:r>
                  <w:r>
                    <w:rPr>
                      <w:rFonts w:ascii="宋体" w:hAnsi="宋体" w:cs="宋体" w:eastAsia="宋体"/>
                      <w:color w:val="000000"/>
                      <w:sz w:val="21"/>
                    </w:rPr>
                    <w:t>80</w:t>
                  </w:r>
                  <w:r>
                    <w:rPr>
                      <w:rFonts w:ascii="宋体" w:hAnsi="宋体" w:cs="宋体" w:eastAsia="宋体"/>
                      <w:color w:val="000000"/>
                      <w:sz w:val="21"/>
                    </w:rPr>
                    <w:t xml:space="preserve"> </w:t>
                  </w:r>
                  <w:r>
                    <w:rPr>
                      <w:rFonts w:ascii="宋体" w:hAnsi="宋体" w:cs="宋体" w:eastAsia="宋体"/>
                      <w:color w:val="000000"/>
                      <w:sz w:val="21"/>
                    </w:rPr>
                    <w:t>分，</w:t>
                  </w:r>
                  <w:r>
                    <w:rPr>
                      <w:rFonts w:ascii="宋体" w:hAnsi="宋体" w:cs="宋体" w:eastAsia="宋体"/>
                      <w:color w:val="000000"/>
                      <w:sz w:val="21"/>
                    </w:rPr>
                    <w:t>&lt;</w:t>
                  </w:r>
                  <w:r>
                    <w:rPr>
                      <w:rFonts w:ascii="宋体" w:hAnsi="宋体" w:cs="宋体" w:eastAsia="宋体"/>
                      <w:color w:val="000000"/>
                      <w:sz w:val="21"/>
                    </w:rPr>
                    <w:t>90</w:t>
                  </w:r>
                  <w:r>
                    <w:rPr>
                      <w:rFonts w:ascii="宋体" w:hAnsi="宋体" w:cs="宋体" w:eastAsia="宋体"/>
                      <w:color w:val="000000"/>
                      <w:sz w:val="21"/>
                    </w:rPr>
                    <w:t xml:space="preserve"> </w:t>
                  </w:r>
                  <w:r>
                    <w:rPr>
                      <w:rFonts w:ascii="宋体" w:hAnsi="宋体" w:cs="宋体" w:eastAsia="宋体"/>
                      <w:color w:val="000000"/>
                      <w:sz w:val="21"/>
                    </w:rPr>
                    <w:t>分</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B</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95</w:t>
                  </w:r>
                  <w:r>
                    <w:rPr>
                      <w:rFonts w:ascii="宋体" w:hAnsi="宋体" w:cs="宋体" w:eastAsia="宋体"/>
                      <w:color w:val="000000"/>
                      <w:sz w:val="21"/>
                    </w:rPr>
                    <w:t>%</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w:t>
                  </w:r>
                  <w:r>
                    <w:rPr>
                      <w:rFonts w:ascii="宋体" w:hAnsi="宋体" w:cs="宋体" w:eastAsia="宋体"/>
                      <w:color w:val="000000"/>
                      <w:sz w:val="21"/>
                    </w:rPr>
                    <w:t>60</w:t>
                  </w:r>
                  <w:r>
                    <w:rPr>
                      <w:rFonts w:ascii="宋体" w:hAnsi="宋体" w:cs="宋体" w:eastAsia="宋体"/>
                      <w:color w:val="000000"/>
                      <w:sz w:val="21"/>
                    </w:rPr>
                    <w:t xml:space="preserve"> </w:t>
                  </w:r>
                  <w:r>
                    <w:rPr>
                      <w:rFonts w:ascii="宋体" w:hAnsi="宋体" w:cs="宋体" w:eastAsia="宋体"/>
                      <w:color w:val="000000"/>
                      <w:sz w:val="21"/>
                    </w:rPr>
                    <w:t>分，</w:t>
                  </w:r>
                  <w:r>
                    <w:rPr>
                      <w:rFonts w:ascii="宋体" w:hAnsi="宋体" w:cs="宋体" w:eastAsia="宋体"/>
                      <w:color w:val="000000"/>
                      <w:sz w:val="21"/>
                    </w:rPr>
                    <w:t>&lt;</w:t>
                  </w:r>
                  <w:r>
                    <w:rPr>
                      <w:rFonts w:ascii="宋体" w:hAnsi="宋体" w:cs="宋体" w:eastAsia="宋体"/>
                      <w:color w:val="000000"/>
                      <w:sz w:val="21"/>
                    </w:rPr>
                    <w:t>8</w:t>
                  </w:r>
                  <w:r>
                    <w:rPr>
                      <w:rFonts w:ascii="宋体" w:hAnsi="宋体" w:cs="宋体" w:eastAsia="宋体"/>
                      <w:color w:val="000000"/>
                      <w:sz w:val="21"/>
                    </w:rPr>
                    <w:t>0 分</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C</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90</w:t>
                  </w:r>
                  <w:r>
                    <w:rPr>
                      <w:rFonts w:ascii="宋体" w:hAnsi="宋体" w:cs="宋体" w:eastAsia="宋体"/>
                      <w:color w:val="000000"/>
                      <w:sz w:val="21"/>
                    </w:rPr>
                    <w:t>%</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&lt;60 分</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D</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应先进行整改，在下一评估周期内完成整改，评估分值</w:t>
                  </w:r>
                  <w:r>
                    <w:rPr>
                      <w:rFonts w:ascii="宋体" w:hAnsi="宋体" w:cs="宋体" w:eastAsia="宋体"/>
                      <w:color w:val="000000"/>
                      <w:sz w:val="21"/>
                    </w:rPr>
                    <w:t>≥</w:t>
                  </w:r>
                  <w:r>
                    <w:rPr>
                      <w:rFonts w:ascii="宋体" w:hAnsi="宋体" w:cs="宋体" w:eastAsia="宋体"/>
                      <w:color w:val="000000"/>
                      <w:sz w:val="21"/>
                    </w:rPr>
                    <w:t>60</w:t>
                  </w:r>
                  <w:r>
                    <w:rPr>
                      <w:rFonts w:ascii="宋体" w:hAnsi="宋体" w:cs="宋体" w:eastAsia="宋体"/>
                      <w:color w:val="000000"/>
                      <w:sz w:val="21"/>
                    </w:rPr>
                    <w:t>分，付款比例为</w:t>
                  </w:r>
                  <w:r>
                    <w:rPr>
                      <w:rFonts w:ascii="宋体" w:hAnsi="宋体" w:cs="宋体" w:eastAsia="宋体"/>
                      <w:color w:val="000000"/>
                      <w:sz w:val="21"/>
                    </w:rPr>
                    <w:t>80%</w:t>
                  </w:r>
                  <w:r>
                    <w:rPr>
                      <w:rFonts w:ascii="宋体" w:hAnsi="宋体" w:cs="宋体" w:eastAsia="宋体"/>
                      <w:color w:val="000000"/>
                      <w:sz w:val="21"/>
                    </w:rPr>
                    <w:t>；整改后评估仍</w:t>
                  </w:r>
                  <w:r>
                    <w:rPr>
                      <w:rFonts w:ascii="宋体" w:hAnsi="宋体" w:cs="宋体" w:eastAsia="宋体"/>
                      <w:color w:val="000000"/>
                      <w:sz w:val="21"/>
                    </w:rPr>
                    <w:t>&lt;60</w:t>
                  </w:r>
                  <w:r>
                    <w:rPr>
                      <w:rFonts w:ascii="宋体" w:hAnsi="宋体" w:cs="宋体" w:eastAsia="宋体"/>
                      <w:color w:val="000000"/>
                      <w:sz w:val="21"/>
                    </w:rPr>
                    <w:t>分的，付款比例由</w:t>
                  </w:r>
                  <w:r>
                    <w:rPr>
                      <w:rFonts w:ascii="宋体" w:hAnsi="宋体" w:cs="宋体" w:eastAsia="宋体"/>
                      <w:color w:val="000000"/>
                      <w:sz w:val="21"/>
                    </w:rPr>
                    <w:t>项目单位</w:t>
                  </w:r>
                  <w:r>
                    <w:rPr>
                      <w:rFonts w:ascii="宋体" w:hAnsi="宋体" w:cs="宋体" w:eastAsia="宋体"/>
                      <w:color w:val="000000"/>
                      <w:sz w:val="21"/>
                    </w:rPr>
                    <w:t>和</w:t>
                  </w:r>
                  <w:r>
                    <w:rPr>
                      <w:rFonts w:ascii="宋体" w:hAnsi="宋体" w:cs="宋体" w:eastAsia="宋体"/>
                      <w:color w:val="000000"/>
                      <w:sz w:val="21"/>
                    </w:rPr>
                    <w:t>项目服务</w:t>
                  </w:r>
                  <w:r>
                    <w:rPr>
                      <w:rFonts w:ascii="宋体" w:hAnsi="宋体" w:cs="宋体" w:eastAsia="宋体"/>
                      <w:color w:val="000000"/>
                      <w:sz w:val="21"/>
                    </w:rPr>
                    <w:t>提供方协商，最低可为</w:t>
                  </w:r>
                  <w:r>
                    <w:rPr>
                      <w:rFonts w:ascii="宋体" w:hAnsi="宋体" w:cs="宋体" w:eastAsia="宋体"/>
                      <w:color w:val="000000"/>
                      <w:sz w:val="21"/>
                    </w:rPr>
                    <w:t>0</w:t>
                  </w:r>
                  <w:r>
                    <w:rPr>
                      <w:rFonts w:ascii="宋体" w:hAnsi="宋体" w:cs="宋体" w:eastAsia="宋体"/>
                      <w:color w:val="000000"/>
                      <w:sz w:val="21"/>
                    </w:rPr>
                    <w:t>。</w:t>
                  </w:r>
                </w:p>
              </w:tc>
            </w:tr>
          </w:tbl>
          <w:p>
            <w:pPr>
              <w:pStyle w:val="null3"/>
              <w:ind w:firstLine="600"/>
            </w:pPr>
            <w:r>
              <w:rPr/>
              <w:t xml:space="preserve"> </w:t>
            </w:r>
          </w:p>
          <w:p>
            <w:pPr>
              <w:pStyle w:val="null3"/>
              <w:ind w:firstLine="600"/>
            </w:pPr>
            <w:r>
              <w:rPr>
                <w:rFonts w:ascii="宋体" w:hAnsi="宋体" w:cs="宋体" w:eastAsia="宋体"/>
                <w:sz w:val="21"/>
              </w:rPr>
              <w:t>1、信息技术咨询服务质量考核</w:t>
            </w:r>
          </w:p>
          <w:p>
            <w:pPr>
              <w:pStyle w:val="null3"/>
              <w:ind w:firstLine="600"/>
            </w:pPr>
            <w:r>
              <w:rPr>
                <w:rFonts w:ascii="宋体" w:hAnsi="宋体" w:cs="宋体" w:eastAsia="宋体"/>
                <w:sz w:val="21"/>
              </w:rPr>
              <w:t>针对项目服务方进行考核。</w:t>
            </w:r>
          </w:p>
          <w:p>
            <w:pPr>
              <w:pStyle w:val="null3"/>
              <w:ind w:firstLine="480"/>
              <w:jc w:val="center"/>
            </w:pPr>
            <w:r>
              <w:rPr>
                <w:rFonts w:ascii="宋体" w:hAnsi="宋体" w:cs="宋体" w:eastAsia="宋体"/>
                <w:color w:val="000000"/>
                <w:sz w:val="24"/>
              </w:rPr>
              <w:t>表</w:t>
            </w:r>
            <w:r>
              <w:rPr>
                <w:rFonts w:ascii="calibri" w:hAnsi="calibri" w:cs="calibri" w:eastAsia="calibri"/>
                <w:color w:val="000000"/>
                <w:sz w:val="24"/>
              </w:rPr>
              <w:t xml:space="preserve">4-3 </w:t>
            </w:r>
            <w:r>
              <w:rPr>
                <w:rFonts w:ascii="宋体" w:hAnsi="宋体" w:cs="宋体" w:eastAsia="宋体"/>
                <w:color w:val="000000"/>
                <w:sz w:val="24"/>
              </w:rPr>
              <w:t>信息技术咨询服务考核评估指标体系表</w:t>
            </w:r>
          </w:p>
          <w:tbl>
            <w:tblPr>
              <w:tblBorders>
                <w:top w:val="none" w:color="000000" w:sz="4"/>
                <w:left w:val="none" w:color="000000" w:sz="4"/>
                <w:bottom w:val="none" w:color="000000" w:sz="4"/>
                <w:right w:val="none" w:color="000000" w:sz="4"/>
                <w:insideH w:val="none"/>
                <w:insideV w:val="none"/>
              </w:tblBorders>
            </w:tblPr>
            <w:tblGrid>
              <w:gridCol w:w="201"/>
              <w:gridCol w:w="186"/>
              <w:gridCol w:w="268"/>
              <w:gridCol w:w="486"/>
              <w:gridCol w:w="575"/>
              <w:gridCol w:w="202"/>
              <w:gridCol w:w="170"/>
              <w:gridCol w:w="354"/>
              <w:gridCol w:w="112"/>
            </w:tblGrid>
            <w:tr>
              <w:tc>
                <w:tcPr>
                  <w:tcW w:type="dxa" w:w="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服务类别</w:t>
                  </w:r>
                </w:p>
              </w:tc>
              <w:tc>
                <w:tcPr>
                  <w:tcW w:type="dxa" w:w="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考核类别</w:t>
                  </w:r>
                </w:p>
              </w:tc>
              <w:tc>
                <w:tcPr>
                  <w:tcW w:type="dxa" w:w="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考核指标</w:t>
                  </w:r>
                </w:p>
              </w:tc>
              <w:tc>
                <w:tcPr>
                  <w:tcW w:type="dxa" w:w="4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考核指标说明</w:t>
                  </w:r>
                </w:p>
              </w:tc>
              <w:tc>
                <w:tcPr>
                  <w:tcW w:type="dxa" w:w="5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考核标准</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指标权重</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考核周期</w:t>
                  </w:r>
                </w:p>
              </w:tc>
              <w:tc>
                <w:tcPr>
                  <w:tcW w:type="dxa" w:w="3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分值</w:t>
                  </w:r>
                </w:p>
              </w:tc>
              <w:tc>
                <w:tcPr>
                  <w:tcW w:type="dxa" w:w="1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得分</w:t>
                  </w:r>
                </w:p>
              </w:tc>
            </w:tr>
            <w:tr>
              <w:tc>
                <w:tcPr>
                  <w:tcW w:type="dxa" w:w="2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信息技术咨询服务</w:t>
                  </w:r>
                </w:p>
              </w:tc>
              <w:tc>
                <w:tcPr>
                  <w:tcW w:type="dxa" w:w="1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服务交付</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服务需求响应时效</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工作日内及时响应服务对象的技术需求和问题，给予技术解答和必要的指导工作。</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由于项目服务方原因，未能提供及时响应，导致服务对象投诉，每个投诉扣</w:t>
                  </w:r>
                  <w:r>
                    <w:rPr>
                      <w:rFonts w:ascii="宋体" w:hAnsi="宋体" w:cs="宋体" w:eastAsia="宋体"/>
                      <w:color w:val="000000"/>
                      <w:sz w:val="21"/>
                    </w:rPr>
                    <w:t>2分，总分100分，扣完为止。</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40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每季度</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A:90-100分</w:t>
                  </w:r>
                  <w:r>
                    <w:br/>
                  </w:r>
                  <w:r>
                    <w:rPr>
                      <w:rFonts w:ascii="宋体" w:hAnsi="宋体" w:cs="宋体" w:eastAsia="宋体"/>
                      <w:color w:val="000000"/>
                      <w:sz w:val="21"/>
                    </w:rPr>
                    <w:t>B:80-89分</w:t>
                  </w:r>
                  <w:r>
                    <w:br/>
                  </w:r>
                  <w:r>
                    <w:rPr>
                      <w:rFonts w:ascii="宋体" w:hAnsi="宋体" w:cs="宋体" w:eastAsia="宋体"/>
                      <w:color w:val="000000"/>
                      <w:sz w:val="21"/>
                    </w:rPr>
                    <w:t>C:60-79分</w:t>
                  </w:r>
                  <w:r>
                    <w:br/>
                  </w:r>
                  <w:r>
                    <w:rPr>
                      <w:rFonts w:ascii="宋体" w:hAnsi="宋体" w:cs="宋体" w:eastAsia="宋体"/>
                      <w:color w:val="000000"/>
                      <w:sz w:val="21"/>
                    </w:rPr>
                    <w:t>D:0-59分</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01"/>
                  <w:vMerge/>
                  <w:tcBorders>
                    <w:top w:val="none" w:color="000000" w:sz="4"/>
                    <w:left w:val="single" w:color="000000" w:sz="4"/>
                    <w:bottom w:val="single" w:color="000000" w:sz="4"/>
                    <w:right w:val="single" w:color="000000" w:sz="4"/>
                  </w:tcBorders>
                </w:tcPr>
                <w:p/>
              </w:tc>
              <w:tc>
                <w:tcPr>
                  <w:tcW w:type="dxa" w:w="186"/>
                  <w:vMerge/>
                  <w:tcBorders>
                    <w:top w:val="none" w:color="000000" w:sz="4"/>
                    <w:left w:val="none" w:color="000000" w:sz="4"/>
                    <w:bottom w:val="single" w:color="000000" w:sz="4"/>
                    <w:right w:val="single" w:color="000000" w:sz="4"/>
                  </w:tcBorders>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交付物交付时效</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及时交付各项规范制度，分析报告、手册等文档</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由于项目服务方原因，未按时按量交付文档超过</w:t>
                  </w:r>
                  <w:r>
                    <w:rPr>
                      <w:rFonts w:ascii="宋体" w:hAnsi="宋体" w:cs="宋体" w:eastAsia="宋体"/>
                      <w:color w:val="000000"/>
                      <w:sz w:val="21"/>
                    </w:rPr>
                    <w:t>3个日历日以上，每项扣2分，总分100分，扣完为止。</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每季度</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A:90-100分</w:t>
                  </w:r>
                  <w:r>
                    <w:br/>
                  </w:r>
                  <w:r>
                    <w:rPr>
                      <w:rFonts w:ascii="宋体" w:hAnsi="宋体" w:cs="宋体" w:eastAsia="宋体"/>
                      <w:color w:val="000000"/>
                      <w:sz w:val="21"/>
                    </w:rPr>
                    <w:t>B:80-89分</w:t>
                  </w:r>
                  <w:r>
                    <w:br/>
                  </w:r>
                  <w:r>
                    <w:rPr>
                      <w:rFonts w:ascii="宋体" w:hAnsi="宋体" w:cs="宋体" w:eastAsia="宋体"/>
                      <w:color w:val="000000"/>
                      <w:sz w:val="21"/>
                    </w:rPr>
                    <w:t>C:60-79分</w:t>
                  </w:r>
                  <w:r>
                    <w:br/>
                  </w:r>
                  <w:r>
                    <w:rPr>
                      <w:rFonts w:ascii="宋体" w:hAnsi="宋体" w:cs="宋体" w:eastAsia="宋体"/>
                      <w:color w:val="000000"/>
                      <w:sz w:val="21"/>
                    </w:rPr>
                    <w:t>D:0-59分</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01"/>
                  <w:vMerge/>
                  <w:tcBorders>
                    <w:top w:val="none" w:color="000000" w:sz="4"/>
                    <w:left w:val="single" w:color="000000" w:sz="4"/>
                    <w:bottom w:val="single" w:color="000000" w:sz="4"/>
                    <w:right w:val="single" w:color="000000" w:sz="4"/>
                  </w:tcBorders>
                </w:tcPr>
                <w:p/>
              </w:tc>
              <w:tc>
                <w:tcPr>
                  <w:tcW w:type="dxa" w:w="186"/>
                  <w:vMerge/>
                  <w:tcBorders>
                    <w:top w:val="none" w:color="000000" w:sz="4"/>
                    <w:left w:val="none" w:color="000000" w:sz="4"/>
                    <w:bottom w:val="single" w:color="000000" w:sz="4"/>
                    <w:right w:val="single" w:color="000000" w:sz="4"/>
                  </w:tcBorders>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交付物交付质量</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按照交付物质量要求提交文档并通过评审</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由于运营服务方原因，提交的文档未能通过最终评审，每项扣</w:t>
                  </w:r>
                  <w:r>
                    <w:rPr>
                      <w:rFonts w:ascii="宋体" w:hAnsi="宋体" w:cs="宋体" w:eastAsia="宋体"/>
                      <w:color w:val="000000"/>
                      <w:sz w:val="21"/>
                    </w:rPr>
                    <w:t>2分，总分100分，扣完为止。</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每季度</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A:90-100分</w:t>
                  </w:r>
                  <w:r>
                    <w:br/>
                  </w:r>
                  <w:r>
                    <w:rPr>
                      <w:rFonts w:ascii="宋体" w:hAnsi="宋体" w:cs="宋体" w:eastAsia="宋体"/>
                      <w:color w:val="000000"/>
                      <w:sz w:val="21"/>
                    </w:rPr>
                    <w:t>B:80-89分</w:t>
                  </w:r>
                  <w:r>
                    <w:br/>
                  </w:r>
                  <w:r>
                    <w:rPr>
                      <w:rFonts w:ascii="宋体" w:hAnsi="宋体" w:cs="宋体" w:eastAsia="宋体"/>
                      <w:color w:val="000000"/>
                      <w:sz w:val="21"/>
                    </w:rPr>
                    <w:t>C:60-79分</w:t>
                  </w:r>
                  <w:r>
                    <w:br/>
                  </w:r>
                  <w:r>
                    <w:rPr>
                      <w:rFonts w:ascii="宋体" w:hAnsi="宋体" w:cs="宋体" w:eastAsia="宋体"/>
                      <w:color w:val="000000"/>
                      <w:sz w:val="21"/>
                    </w:rPr>
                    <w:t>D:0-60分</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01"/>
                  <w:vMerge/>
                  <w:tcBorders>
                    <w:top w:val="none" w:color="000000" w:sz="4"/>
                    <w:left w:val="single" w:color="000000" w:sz="4"/>
                    <w:bottom w:val="single" w:color="000000" w:sz="4"/>
                    <w:right w:val="single" w:color="000000" w:sz="4"/>
                  </w:tcBorders>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用户满意度</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服务对象满意度</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考核期对项目服务对象满意度进行调研，按满意，一般，不满意等级划分。</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按百分比模式进行，根据调研对象数量，满意人员占比进行计算，全部人员满意为</w:t>
                  </w:r>
                  <w:r>
                    <w:rPr>
                      <w:rFonts w:ascii="宋体" w:hAnsi="宋体" w:cs="宋体" w:eastAsia="宋体"/>
                      <w:color w:val="000000"/>
                      <w:sz w:val="21"/>
                    </w:rPr>
                    <w:t>100分。</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每季度</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A:90-100分</w:t>
                  </w:r>
                  <w:r>
                    <w:br/>
                  </w:r>
                  <w:r>
                    <w:rPr>
                      <w:rFonts w:ascii="宋体" w:hAnsi="宋体" w:cs="宋体" w:eastAsia="宋体"/>
                      <w:color w:val="000000"/>
                      <w:sz w:val="21"/>
                    </w:rPr>
                    <w:t>B:80-89分</w:t>
                  </w:r>
                  <w:r>
                    <w:br/>
                  </w:r>
                  <w:r>
                    <w:rPr>
                      <w:rFonts w:ascii="宋体" w:hAnsi="宋体" w:cs="宋体" w:eastAsia="宋体"/>
                      <w:color w:val="000000"/>
                      <w:sz w:val="21"/>
                    </w:rPr>
                    <w:t>C:60-79分</w:t>
                  </w:r>
                  <w:r>
                    <w:br/>
                  </w:r>
                  <w:r>
                    <w:rPr>
                      <w:rFonts w:ascii="宋体" w:hAnsi="宋体" w:cs="宋体" w:eastAsia="宋体"/>
                      <w:color w:val="000000"/>
                      <w:sz w:val="21"/>
                    </w:rPr>
                    <w:t>D:0-61分</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01"/>
                  <w:vMerge/>
                  <w:tcBorders>
                    <w:top w:val="none" w:color="000000" w:sz="4"/>
                    <w:left w:val="single" w:color="000000" w:sz="4"/>
                    <w:bottom w:val="single" w:color="000000" w:sz="4"/>
                    <w:right w:val="single" w:color="000000" w:sz="4"/>
                  </w:tcBorders>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服务管理</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服务人员投入</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满足服务人员投入要求且在运营期内保持团队稳定</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团队人员保持稳定，若人员变动未提前报备且未及时补充，根据比例进行相应扣减，满分</w:t>
                  </w:r>
                  <w:r>
                    <w:rPr>
                      <w:rFonts w:ascii="宋体" w:hAnsi="宋体" w:cs="宋体" w:eastAsia="宋体"/>
                      <w:color w:val="000000"/>
                      <w:sz w:val="21"/>
                    </w:rPr>
                    <w:t>100分。</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每季度</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A:90-100分</w:t>
                  </w:r>
                  <w:r>
                    <w:br/>
                  </w:r>
                  <w:r>
                    <w:rPr>
                      <w:rFonts w:ascii="宋体" w:hAnsi="宋体" w:cs="宋体" w:eastAsia="宋体"/>
                      <w:color w:val="000000"/>
                      <w:sz w:val="21"/>
                    </w:rPr>
                    <w:t>B:80-89分</w:t>
                  </w:r>
                  <w:r>
                    <w:br/>
                  </w:r>
                  <w:r>
                    <w:rPr>
                      <w:rFonts w:ascii="宋体" w:hAnsi="宋体" w:cs="宋体" w:eastAsia="宋体"/>
                      <w:color w:val="000000"/>
                      <w:sz w:val="21"/>
                    </w:rPr>
                    <w:t>C:60-79分</w:t>
                  </w:r>
                  <w:r>
                    <w:br/>
                  </w:r>
                  <w:r>
                    <w:rPr>
                      <w:rFonts w:ascii="宋体" w:hAnsi="宋体" w:cs="宋体" w:eastAsia="宋体"/>
                      <w:color w:val="000000"/>
                      <w:sz w:val="21"/>
                    </w:rPr>
                    <w:t>D:0-62分</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bl>
          <w:p>
            <w:pPr>
              <w:pStyle w:val="null3"/>
            </w:pPr>
            <w:r>
              <w:rPr/>
              <w:t xml:space="preserve"> </w:t>
            </w:r>
          </w:p>
          <w:p>
            <w:pPr>
              <w:pStyle w:val="null3"/>
              <w:ind w:firstLine="600"/>
            </w:pPr>
            <w:r>
              <w:rPr>
                <w:rFonts w:ascii="宋体" w:hAnsi="宋体" w:cs="宋体" w:eastAsia="宋体"/>
                <w:sz w:val="21"/>
              </w:rPr>
              <w:t>2、数据加工处理服务质量考核</w:t>
            </w:r>
          </w:p>
          <w:p>
            <w:pPr>
              <w:pStyle w:val="null3"/>
              <w:ind w:firstLine="600"/>
            </w:pPr>
            <w:r>
              <w:rPr>
                <w:rFonts w:ascii="宋体" w:hAnsi="宋体" w:cs="宋体" w:eastAsia="宋体"/>
                <w:sz w:val="21"/>
              </w:rPr>
              <w:t>针对项目服务方进行考核。</w:t>
            </w:r>
          </w:p>
          <w:p>
            <w:pPr>
              <w:pStyle w:val="null3"/>
              <w:ind w:firstLine="480"/>
              <w:jc w:val="center"/>
            </w:pPr>
            <w:r>
              <w:rPr>
                <w:rFonts w:ascii="宋体" w:hAnsi="宋体" w:cs="宋体" w:eastAsia="宋体"/>
                <w:color w:val="000000"/>
                <w:sz w:val="24"/>
              </w:rPr>
              <w:t>表</w:t>
            </w:r>
            <w:r>
              <w:rPr>
                <w:rFonts w:ascii="calibri" w:hAnsi="calibri" w:cs="calibri" w:eastAsia="calibri"/>
                <w:color w:val="000000"/>
                <w:sz w:val="24"/>
              </w:rPr>
              <w:t xml:space="preserve">4-4 </w:t>
            </w:r>
            <w:r>
              <w:rPr>
                <w:rFonts w:ascii="宋体" w:hAnsi="宋体" w:cs="宋体" w:eastAsia="宋体"/>
                <w:color w:val="000000"/>
                <w:sz w:val="24"/>
              </w:rPr>
              <w:t>数据加工处理服务考核评估指标体系表</w:t>
            </w:r>
          </w:p>
          <w:tbl>
            <w:tblPr>
              <w:tblBorders>
                <w:top w:val="none" w:color="000000" w:sz="4"/>
                <w:left w:val="none" w:color="000000" w:sz="4"/>
                <w:bottom w:val="none" w:color="000000" w:sz="4"/>
                <w:right w:val="none" w:color="000000" w:sz="4"/>
                <w:insideH w:val="none"/>
                <w:insideV w:val="none"/>
              </w:tblBorders>
            </w:tblPr>
            <w:tblGrid>
              <w:gridCol w:w="200"/>
              <w:gridCol w:w="188"/>
              <w:gridCol w:w="266"/>
              <w:gridCol w:w="464"/>
              <w:gridCol w:w="569"/>
              <w:gridCol w:w="209"/>
              <w:gridCol w:w="176"/>
              <w:gridCol w:w="355"/>
              <w:gridCol w:w="128"/>
            </w:tblGrid>
            <w:tr>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服务类别</w:t>
                  </w:r>
                </w:p>
              </w:tc>
              <w:tc>
                <w:tcPr>
                  <w:tcW w:type="dxa" w:w="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考核类别</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考核指标</w:t>
                  </w:r>
                </w:p>
              </w:tc>
              <w:tc>
                <w:tcPr>
                  <w:tcW w:type="dxa" w:w="4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考核指标说明</w:t>
                  </w:r>
                </w:p>
              </w:tc>
              <w:tc>
                <w:tcPr>
                  <w:tcW w:type="dxa" w:w="5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考核标准</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指标权重</w:t>
                  </w:r>
                </w:p>
              </w:tc>
              <w:tc>
                <w:tcPr>
                  <w:tcW w:type="dxa" w:w="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考核周期</w:t>
                  </w:r>
                </w:p>
              </w:tc>
              <w:tc>
                <w:tcPr>
                  <w:tcW w:type="dxa" w:w="3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分值</w:t>
                  </w:r>
                </w:p>
              </w:tc>
              <w:tc>
                <w:tcPr>
                  <w:tcW w:type="dxa" w:w="1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得分</w:t>
                  </w:r>
                </w:p>
              </w:tc>
            </w:tr>
            <w:tr>
              <w:tc>
                <w:tcPr>
                  <w:tcW w:type="dxa" w:w="2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数据加工处理服务</w:t>
                  </w:r>
                </w:p>
              </w:tc>
              <w:tc>
                <w:tcPr>
                  <w:tcW w:type="dxa" w:w="1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服务交付</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服务需求响应实效</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工作日内及时响应服务对象的提交申请、审核等规范管理工作</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由于项目服务方原因，未能提供及时响应，导致服务对象投诉，每个投诉扣</w:t>
                  </w:r>
                  <w:r>
                    <w:rPr>
                      <w:rFonts w:ascii="宋体" w:hAnsi="宋体" w:cs="宋体" w:eastAsia="宋体"/>
                      <w:color w:val="000000"/>
                      <w:sz w:val="21"/>
                    </w:rPr>
                    <w:t>2分，总分100分，扣完为止。</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40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每季度</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A:90-100分</w:t>
                  </w:r>
                  <w:r>
                    <w:br/>
                  </w:r>
                  <w:r>
                    <w:rPr>
                      <w:rFonts w:ascii="宋体" w:hAnsi="宋体" w:cs="宋体" w:eastAsia="宋体"/>
                      <w:color w:val="000000"/>
                      <w:sz w:val="21"/>
                    </w:rPr>
                    <w:t>B:80-89分</w:t>
                  </w:r>
                  <w:r>
                    <w:br/>
                  </w:r>
                  <w:r>
                    <w:rPr>
                      <w:rFonts w:ascii="宋体" w:hAnsi="宋体" w:cs="宋体" w:eastAsia="宋体"/>
                      <w:color w:val="000000"/>
                      <w:sz w:val="21"/>
                    </w:rPr>
                    <w:t>C:60-79分</w:t>
                  </w:r>
                  <w:r>
                    <w:br/>
                  </w:r>
                  <w:r>
                    <w:rPr>
                      <w:rFonts w:ascii="宋体" w:hAnsi="宋体" w:cs="宋体" w:eastAsia="宋体"/>
                      <w:color w:val="000000"/>
                      <w:sz w:val="21"/>
                    </w:rPr>
                    <w:t>D:0-59分</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00"/>
                  <w:vMerge/>
                  <w:tcBorders>
                    <w:top w:val="none" w:color="000000" w:sz="4"/>
                    <w:left w:val="single" w:color="000000" w:sz="4"/>
                    <w:bottom w:val="single" w:color="000000" w:sz="4"/>
                    <w:right w:val="single" w:color="000000" w:sz="4"/>
                  </w:tcBorders>
                </w:tcPr>
                <w:p/>
              </w:tc>
              <w:tc>
                <w:tcPr>
                  <w:tcW w:type="dxa" w:w="188"/>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交付物交付时效</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及时交付各项分析报告、记录台账、月报等文档</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由于项目服务方原因，未按时按量交付文档超过</w:t>
                  </w:r>
                  <w:r>
                    <w:rPr>
                      <w:rFonts w:ascii="宋体" w:hAnsi="宋体" w:cs="宋体" w:eastAsia="宋体"/>
                      <w:color w:val="000000"/>
                      <w:sz w:val="21"/>
                    </w:rPr>
                    <w:t>3个日历日以上，每项扣2分，总分100分，扣完为止。</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每季度</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A:90-100分</w:t>
                  </w:r>
                  <w:r>
                    <w:br/>
                  </w:r>
                  <w:r>
                    <w:rPr>
                      <w:rFonts w:ascii="宋体" w:hAnsi="宋体" w:cs="宋体" w:eastAsia="宋体"/>
                      <w:color w:val="000000"/>
                      <w:sz w:val="21"/>
                    </w:rPr>
                    <w:t>B:80-89分</w:t>
                  </w:r>
                  <w:r>
                    <w:br/>
                  </w:r>
                  <w:r>
                    <w:rPr>
                      <w:rFonts w:ascii="宋体" w:hAnsi="宋体" w:cs="宋体" w:eastAsia="宋体"/>
                      <w:color w:val="000000"/>
                      <w:sz w:val="21"/>
                    </w:rPr>
                    <w:t>C:60-79分</w:t>
                  </w:r>
                  <w:r>
                    <w:br/>
                  </w:r>
                  <w:r>
                    <w:rPr>
                      <w:rFonts w:ascii="宋体" w:hAnsi="宋体" w:cs="宋体" w:eastAsia="宋体"/>
                      <w:color w:val="000000"/>
                      <w:sz w:val="21"/>
                    </w:rPr>
                    <w:t>D:0-59分</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00"/>
                  <w:vMerge/>
                  <w:tcBorders>
                    <w:top w:val="none" w:color="000000" w:sz="4"/>
                    <w:left w:val="single" w:color="000000" w:sz="4"/>
                    <w:bottom w:val="single" w:color="000000" w:sz="4"/>
                    <w:right w:val="single" w:color="000000" w:sz="4"/>
                  </w:tcBorders>
                </w:tcPr>
                <w:p/>
              </w:tc>
              <w:tc>
                <w:tcPr>
                  <w:tcW w:type="dxa" w:w="1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服务质量</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数据要求</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按要求采集和分析的数据，完整、及时、准确。</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若个别数据项为不满足，每项数据项点扣</w:t>
                  </w:r>
                  <w:r>
                    <w:rPr>
                      <w:rFonts w:ascii="宋体" w:hAnsi="宋体" w:cs="宋体" w:eastAsia="宋体"/>
                      <w:color w:val="000000"/>
                      <w:sz w:val="21"/>
                    </w:rPr>
                    <w:t>5分，总分100分，扣完为止。</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每季度</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A:90-100分</w:t>
                  </w:r>
                  <w:r>
                    <w:br/>
                  </w:r>
                  <w:r>
                    <w:rPr>
                      <w:rFonts w:ascii="宋体" w:hAnsi="宋体" w:cs="宋体" w:eastAsia="宋体"/>
                      <w:color w:val="000000"/>
                      <w:sz w:val="21"/>
                    </w:rPr>
                    <w:t>B:80-89分</w:t>
                  </w:r>
                  <w:r>
                    <w:br/>
                  </w:r>
                  <w:r>
                    <w:rPr>
                      <w:rFonts w:ascii="宋体" w:hAnsi="宋体" w:cs="宋体" w:eastAsia="宋体"/>
                      <w:color w:val="000000"/>
                      <w:sz w:val="21"/>
                    </w:rPr>
                    <w:t>C:60-79分</w:t>
                  </w:r>
                  <w:r>
                    <w:br/>
                  </w:r>
                  <w:r>
                    <w:rPr>
                      <w:rFonts w:ascii="宋体" w:hAnsi="宋体" w:cs="宋体" w:eastAsia="宋体"/>
                      <w:color w:val="000000"/>
                      <w:sz w:val="21"/>
                    </w:rPr>
                    <w:t>D:0-60分</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00"/>
                  <w:vMerge/>
                  <w:tcBorders>
                    <w:top w:val="none" w:color="000000" w:sz="4"/>
                    <w:left w:val="single" w:color="000000" w:sz="4"/>
                    <w:bottom w:val="single" w:color="000000" w:sz="4"/>
                    <w:right w:val="single" w:color="000000" w:sz="4"/>
                  </w:tcBorders>
                </w:tcPr>
                <w:p/>
              </w:tc>
              <w:tc>
                <w:tcPr>
                  <w:tcW w:type="dxa" w:w="188"/>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台账要求</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完整、详实记录终端、网络等申请、变更等记录。</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若台账记录存在遗漏、错误，每条记录扣</w:t>
                  </w:r>
                  <w:r>
                    <w:rPr>
                      <w:rFonts w:ascii="宋体" w:hAnsi="宋体" w:cs="宋体" w:eastAsia="宋体"/>
                      <w:color w:val="000000"/>
                      <w:sz w:val="21"/>
                    </w:rPr>
                    <w:t>2分，总分100分，扣完为止。</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每季度</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A:90-100分</w:t>
                  </w:r>
                  <w:r>
                    <w:br/>
                  </w:r>
                  <w:r>
                    <w:rPr>
                      <w:rFonts w:ascii="宋体" w:hAnsi="宋体" w:cs="宋体" w:eastAsia="宋体"/>
                      <w:color w:val="000000"/>
                      <w:sz w:val="21"/>
                    </w:rPr>
                    <w:t>B:80-89分</w:t>
                  </w:r>
                  <w:r>
                    <w:br/>
                  </w:r>
                  <w:r>
                    <w:rPr>
                      <w:rFonts w:ascii="宋体" w:hAnsi="宋体" w:cs="宋体" w:eastAsia="宋体"/>
                      <w:color w:val="000000"/>
                      <w:sz w:val="21"/>
                    </w:rPr>
                    <w:t>C:60-79分</w:t>
                  </w:r>
                  <w:r>
                    <w:br/>
                  </w:r>
                  <w:r>
                    <w:rPr>
                      <w:rFonts w:ascii="宋体" w:hAnsi="宋体" w:cs="宋体" w:eastAsia="宋体"/>
                      <w:color w:val="000000"/>
                      <w:sz w:val="21"/>
                    </w:rPr>
                    <w:t>D:0-61分</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00"/>
                  <w:vMerge/>
                  <w:tcBorders>
                    <w:top w:val="none" w:color="000000" w:sz="4"/>
                    <w:left w:val="single" w:color="000000" w:sz="4"/>
                    <w:bottom w:val="single" w:color="000000" w:sz="4"/>
                    <w:right w:val="single" w:color="000000" w:sz="4"/>
                  </w:tcBorders>
                </w:tcPr>
                <w:p/>
              </w:tc>
              <w:tc>
                <w:tcPr>
                  <w:tcW w:type="dxa" w:w="188"/>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功能要求</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支撑工具满足需求单位所有功能点需求</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由于项目服务方原因，支撑工具软件功能出现异常，不能正常支撑服务，每次扣</w:t>
                  </w:r>
                  <w:r>
                    <w:rPr>
                      <w:rFonts w:ascii="宋体" w:hAnsi="宋体" w:cs="宋体" w:eastAsia="宋体"/>
                      <w:color w:val="000000"/>
                      <w:sz w:val="21"/>
                    </w:rPr>
                    <w:t>5分，总分100分，扣完为止。</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每季度</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A:90-100分</w:t>
                  </w:r>
                  <w:r>
                    <w:br/>
                  </w:r>
                  <w:r>
                    <w:rPr>
                      <w:rFonts w:ascii="宋体" w:hAnsi="宋体" w:cs="宋体" w:eastAsia="宋体"/>
                      <w:color w:val="000000"/>
                      <w:sz w:val="21"/>
                    </w:rPr>
                    <w:t>B:80-89分</w:t>
                  </w:r>
                  <w:r>
                    <w:br/>
                  </w:r>
                  <w:r>
                    <w:rPr>
                      <w:rFonts w:ascii="宋体" w:hAnsi="宋体" w:cs="宋体" w:eastAsia="宋体"/>
                      <w:color w:val="000000"/>
                      <w:sz w:val="21"/>
                    </w:rPr>
                    <w:t>C:60-79分</w:t>
                  </w:r>
                  <w:r>
                    <w:br/>
                  </w:r>
                  <w:r>
                    <w:rPr>
                      <w:rFonts w:ascii="宋体" w:hAnsi="宋体" w:cs="宋体" w:eastAsia="宋体"/>
                      <w:color w:val="000000"/>
                      <w:sz w:val="21"/>
                    </w:rPr>
                    <w:t>D:0-62分</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00"/>
                  <w:vMerge/>
                  <w:tcBorders>
                    <w:top w:val="none" w:color="000000" w:sz="4"/>
                    <w:left w:val="single" w:color="000000" w:sz="4"/>
                    <w:bottom w:val="single" w:color="000000" w:sz="4"/>
                    <w:right w:val="single" w:color="000000" w:sz="4"/>
                  </w:tcBorders>
                </w:tcP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用户满意度</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服务对象满意度</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考核期对使用支撑软件人员进行满意度，按满意，一般，不满意等级划分。</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按百分比模式进行，根据调研对象数量，满意人员占比进行计算，全部人员满意为</w:t>
                  </w:r>
                  <w:r>
                    <w:rPr>
                      <w:rFonts w:ascii="宋体" w:hAnsi="宋体" w:cs="宋体" w:eastAsia="宋体"/>
                      <w:color w:val="000000"/>
                      <w:sz w:val="21"/>
                    </w:rPr>
                    <w:t>100分。</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每季度</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A:90-100分</w:t>
                  </w:r>
                  <w:r>
                    <w:br/>
                  </w:r>
                  <w:r>
                    <w:rPr>
                      <w:rFonts w:ascii="宋体" w:hAnsi="宋体" w:cs="宋体" w:eastAsia="宋体"/>
                      <w:color w:val="000000"/>
                      <w:sz w:val="21"/>
                    </w:rPr>
                    <w:t>B:80-89分</w:t>
                  </w:r>
                  <w:r>
                    <w:br/>
                  </w:r>
                  <w:r>
                    <w:rPr>
                      <w:rFonts w:ascii="宋体" w:hAnsi="宋体" w:cs="宋体" w:eastAsia="宋体"/>
                      <w:color w:val="000000"/>
                      <w:sz w:val="21"/>
                    </w:rPr>
                    <w:t>C:60-79分</w:t>
                  </w:r>
                  <w:r>
                    <w:br/>
                  </w:r>
                  <w:r>
                    <w:rPr>
                      <w:rFonts w:ascii="宋体" w:hAnsi="宋体" w:cs="宋体" w:eastAsia="宋体"/>
                      <w:color w:val="000000"/>
                      <w:sz w:val="21"/>
                    </w:rPr>
                    <w:t>D:0-61分</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00"/>
                  <w:vMerge/>
                  <w:tcBorders>
                    <w:top w:val="none" w:color="000000" w:sz="4"/>
                    <w:left w:val="single" w:color="000000" w:sz="4"/>
                    <w:bottom w:val="single" w:color="000000" w:sz="4"/>
                    <w:right w:val="single" w:color="000000" w:sz="4"/>
                  </w:tcBorders>
                </w:tcP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服务管理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服务人员投入</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满足服务人员投入要求且在运营期内保持团队稳定</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团队人员保持稳定，若人员变动未提前报备且未及时补充，根据比例进行相应扣减，满分</w:t>
                  </w:r>
                  <w:r>
                    <w:rPr>
                      <w:rFonts w:ascii="宋体" w:hAnsi="宋体" w:cs="宋体" w:eastAsia="宋体"/>
                      <w:color w:val="000000"/>
                      <w:sz w:val="21"/>
                    </w:rPr>
                    <w:t>100分。</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每季度</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A:90-100分</w:t>
                  </w:r>
                  <w:r>
                    <w:br/>
                  </w:r>
                  <w:r>
                    <w:rPr>
                      <w:rFonts w:ascii="宋体" w:hAnsi="宋体" w:cs="宋体" w:eastAsia="宋体"/>
                      <w:color w:val="000000"/>
                      <w:sz w:val="21"/>
                    </w:rPr>
                    <w:t>B:80-89分</w:t>
                  </w:r>
                  <w:r>
                    <w:br/>
                  </w:r>
                  <w:r>
                    <w:rPr>
                      <w:rFonts w:ascii="宋体" w:hAnsi="宋体" w:cs="宋体" w:eastAsia="宋体"/>
                      <w:color w:val="000000"/>
                      <w:sz w:val="21"/>
                    </w:rPr>
                    <w:t>C:60-79分</w:t>
                  </w:r>
                  <w:r>
                    <w:br/>
                  </w:r>
                  <w:r>
                    <w:rPr>
                      <w:rFonts w:ascii="宋体" w:hAnsi="宋体" w:cs="宋体" w:eastAsia="宋体"/>
                      <w:color w:val="000000"/>
                      <w:sz w:val="21"/>
                    </w:rPr>
                    <w:t>D:0-62分</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bl>
          <w:p>
            <w:pPr>
              <w:pStyle w:val="null3"/>
              <w:jc w:val="left"/>
              <w:outlineLvl w:val="1"/>
            </w:pPr>
            <w:r>
              <w:rPr>
                <w:rFonts w:ascii="宋体" w:hAnsi="宋体" w:cs="宋体" w:eastAsia="宋体"/>
                <w:b/>
                <w:sz w:val="24"/>
              </w:rPr>
              <w:t>五、</w:t>
            </w:r>
            <w:r>
              <w:rPr>
                <w:rFonts w:ascii="宋体" w:hAnsi="宋体" w:cs="宋体" w:eastAsia="宋体"/>
                <w:b/>
                <w:sz w:val="24"/>
              </w:rPr>
              <w:t>履约验收方案</w:t>
            </w:r>
          </w:p>
          <w:p>
            <w:pPr>
              <w:pStyle w:val="null3"/>
              <w:ind w:firstLine="420"/>
            </w:pPr>
            <w:r>
              <w:rPr>
                <w:rFonts w:ascii="宋体" w:hAnsi="宋体" w:cs="宋体" w:eastAsia="宋体"/>
                <w:sz w:val="21"/>
              </w:rPr>
              <w:t>由陕西省医疗保障技术服务中心统一组织，采购人与相关人员组成验收小组完成验收。双方根据最终验收情况，编写最终验收报告。中标人应完成项目验收资料的准备。</w:t>
            </w:r>
          </w:p>
          <w:p>
            <w:pPr>
              <w:pStyle w:val="null3"/>
              <w:ind w:firstLine="420"/>
            </w:pPr>
            <w:r>
              <w:rPr>
                <w:rFonts w:ascii="宋体" w:hAnsi="宋体" w:cs="宋体" w:eastAsia="宋体"/>
                <w:sz w:val="21"/>
              </w:rPr>
              <w:t>在服务过程中出现性能指标或功能上不符合标书和合同要求时，由中标人负责解决，采购人有拒绝验收的权利并保留索赔权利。</w:t>
            </w:r>
          </w:p>
          <w:p>
            <w:pPr>
              <w:pStyle w:val="null3"/>
            </w:pPr>
            <w:r>
              <w:rPr>
                <w:rFonts w:ascii="宋体" w:hAnsi="宋体" w:cs="宋体" w:eastAsia="宋体"/>
                <w:sz w:val="21"/>
              </w:rPr>
              <w:t>本项目的实施过程中将产生大量的技术及管理文档，中标人应协助采购人，负责建立、维护、交接项目实施过程中产生的各类文档，确保项目文档的内容体现本项目的实施过程，并确保项目文档的完整性和准确性。</w:t>
            </w:r>
          </w:p>
          <w:p>
            <w:pPr>
              <w:pStyle w:val="null3"/>
            </w:pPr>
            <w:r>
              <w:rPr/>
              <w:t>说明：若因系统原因无法显示的内容，请下载附件查看。</w:t>
            </w:r>
          </w:p>
        </w:tc>
      </w:tr>
    </w:tbl>
    <w:p>
      <w:pPr>
        <w:pStyle w:val="null3"/>
        <w:outlineLvl w:val="3"/>
      </w:pPr>
      <w:r>
        <w:rPr>
          <w:b/>
          <w:sz w:val="24"/>
        </w:rPr>
        <w:t>3.2.3人员配置要求</w:t>
      </w:r>
    </w:p>
    <w:p>
      <w:pPr>
        <w:pStyle w:val="null3"/>
      </w:pPr>
      <w:r>
        <w:rPr/>
        <w:t>采购包1：</w:t>
      </w:r>
    </w:p>
    <w:p>
      <w:pPr>
        <w:pStyle w:val="null3"/>
      </w:pPr>
      <w:r>
        <w:rPr/>
        <w:t>详见采购文件及合同</w:t>
      </w:r>
    </w:p>
    <w:p>
      <w:pPr>
        <w:pStyle w:val="null3"/>
        <w:outlineLvl w:val="3"/>
      </w:pPr>
      <w:r>
        <w:rPr>
          <w:b/>
          <w:sz w:val="24"/>
        </w:rPr>
        <w:t>3.2.4设施设备配置要求</w:t>
      </w:r>
    </w:p>
    <w:p>
      <w:pPr>
        <w:pStyle w:val="null3"/>
      </w:pPr>
      <w:r>
        <w:rPr/>
        <w:t>采购包1：</w:t>
      </w:r>
    </w:p>
    <w:p>
      <w:pPr>
        <w:pStyle w:val="null3"/>
      </w:pPr>
      <w:r>
        <w:rPr/>
        <w:t>详见采购文件及合同</w:t>
      </w:r>
    </w:p>
    <w:p>
      <w:pPr>
        <w:pStyle w:val="null3"/>
        <w:outlineLvl w:val="3"/>
      </w:pPr>
      <w:r>
        <w:rPr>
          <w:b/>
          <w:sz w:val="24"/>
        </w:rPr>
        <w:t>3.2.5其他要求</w:t>
      </w:r>
    </w:p>
    <w:p>
      <w:pPr>
        <w:pStyle w:val="null3"/>
      </w:pPr>
      <w:r>
        <w:rPr/>
        <w:t>采购包1：</w:t>
      </w:r>
    </w:p>
    <w:p>
      <w:pPr>
        <w:pStyle w:val="null3"/>
      </w:pPr>
      <w:r>
        <w:rPr/>
        <w:t>详见采购文件及合同</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自合同签订之日起365个日历日</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由陕西省医疗保障技术服务中心统一组织，采购人与相关人员组成验收小组完成验收。双方根据最终验收情况，编写最终验收报告。中标人应完成项目验收资料的准备。 在服务过程中出现性能指标或功能上不符合标书和合同要求时，由中标人负责解决，采购人有拒绝验收的权利并保留索赔权利。 本项目的实施过程中将产生大量的技术及管理文档，中标人应协助采购人，负责建立、维护、交接项目实施过程中产生的各类文档，确保项目文档的内容体现本项目的实施过程，并确保项目文档的完整性和准确性。</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签订合同后</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服务期满6个月，并符合服务考核要求</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服务期满9个月，并符合服务考核要求</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服务期满12个月，并符合服务考核要求</w:t>
      </w:r>
      <w:r>
        <w:rPr/>
        <w:t xml:space="preserve"> ，达到付款条件起 </w:t>
      </w:r>
      <w:r>
        <w:rPr/>
        <w:t>30</w:t>
      </w:r>
      <w:r>
        <w:rPr/>
        <w:t xml:space="preserve"> 日内，支付合同总金额的 </w:t>
      </w:r>
      <w:r>
        <w:rPr/>
        <w:t>10.00</w:t>
      </w:r>
      <w:r>
        <w:rPr/>
        <w:t>%。</w:t>
      </w:r>
    </w:p>
    <w:p>
      <w:pPr>
        <w:pStyle w:val="null3"/>
        <w:outlineLvl w:val="3"/>
      </w:pPr>
      <w:r>
        <w:rPr>
          <w:b/>
          <w:sz w:val="24"/>
        </w:rPr>
        <w:t>3.3.6违约责任与解决争议的方法</w:t>
      </w:r>
    </w:p>
    <w:p>
      <w:pPr>
        <w:pStyle w:val="null3"/>
      </w:pPr>
      <w:r>
        <w:rPr/>
        <w:t>采购包1：</w:t>
      </w:r>
    </w:p>
    <w:p>
      <w:pPr>
        <w:pStyle w:val="null3"/>
      </w:pPr>
      <w:r>
        <w:rPr/>
        <w:t>详见采购文件及合同</w:t>
      </w:r>
    </w:p>
    <w:p>
      <w:pPr>
        <w:pStyle w:val="null3"/>
        <w:jc w:val="left"/>
        <w:outlineLvl w:val="2"/>
      </w:pPr>
      <w:r>
        <w:rPr>
          <w:b/>
          <w:sz w:val="28"/>
        </w:rPr>
        <w:t>3.5其他要求</w:t>
      </w:r>
    </w:p>
    <w:p>
      <w:pPr>
        <w:pStyle w:val="null3"/>
      </w:pPr>
      <w:r>
        <w:rPr/>
        <w:t>如为中小企业中标，支付方式则按照“签订合同后，达到付款条件起30日内，支付合同总金额的 40.0%；服务期满6个月，并符合服务考核要求，达到付款条件起30日内，支付合同总金额的30.0%；服务期满9个月，并符合服务考核要求，达到付款条件起30日内，支付合同总金额的20.0%；服务期满12个月，并符合服务考核要求，达到付款条件起30日内，支付合同总金额的10.0%”执行。</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有效的主体资格证明：在中华人民共和国境内注册，并有效存续的营业执照/事业单位法人证书/非企业专业服务机构执业许可证/民办非企业单位登记证书、税务登记证、组织机构代码证，或“三证合一”后的注册登记证等，自然人须提供身份证明； （2）财务状况报告：提供2021年度或2022年度经审计的财务会计报告（至少包括审计报告、资产负债表和利润表，成立时间至投标日期前不足一年的可提供成立后任意时段的资产负债表）或投标日期前一年内其基本账户开户银行出具的资信证明（附基本存款账户信息）；其他组织和自然人提供投标日期前一年内银行出具的资信证明或财务报表； （3）税收缴纳证明：提供投标日期前一年内任意一个月的纳税证明或完税证明（增值税、营业税、企业所得税任意提供一种）；其他组织和自然人提供投标日期前一年内至少一个月缴纳税收的凭据；依法免税的供应商应提供相关文件证明； （4）社会保障资金缴纳证明：提供投标日期前一年内任意一个月的社会保障资金缴存单据或社保机构开具的社会保险参保缴费情况证明；依法不需要缴纳社会保障资金的供应商应提供相关文件证明； （5）参加本次政府采购活动前3年内在经营活动中没有重大违法记录的书面声明； （6）提供具有履行合同所必需的设备和专业技术能力的承诺； （7）法定代表人参加投标时，须提供法定代表人身份证明（附法定代表人身份证复印件）；授权委托代理人参加投标时，提供法定代表人授权委托书（附法定代表人、委托代理人身份证复印件）。</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2021年度或2022年度经审计的财务会计报告（至少包括审计报告、资产负债表和利润表，成立时间至投标日期前不足一年的可提供成立后任意时段的资产负债表）或投标日期前一年内其基本账户开户银行出具的资信证明（附基本存款账户信息）；其他组织和自然人提供投标日期前一年内银行出具的资信证明或财务报表</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信誉</w:t>
            </w:r>
          </w:p>
        </w:tc>
        <w:tc>
          <w:tcPr>
            <w:tcW w:type="dxa" w:w="3322"/>
          </w:tcPr>
          <w:p>
            <w:pPr>
              <w:pStyle w:val="null3"/>
            </w:pPr>
            <w:r>
              <w:rPr/>
              <w:t>未被列入“信用中国(www.creditchina.gov.cn)”重大税收违法失信主体，未被列入“中国执行信息公开网（http://zxgk.court.gov.cn/shixin/）”失信被执行人名单，未被列入“中国政府采购网(www.ccgp.gov.cn)”政府采购严重违法失信行为记录名单。（由代理机构在开标后查询并存档）</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其他</w:t>
            </w:r>
          </w:p>
        </w:tc>
        <w:tc>
          <w:tcPr>
            <w:tcW w:type="dxa" w:w="3322"/>
          </w:tcPr>
          <w:p>
            <w:pPr>
              <w:pStyle w:val="null3"/>
            </w:pPr>
            <w:r>
              <w:rPr/>
              <w:t>1、单位负责人为同一人或者存在控股、管理关系的不同供应商，不得同时参加本项目采购活动。 2、本项目不接受联合体投标。</w:t>
            </w:r>
          </w:p>
        </w:tc>
        <w:tc>
          <w:tcPr>
            <w:tcW w:type="dxa" w:w="1661"/>
          </w:tcPr>
          <w:p>
            <w:pPr>
              <w:pStyle w:val="null3"/>
            </w:pPr>
            <w:r>
              <w:rPr/>
              <w:t>资格证明文件</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b/>
          <w:sz w:val="36"/>
        </w:rPr>
        <w:t>第五章 评标办法</w:t>
      </w:r>
    </w:p>
    <w:p>
      <w:pPr>
        <w:pStyle w:val="null3"/>
        <w:outlineLvl w:val="2"/>
      </w:pPr>
      <w:r>
        <w:rPr>
          <w:b/>
          <w:sz w:val="28"/>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5.3评标方法</w:t>
      </w:r>
    </w:p>
    <w:p>
      <w:pPr>
        <w:pStyle w:val="null3"/>
      </w:pPr>
      <w:r>
        <w:rPr/>
        <w:t>采购包1：综合评分法</w:t>
      </w:r>
    </w:p>
    <w:p>
      <w:pPr>
        <w:pStyle w:val="null3"/>
        <w:outlineLvl w:val="2"/>
      </w:pPr>
      <w:r>
        <w:rPr>
          <w:b/>
          <w:sz w:val="28"/>
        </w:rPr>
        <w:t>5.4评标程序</w:t>
      </w:r>
    </w:p>
    <w:p>
      <w:pPr>
        <w:pStyle w:val="null3"/>
        <w:outlineLvl w:val="3"/>
      </w:pPr>
      <w:r>
        <w:rPr>
          <w:b/>
          <w:sz w:val="24"/>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w:t>
            </w:r>
          </w:p>
        </w:tc>
      </w:tr>
      <w:tr>
        <w:tc>
          <w:tcPr>
            <w:tcW w:type="dxa" w:w="831"/>
          </w:tcPr>
          <w:p>
            <w:pPr>
              <w:pStyle w:val="null3"/>
            </w:pPr>
            <w:r>
              <w:rPr/>
              <w:t>2</w:t>
            </w:r>
          </w:p>
        </w:tc>
        <w:tc>
          <w:tcPr>
            <w:tcW w:type="dxa" w:w="2492"/>
          </w:tcPr>
          <w:p>
            <w:pPr>
              <w:pStyle w:val="null3"/>
            </w:pPr>
            <w:r>
              <w:rPr/>
              <w:t>签章</w:t>
            </w:r>
          </w:p>
        </w:tc>
        <w:tc>
          <w:tcPr>
            <w:tcW w:type="dxa" w:w="3322"/>
          </w:tcPr>
          <w:p>
            <w:pPr>
              <w:pStyle w:val="null3"/>
            </w:pPr>
            <w:r>
              <w:rPr/>
              <w:t>签章均符合招标文件要求，且无遗漏</w:t>
            </w:r>
          </w:p>
        </w:tc>
        <w:tc>
          <w:tcPr>
            <w:tcW w:type="dxa" w:w="1661"/>
          </w:tcPr>
          <w:p>
            <w:pPr>
              <w:pStyle w:val="null3"/>
            </w:pPr>
            <w:r>
              <w:rPr/>
              <w:t>资格证明文件 分项报价表 投标函 投标文件封面</w:t>
            </w:r>
          </w:p>
        </w:tc>
      </w:tr>
      <w:tr>
        <w:tc>
          <w:tcPr>
            <w:tcW w:type="dxa" w:w="831"/>
          </w:tcPr>
          <w:p>
            <w:pPr>
              <w:pStyle w:val="null3"/>
            </w:pPr>
            <w:r>
              <w:rPr/>
              <w:t>3</w:t>
            </w:r>
          </w:p>
        </w:tc>
        <w:tc>
          <w:tcPr>
            <w:tcW w:type="dxa" w:w="2492"/>
          </w:tcPr>
          <w:p>
            <w:pPr>
              <w:pStyle w:val="null3"/>
            </w:pPr>
            <w:r>
              <w:rPr/>
              <w:t>投标文件有效期</w:t>
            </w:r>
          </w:p>
        </w:tc>
        <w:tc>
          <w:tcPr>
            <w:tcW w:type="dxa" w:w="3322"/>
          </w:tcPr>
          <w:p>
            <w:pPr>
              <w:pStyle w:val="null3"/>
            </w:pPr>
            <w:r>
              <w:rPr/>
              <w:t>符合招标文件的要求</w:t>
            </w:r>
          </w:p>
        </w:tc>
        <w:tc>
          <w:tcPr>
            <w:tcW w:type="dxa" w:w="1661"/>
          </w:tcPr>
          <w:p>
            <w:pPr>
              <w:pStyle w:val="null3"/>
            </w:pPr>
            <w:r>
              <w:rPr/>
              <w:t>资格证明文件 投标函</w:t>
            </w:r>
          </w:p>
        </w:tc>
      </w:tr>
      <w:tr>
        <w:tc>
          <w:tcPr>
            <w:tcW w:type="dxa" w:w="831"/>
          </w:tcPr>
          <w:p>
            <w:pPr>
              <w:pStyle w:val="null3"/>
            </w:pPr>
            <w:r>
              <w:rPr/>
              <w:t>4</w:t>
            </w:r>
          </w:p>
        </w:tc>
        <w:tc>
          <w:tcPr>
            <w:tcW w:type="dxa" w:w="2492"/>
          </w:tcPr>
          <w:p>
            <w:pPr>
              <w:pStyle w:val="null3"/>
            </w:pPr>
            <w:r>
              <w:rPr/>
              <w:t>投标报价</w:t>
            </w:r>
          </w:p>
        </w:tc>
        <w:tc>
          <w:tcPr>
            <w:tcW w:type="dxa" w:w="3322"/>
          </w:tcPr>
          <w:p>
            <w:pPr>
              <w:pStyle w:val="null3"/>
            </w:pPr>
            <w:r>
              <w:rPr/>
              <w:t>（1）报价符合唯一性要求 （2）未超出采购预算或最高限价</w:t>
            </w:r>
          </w:p>
        </w:tc>
        <w:tc>
          <w:tcPr>
            <w:tcW w:type="dxa" w:w="1661"/>
          </w:tcPr>
          <w:p>
            <w:pPr>
              <w:pStyle w:val="null3"/>
            </w:pPr>
            <w:r>
              <w:rPr/>
              <w:t>开标一览表 分项报价表 投标函 标的清单</w:t>
            </w:r>
          </w:p>
        </w:tc>
      </w:tr>
      <w:tr>
        <w:tc>
          <w:tcPr>
            <w:tcW w:type="dxa" w:w="831"/>
          </w:tcPr>
          <w:p>
            <w:pPr>
              <w:pStyle w:val="null3"/>
            </w:pPr>
            <w:r>
              <w:rPr/>
              <w:t>5</w:t>
            </w:r>
          </w:p>
        </w:tc>
        <w:tc>
          <w:tcPr>
            <w:tcW w:type="dxa" w:w="2492"/>
          </w:tcPr>
          <w:p>
            <w:pPr>
              <w:pStyle w:val="null3"/>
            </w:pPr>
            <w:r>
              <w:rPr/>
              <w:t>合同条款响应</w:t>
            </w:r>
          </w:p>
        </w:tc>
        <w:tc>
          <w:tcPr>
            <w:tcW w:type="dxa" w:w="3322"/>
          </w:tcPr>
          <w:p>
            <w:pPr>
              <w:pStyle w:val="null3"/>
            </w:pPr>
            <w:r>
              <w:rPr/>
              <w:t>完全理解并响应招标文件合同条款的要求，且未含有采购人不能接受的附加条件的</w:t>
            </w:r>
          </w:p>
        </w:tc>
        <w:tc>
          <w:tcPr>
            <w:tcW w:type="dxa" w:w="1661"/>
          </w:tcPr>
          <w:p>
            <w:pPr>
              <w:pStyle w:val="null3"/>
            </w:pPr>
            <w:r>
              <w:rPr/>
              <w:t>企业概况及实施方案</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企业实力</w:t>
            </w:r>
          </w:p>
        </w:tc>
        <w:tc>
          <w:tcPr>
            <w:tcW w:type="dxa" w:w="2492"/>
          </w:tcPr>
          <w:p>
            <w:pPr>
              <w:pStyle w:val="null3"/>
            </w:pPr>
            <w:r>
              <w:rPr/>
              <w:t>具有CMMI证书，3级（或以上）得1分，否则不得分。提供相应的证书复印件加盖供应商公章，不提供不得分。</w:t>
            </w:r>
          </w:p>
        </w:tc>
        <w:tc>
          <w:tcPr>
            <w:tcW w:type="dxa" w:w="831"/>
          </w:tcPr>
          <w:p>
            <w:pPr>
              <w:pStyle w:val="null3"/>
              <w:jc w:val="right"/>
            </w:pPr>
            <w:r>
              <w:rPr/>
              <w:t>1.00</w:t>
            </w:r>
          </w:p>
        </w:tc>
        <w:tc>
          <w:tcPr>
            <w:tcW w:type="dxa" w:w="831"/>
          </w:tcPr>
          <w:p>
            <w:pPr>
              <w:pStyle w:val="null3"/>
            </w:pPr>
            <w:r>
              <w:rPr/>
              <w:t>客观</w:t>
            </w:r>
          </w:p>
        </w:tc>
        <w:tc>
          <w:tcPr>
            <w:tcW w:type="dxa" w:w="1661"/>
          </w:tcPr>
          <w:p>
            <w:pPr>
              <w:pStyle w:val="null3"/>
            </w:pPr>
            <w:r>
              <w:rPr/>
              <w:t>企业概况及实施方案</w:t>
            </w:r>
          </w:p>
        </w:tc>
      </w:tr>
      <w:tr>
        <w:tc>
          <w:tcPr>
            <w:tcW w:type="dxa" w:w="831"/>
            <w:vMerge/>
          </w:tcPr>
          <w:p/>
        </w:tc>
        <w:tc>
          <w:tcPr>
            <w:tcW w:type="dxa" w:w="1661"/>
          </w:tcPr>
          <w:p>
            <w:pPr>
              <w:pStyle w:val="null3"/>
            </w:pPr>
            <w:r>
              <w:rPr/>
              <w:t>企业实力</w:t>
            </w:r>
          </w:p>
        </w:tc>
        <w:tc>
          <w:tcPr>
            <w:tcW w:type="dxa" w:w="2492"/>
          </w:tcPr>
          <w:p>
            <w:pPr>
              <w:pStyle w:val="null3"/>
            </w:pPr>
            <w:r>
              <w:rPr/>
              <w:t>具备ISO20000、ISO27001、ISO9001体系认证证书，每提供其中1个证书得1分，满分3分，提供相应的证书复印件加盖供应商公章，不提供不得分。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企业概况及实施方案</w:t>
            </w:r>
          </w:p>
        </w:tc>
      </w:tr>
      <w:tr>
        <w:tc>
          <w:tcPr>
            <w:tcW w:type="dxa" w:w="831"/>
            <w:vMerge/>
          </w:tcPr>
          <w:p/>
        </w:tc>
        <w:tc>
          <w:tcPr>
            <w:tcW w:type="dxa" w:w="1661"/>
          </w:tcPr>
          <w:p>
            <w:pPr>
              <w:pStyle w:val="null3"/>
            </w:pPr>
            <w:r>
              <w:rPr/>
              <w:t>企业实力</w:t>
            </w:r>
          </w:p>
        </w:tc>
        <w:tc>
          <w:tcPr>
            <w:tcW w:type="dxa" w:w="2492"/>
          </w:tcPr>
          <w:p>
            <w:pPr>
              <w:pStyle w:val="null3"/>
            </w:pPr>
            <w:r>
              <w:rPr/>
              <w:t>供应商或支撑工具软件方具有同类或相似领域“终端检测管理”类、“终端服务平台类”、“终端自动升级”类、“应用内容管理”类、“统一接口管理类”软件著作权，每提供一个得1分，满分5分。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企业概况及实施方案</w:t>
            </w:r>
          </w:p>
        </w:tc>
      </w:tr>
      <w:tr>
        <w:tc>
          <w:tcPr>
            <w:tcW w:type="dxa" w:w="831"/>
            <w:vMerge/>
          </w:tcPr>
          <w:p/>
        </w:tc>
        <w:tc>
          <w:tcPr>
            <w:tcW w:type="dxa" w:w="1661"/>
          </w:tcPr>
          <w:p>
            <w:pPr>
              <w:pStyle w:val="null3"/>
            </w:pPr>
            <w:r>
              <w:rPr/>
              <w:t>团队人员配置</w:t>
            </w:r>
          </w:p>
        </w:tc>
        <w:tc>
          <w:tcPr>
            <w:tcW w:type="dxa" w:w="2492"/>
          </w:tcPr>
          <w:p>
            <w:pPr>
              <w:pStyle w:val="null3"/>
            </w:pPr>
            <w:r>
              <w:rPr/>
              <w:t>拟派项目负责人具备信息系统项目管理师、系统分析师证书，每提供一个认证证书得1分，满分2分；提供相应的证书复印件及投标截止日之前1年内任意连续3个月（成立不足3个月的公司，提供成立之日起次月至截标时间前一个月的）所在企业为其缴纳的社保证明复印件加盖供应商公章，否则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企业概况及实施方案</w:t>
            </w:r>
          </w:p>
        </w:tc>
      </w:tr>
      <w:tr>
        <w:tc>
          <w:tcPr>
            <w:tcW w:type="dxa" w:w="831"/>
            <w:vMerge/>
          </w:tcPr>
          <w:p/>
        </w:tc>
        <w:tc>
          <w:tcPr>
            <w:tcW w:type="dxa" w:w="1661"/>
          </w:tcPr>
          <w:p>
            <w:pPr>
              <w:pStyle w:val="null3"/>
            </w:pPr>
            <w:r>
              <w:rPr/>
              <w:t>团队人员配置</w:t>
            </w:r>
          </w:p>
        </w:tc>
        <w:tc>
          <w:tcPr>
            <w:tcW w:type="dxa" w:w="2492"/>
          </w:tcPr>
          <w:p>
            <w:pPr>
              <w:pStyle w:val="null3"/>
            </w:pPr>
            <w:r>
              <w:rPr/>
              <w:t>根据项目具体情况配置项目组成员（不少于5人），其中团队成员具有系统架构设计师、数据库系统工程师、软件设计师证书的，每提供其中1个证书得1分，满分3分，重复证书按1个计，3个证书为同一人的按1个计。需提供相关证书复印件及上述人员投标截止时间前1年内任意连续3个月（成立不足3个月的公司，提供成立之日起次月至截标时间前一个月的）供应商为其缴纳个人社保证明复印件加盖供应商公章，否则不得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企业概况及实施方案</w:t>
            </w:r>
          </w:p>
        </w:tc>
      </w:tr>
      <w:tr>
        <w:tc>
          <w:tcPr>
            <w:tcW w:type="dxa" w:w="831"/>
            <w:vMerge/>
          </w:tcPr>
          <w:p/>
        </w:tc>
        <w:tc>
          <w:tcPr>
            <w:tcW w:type="dxa" w:w="1661"/>
          </w:tcPr>
          <w:p>
            <w:pPr>
              <w:pStyle w:val="null3"/>
            </w:pPr>
            <w:r>
              <w:rPr/>
              <w:t>技术咨询服务方案</w:t>
            </w:r>
          </w:p>
        </w:tc>
        <w:tc>
          <w:tcPr>
            <w:tcW w:type="dxa" w:w="2492"/>
          </w:tcPr>
          <w:p>
            <w:pPr>
              <w:pStyle w:val="null3"/>
            </w:pPr>
            <w:r>
              <w:rPr/>
              <w:t>提供基于医保业务综合服务详细、具体、科学的技术咨询管理综合性服务方案（包括但不限于采集相关数据的方式，统计分析方法，医保网络和医保支付安全保障等），方案完善，完全符合项目需求，科学可靠计15分；方案较完善，基本符合项目需求，较科学可靠12分；方案一般，可靠性一般计8分；方案较差，可靠性差计4分；方案不符合项目需求或未提供计0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企业概况及实施方案</w:t>
            </w:r>
          </w:p>
        </w:tc>
      </w:tr>
      <w:tr>
        <w:tc>
          <w:tcPr>
            <w:tcW w:type="dxa" w:w="831"/>
            <w:vMerge/>
          </w:tcPr>
          <w:p/>
        </w:tc>
        <w:tc>
          <w:tcPr>
            <w:tcW w:type="dxa" w:w="1661"/>
          </w:tcPr>
          <w:p>
            <w:pPr>
              <w:pStyle w:val="null3"/>
            </w:pPr>
            <w:r>
              <w:rPr/>
              <w:t>数据加工处理方案</w:t>
            </w:r>
          </w:p>
        </w:tc>
        <w:tc>
          <w:tcPr>
            <w:tcW w:type="dxa" w:w="2492"/>
          </w:tcPr>
          <w:p>
            <w:pPr>
              <w:pStyle w:val="null3"/>
            </w:pPr>
            <w:r>
              <w:rPr/>
              <w:t>提供详细、符合医保业务应用场景、有效的数据加工处理方案（包括但不限于数据的采集、对接和接入、激活、统计分析、排序、筛选等），方案完善，完全符合项目需求，科学可靠计15分；方案较完善，基本符合项目需求，较科学可靠12分；方案一般，可靠性一般计8分；方案较差，可靠性差计4分；方案不符合项目需求或未提供计0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企业概况及实施方案</w:t>
            </w:r>
          </w:p>
        </w:tc>
      </w:tr>
      <w:tr>
        <w:tc>
          <w:tcPr>
            <w:tcW w:type="dxa" w:w="831"/>
            <w:vMerge/>
          </w:tcPr>
          <w:p/>
        </w:tc>
        <w:tc>
          <w:tcPr>
            <w:tcW w:type="dxa" w:w="1661"/>
          </w:tcPr>
          <w:p>
            <w:pPr>
              <w:pStyle w:val="null3"/>
            </w:pPr>
            <w:r>
              <w:rPr/>
              <w:t>支撑工具软件条件</w:t>
            </w:r>
          </w:p>
        </w:tc>
        <w:tc>
          <w:tcPr>
            <w:tcW w:type="dxa" w:w="2492"/>
          </w:tcPr>
          <w:p>
            <w:pPr>
              <w:pStyle w:val="null3"/>
            </w:pPr>
            <w:r>
              <w:rPr/>
              <w:t>支撑工具软件应提供基于医保业务综合服务终端的设备信息数据、机构信息数据、网络进入信息数据、医保业务应用数据的采集、统计、分析等数据统计功能（详见表4-1系统功能要求）。功能完善，完全符合项目需求，扩展能力强计15分；功能较完善，基本符合项目需求，扩展能力较强计12分；功能一般，扩展能力一般计8分；功能较差，扩展能力差计4分；功能不符合项目需求或未提供计0分。表4-1系统功能要求中标注▲的条款，须提供子模块功能截图，未提供的，每缺1项扣1.5分，在前述得分基础上扣分，扣完为止。</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企业概况及实施方案</w:t>
            </w:r>
          </w:p>
        </w:tc>
      </w:tr>
      <w:tr>
        <w:tc>
          <w:tcPr>
            <w:tcW w:type="dxa" w:w="831"/>
            <w:vMerge/>
          </w:tcPr>
          <w:p/>
        </w:tc>
        <w:tc>
          <w:tcPr>
            <w:tcW w:type="dxa" w:w="1661"/>
          </w:tcPr>
          <w:p>
            <w:pPr>
              <w:pStyle w:val="null3"/>
            </w:pPr>
            <w:r>
              <w:rPr/>
              <w:t>精细管理服务方案</w:t>
            </w:r>
          </w:p>
        </w:tc>
        <w:tc>
          <w:tcPr>
            <w:tcW w:type="dxa" w:w="2492"/>
          </w:tcPr>
          <w:p>
            <w:pPr>
              <w:pStyle w:val="null3"/>
            </w:pPr>
            <w:r>
              <w:rPr/>
              <w:t>提供基于医保业务综合服务终端规范管理的详细、可行的精细管理服务方案，方案完善，合理可行计10分；方案较完善，较合理计8分；方案一般计5分；方案较差计3分；方案不符合项目需求或未提供计0分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企业概况及实施方案</w:t>
            </w:r>
          </w:p>
        </w:tc>
      </w:tr>
      <w:tr>
        <w:tc>
          <w:tcPr>
            <w:tcW w:type="dxa" w:w="831"/>
            <w:vMerge/>
          </w:tcPr>
          <w:p/>
        </w:tc>
        <w:tc>
          <w:tcPr>
            <w:tcW w:type="dxa" w:w="1661"/>
          </w:tcPr>
          <w:p>
            <w:pPr>
              <w:pStyle w:val="null3"/>
            </w:pPr>
            <w:r>
              <w:rPr/>
              <w:t>运维保障方案</w:t>
            </w:r>
          </w:p>
        </w:tc>
        <w:tc>
          <w:tcPr>
            <w:tcW w:type="dxa" w:w="2492"/>
          </w:tcPr>
          <w:p>
            <w:pPr>
              <w:pStyle w:val="null3"/>
            </w:pPr>
            <w:r>
              <w:rPr/>
              <w:t>提供详细、具体、可行的运维保障方案，及紧急情况发生后的应对措施，方案及措施完善，合理可行计5分；方案及措施一般计3分；方案及措施较差计1分，方案不符合项目需求或未提供0分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企业概况及实施方案</w:t>
            </w:r>
          </w:p>
        </w:tc>
      </w:tr>
      <w:tr>
        <w:tc>
          <w:tcPr>
            <w:tcW w:type="dxa" w:w="831"/>
            <w:vMerge/>
          </w:tcPr>
          <w:p/>
        </w:tc>
        <w:tc>
          <w:tcPr>
            <w:tcW w:type="dxa" w:w="1661"/>
          </w:tcPr>
          <w:p>
            <w:pPr>
              <w:pStyle w:val="null3"/>
            </w:pPr>
            <w:r>
              <w:rPr/>
              <w:t>售后服务方案</w:t>
            </w:r>
          </w:p>
        </w:tc>
        <w:tc>
          <w:tcPr>
            <w:tcW w:type="dxa" w:w="2492"/>
          </w:tcPr>
          <w:p>
            <w:pPr>
              <w:pStyle w:val="null3"/>
            </w:pPr>
            <w:r>
              <w:rPr/>
              <w:t>针对本项目制定售后服务方案（包括但不限于服务承诺、技术支持、软件更新和维护方案、故障恢复时效要求、沟通与反馈机制、服务报告等内容等），方案完善，合理可行计6分；方案一般计3分；方案较差计1分；方案不符合项目需求或未提供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企业概况及实施方案</w:t>
            </w:r>
          </w:p>
        </w:tc>
      </w:tr>
      <w:tr>
        <w:tc>
          <w:tcPr>
            <w:tcW w:type="dxa" w:w="831"/>
            <w:vMerge/>
          </w:tcPr>
          <w:p/>
        </w:tc>
        <w:tc>
          <w:tcPr>
            <w:tcW w:type="dxa" w:w="1661"/>
          </w:tcPr>
          <w:p>
            <w:pPr>
              <w:pStyle w:val="null3"/>
            </w:pPr>
            <w:r>
              <w:rPr/>
              <w:t>业绩</w:t>
            </w:r>
          </w:p>
        </w:tc>
        <w:tc>
          <w:tcPr>
            <w:tcW w:type="dxa" w:w="2492"/>
          </w:tcPr>
          <w:p>
            <w:pPr>
              <w:pStyle w:val="null3"/>
            </w:pPr>
            <w:r>
              <w:rPr/>
              <w:t>提供2021年1月1日至今的类似项目业绩（以加盖单位公章的合同复印件为准，时间以合同签订时间为准），每提供一份得3分，满分10分。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企业概况及实施方案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有效供应商最低报价作为基准价得满分，各供应商的报价得分按下列公式计算：（基准价/投标报价）×10%×100分。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投标函</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第6章投标文件格式</w:t>
      </w:r>
    </w:p>
    <w:p>
      <w:pPr>
        <w:pStyle w:val="null3"/>
        <w:outlineLvl w:val="2"/>
      </w:pPr>
      <w:r>
        <w:rPr>
          <w:b/>
          <w:sz w:val="28"/>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详见附件：资格证明文件</w:t>
      </w:r>
    </w:p>
    <w:p>
      <w:pPr>
        <w:pStyle w:val="null3"/>
        <w:ind w:firstLine="960"/>
      </w:pPr>
      <w:r>
        <w:rPr/>
        <w:t>详见附件：企业概况及实施方案</w:t>
      </w:r>
    </w:p>
    <w:p>
      <w:pPr>
        <w:pStyle w:val="null3"/>
      </w:pPr>
      <w:r>
        <w:rPr/>
        <w:t xml:space="preserve"> </w:t>
        <w:br/>
        <w:br w:type="page"/>
      </w:r>
    </w:p>
    <w:p>
      <w:pPr>
        <w:pStyle w:val="null3"/>
        <w:jc w:val="center"/>
        <w:outlineLvl w:val="1"/>
      </w:pPr>
      <w:r>
        <w:rPr>
          <w:b/>
          <w:sz w:val="36"/>
        </w:rPr>
        <w:t>第7章 拟签订采购合同文本</w:t>
      </w:r>
    </w:p>
    <w:p>
      <w:pPr>
        <w:pStyle w:val="null3"/>
      </w:pPr>
      <w:r>
        <w:rPr/>
        <w:t>详见附件：合同主要条款及格式.docx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