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pageBreakBefore/>
        <w:numPr>
          <w:ilvl w:val="0"/>
          <w:numId w:val="0"/>
        </w:numPr>
        <w:spacing w:before="156" w:beforeLines="50" w:after="156" w:afterLines="50"/>
        <w:jc w:val="center"/>
        <w:rPr>
          <w:rFonts w:hint="default" w:ascii="宋体" w:hAnsi="宋体" w:eastAsia="宋体" w:cs="宋体"/>
          <w:lang w:val="en-US" w:eastAsia="zh-CN"/>
        </w:rPr>
      </w:pPr>
      <w:bookmarkStart w:id="0" w:name="_Toc312874209"/>
      <w:r>
        <w:rPr>
          <w:rFonts w:hint="eastAsia" w:ascii="宋体" w:hAnsi="宋体" w:cs="宋体"/>
          <w:lang w:val="en-US" w:eastAsia="zh-CN"/>
        </w:rPr>
        <w:t>合同主要条款及格式</w:t>
      </w:r>
    </w:p>
    <w:bookmarkEnd w:id="0"/>
    <w:p>
      <w:pPr>
        <w:bidi w:val="0"/>
        <w:rPr>
          <w:rFonts w:hint="eastAsia"/>
          <w:lang w:eastAsia="zh-CN"/>
        </w:rPr>
      </w:pPr>
    </w:p>
    <w:p>
      <w:pPr>
        <w:spacing w:line="240" w:lineRule="auto"/>
        <w:ind w:left="0" w:leftChars="0" w:firstLine="0" w:firstLineChars="0"/>
        <w:jc w:val="both"/>
        <w:rPr>
          <w:rFonts w:hint="eastAsia" w:ascii="宋体" w:hAnsi="宋体" w:eastAsia="宋体" w:cs="宋体"/>
          <w:color w:val="auto"/>
          <w:sz w:val="21"/>
          <w:szCs w:val="21"/>
          <w:highlight w:val="none"/>
        </w:rPr>
      </w:pPr>
    </w:p>
    <w:p>
      <w:pPr>
        <w:spacing w:line="560" w:lineRule="exact"/>
        <w:ind w:left="480" w:leftChars="200"/>
        <w:rPr>
          <w:rFonts w:hint="default" w:ascii="宋体" w:hAnsi="宋体" w:eastAsia="宋体" w:cs="宋体"/>
          <w:sz w:val="21"/>
          <w:szCs w:val="21"/>
          <w:lang w:val="en-US" w:eastAsia="zh-CN"/>
        </w:rPr>
      </w:pPr>
      <w:r>
        <w:rPr>
          <w:rFonts w:hint="eastAsia" w:ascii="宋体" w:hAnsi="宋体" w:eastAsia="宋体" w:cs="宋体"/>
          <w:sz w:val="21"/>
          <w:szCs w:val="21"/>
        </w:rPr>
        <w:t>甲方（采购人）：</w:t>
      </w:r>
      <w:r>
        <w:rPr>
          <w:rFonts w:hint="eastAsia" w:ascii="宋体" w:hAnsi="宋体" w:eastAsia="宋体" w:cs="宋体"/>
          <w:sz w:val="21"/>
          <w:szCs w:val="21"/>
          <w:u w:val="single"/>
          <w:lang w:val="en-US" w:eastAsia="zh-CN"/>
        </w:rPr>
        <w:t xml:space="preserve">                                      </w:t>
      </w:r>
    </w:p>
    <w:p>
      <w:pPr>
        <w:spacing w:line="560" w:lineRule="exact"/>
        <w:ind w:left="480" w:leftChars="200"/>
        <w:rPr>
          <w:rFonts w:hint="eastAsia" w:ascii="宋体" w:hAnsi="宋体" w:eastAsia="宋体" w:cs="宋体"/>
          <w:sz w:val="21"/>
          <w:szCs w:val="21"/>
        </w:rPr>
      </w:pPr>
      <w:r>
        <w:rPr>
          <w:rFonts w:hint="eastAsia" w:ascii="宋体" w:hAnsi="宋体" w:eastAsia="宋体" w:cs="宋体"/>
          <w:sz w:val="21"/>
          <w:szCs w:val="21"/>
        </w:rPr>
        <w:t>甲方住所：</w:t>
      </w:r>
      <w:r>
        <w:rPr>
          <w:rFonts w:hint="eastAsia" w:ascii="宋体" w:hAnsi="宋体" w:eastAsia="宋体" w:cs="宋体"/>
          <w:sz w:val="21"/>
          <w:szCs w:val="21"/>
          <w:u w:val="single"/>
          <w:lang w:val="en-US" w:eastAsia="zh-CN"/>
        </w:rPr>
        <w:t xml:space="preserve">                                            </w:t>
      </w:r>
    </w:p>
    <w:p>
      <w:pPr>
        <w:spacing w:line="560" w:lineRule="exact"/>
        <w:ind w:left="480" w:leftChars="200"/>
        <w:rPr>
          <w:rFonts w:hint="eastAsia" w:ascii="宋体" w:hAnsi="宋体" w:eastAsia="宋体" w:cs="宋体"/>
          <w:sz w:val="21"/>
          <w:szCs w:val="21"/>
        </w:rPr>
      </w:pPr>
      <w:r>
        <w:rPr>
          <w:rFonts w:hint="eastAsia" w:ascii="宋体" w:hAnsi="宋体" w:eastAsia="宋体" w:cs="宋体"/>
          <w:sz w:val="21"/>
          <w:szCs w:val="21"/>
        </w:rPr>
        <w:t>乙方（中标供应商）：</w:t>
      </w:r>
      <w:r>
        <w:rPr>
          <w:rFonts w:hint="eastAsia" w:ascii="宋体" w:hAnsi="宋体" w:eastAsia="宋体" w:cs="宋体"/>
          <w:sz w:val="21"/>
          <w:szCs w:val="21"/>
          <w:u w:val="single"/>
          <w:lang w:val="en-US" w:eastAsia="zh-CN"/>
        </w:rPr>
        <w:t xml:space="preserve">                                  </w:t>
      </w:r>
    </w:p>
    <w:p>
      <w:pPr>
        <w:spacing w:line="560" w:lineRule="exact"/>
        <w:ind w:left="480" w:leftChars="200"/>
        <w:rPr>
          <w:rFonts w:hint="default" w:ascii="宋体" w:hAnsi="宋体" w:eastAsia="宋体" w:cs="宋体"/>
          <w:sz w:val="21"/>
          <w:szCs w:val="21"/>
          <w:lang w:val="en-US"/>
        </w:rPr>
      </w:pPr>
      <w:r>
        <w:rPr>
          <w:rFonts w:hint="eastAsia" w:ascii="宋体" w:hAnsi="宋体" w:eastAsia="宋体" w:cs="宋体"/>
          <w:sz w:val="21"/>
          <w:szCs w:val="21"/>
        </w:rPr>
        <w:t>乙方住所：</w:t>
      </w:r>
      <w:r>
        <w:rPr>
          <w:rFonts w:hint="eastAsia" w:ascii="宋体" w:hAnsi="宋体" w:eastAsia="宋体" w:cs="宋体"/>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根据《中华人民共和国政府采购法》及实施条例、《中华人民共和国民法典》和</w:t>
      </w:r>
      <w:r>
        <w:rPr>
          <w:rFonts w:hint="eastAsia" w:ascii="宋体" w:hAnsi="宋体" w:cs="宋体"/>
          <w:sz w:val="21"/>
          <w:szCs w:val="21"/>
          <w:u w:val="single"/>
          <w:lang w:eastAsia="zh-CN"/>
        </w:rPr>
        <w:t>（</w:t>
      </w:r>
      <w:r>
        <w:rPr>
          <w:rFonts w:hint="eastAsia" w:ascii="宋体" w:hAnsi="宋体" w:eastAsia="宋体" w:cs="宋体"/>
          <w:sz w:val="21"/>
          <w:szCs w:val="21"/>
          <w:u w:val="single"/>
        </w:rPr>
        <w:t>项目名称</w:t>
      </w:r>
      <w:r>
        <w:rPr>
          <w:rFonts w:hint="eastAsia" w:ascii="宋体" w:hAnsi="宋体" w:cs="宋体"/>
          <w:sz w:val="21"/>
          <w:szCs w:val="21"/>
          <w:u w:val="single"/>
          <w:lang w:eastAsia="zh-CN"/>
        </w:rPr>
        <w:t>）</w:t>
      </w:r>
      <w:r>
        <w:rPr>
          <w:rFonts w:hint="eastAsia" w:ascii="宋体" w:hAnsi="宋体" w:eastAsia="宋体" w:cs="宋体"/>
          <w:sz w:val="21"/>
          <w:szCs w:val="21"/>
          <w:u w:val="single"/>
        </w:rPr>
        <w:t>（项目编号）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的招标文件、投标文件等有关规定，为确保甲方采购项目的顺利实施，甲、乙双方在平等自愿原则下签订本合同，并共同遵守如下条款：</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1" w:name="_Toc27385"/>
      <w:r>
        <w:rPr>
          <w:rFonts w:hint="eastAsia" w:ascii="宋体" w:hAnsi="宋体" w:eastAsia="宋体" w:cs="宋体"/>
          <w:b/>
          <w:bCs/>
          <w:sz w:val="24"/>
          <w:szCs w:val="24"/>
        </w:rPr>
        <w:t>第一条  项目基本情况</w:t>
      </w:r>
      <w:bookmarkEnd w:id="1"/>
    </w:p>
    <w:p>
      <w:pPr>
        <w:keepNext w:val="0"/>
        <w:keepLines w:val="0"/>
        <w:pageBreakBefore w:val="0"/>
        <w:widowControl/>
        <w:kinsoku/>
        <w:wordWrap/>
        <w:overflowPunct/>
        <w:topLinePunct w:val="0"/>
        <w:autoSpaceDE/>
        <w:autoSpaceDN/>
        <w:bidi w:val="0"/>
        <w:adjustRightInd/>
        <w:snapToGrid/>
        <w:spacing w:line="312" w:lineRule="auto"/>
        <w:ind w:firstLine="630" w:firstLineChars="3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1．采购标的：</w:t>
      </w:r>
      <w:r>
        <w:rPr>
          <w:rFonts w:hint="eastAsia" w:ascii="宋体" w:hAnsi="宋体" w:cs="宋体"/>
          <w:sz w:val="21"/>
          <w:szCs w:val="21"/>
          <w:lang w:eastAsia="zh-CN"/>
        </w:rPr>
        <w:t>陕西省医疗保障信息平台</w:t>
      </w:r>
      <w:r>
        <w:rPr>
          <w:rFonts w:hint="eastAsia" w:ascii="宋体" w:hAnsi="宋体" w:eastAsia="宋体" w:cs="宋体"/>
          <w:sz w:val="21"/>
          <w:szCs w:val="21"/>
          <w:lang w:eastAsia="zh-CN"/>
        </w:rPr>
        <w:t>深化医保电子凭证全流程应用服务项目</w:t>
      </w:r>
    </w:p>
    <w:p>
      <w:pPr>
        <w:keepNext w:val="0"/>
        <w:keepLines w:val="0"/>
        <w:pageBreakBefore w:val="0"/>
        <w:widowControl/>
        <w:kinsoku/>
        <w:wordWrap/>
        <w:overflowPunct/>
        <w:topLinePunct w:val="0"/>
        <w:autoSpaceDE/>
        <w:autoSpaceDN/>
        <w:bidi w:val="0"/>
        <w:adjustRightInd/>
        <w:snapToGrid/>
        <w:spacing w:line="312" w:lineRule="auto"/>
        <w:ind w:firstLine="630" w:firstLineChars="3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2．数量：</w:t>
      </w:r>
      <w:r>
        <w:rPr>
          <w:rFonts w:hint="eastAsia" w:ascii="宋体" w:hAnsi="宋体" w:cs="宋体"/>
          <w:sz w:val="21"/>
          <w:szCs w:val="21"/>
          <w:lang w:val="en-US" w:eastAsia="zh-CN"/>
        </w:rPr>
        <w:t>1</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pPr>
      <w:bookmarkStart w:id="2" w:name="_Toc32367"/>
      <w:r>
        <w:rPr>
          <w:rFonts w:hint="eastAsia" w:ascii="宋体" w:hAnsi="宋体" w:eastAsia="宋体" w:cs="宋体"/>
          <w:b/>
          <w:bCs/>
          <w:sz w:val="24"/>
          <w:szCs w:val="24"/>
        </w:rPr>
        <w:t>第二条  履约期限、地点及方式</w:t>
      </w:r>
      <w:bookmarkEnd w:id="2"/>
    </w:p>
    <w:p>
      <w:pPr>
        <w:keepNext w:val="0"/>
        <w:keepLines w:val="0"/>
        <w:pageBreakBefore w:val="0"/>
        <w:widowControl/>
        <w:kinsoku/>
        <w:wordWrap/>
        <w:overflowPunct/>
        <w:topLinePunct w:val="0"/>
        <w:autoSpaceDE/>
        <w:autoSpaceDN/>
        <w:bidi w:val="0"/>
        <w:adjustRightInd/>
        <w:snapToGrid/>
        <w:spacing w:line="312" w:lineRule="auto"/>
        <w:ind w:firstLine="630" w:firstLineChars="300"/>
        <w:jc w:val="left"/>
        <w:textAlignment w:val="auto"/>
        <w:rPr>
          <w:rFonts w:hint="eastAsia" w:ascii="宋体" w:hAnsi="宋体" w:eastAsia="宋体" w:cs="宋体"/>
          <w:sz w:val="21"/>
          <w:szCs w:val="21"/>
        </w:rPr>
      </w:pPr>
      <w:r>
        <w:rPr>
          <w:rFonts w:hint="eastAsia" w:ascii="宋体" w:hAnsi="宋体" w:eastAsia="宋体" w:cs="宋体"/>
          <w:sz w:val="21"/>
          <w:szCs w:val="21"/>
        </w:rPr>
        <w:t>1．履约期限：自合同签订之日起</w:t>
      </w:r>
      <w:r>
        <w:rPr>
          <w:rFonts w:hint="eastAsia" w:ascii="宋体" w:hAnsi="宋体" w:eastAsia="宋体" w:cs="宋体"/>
          <w:sz w:val="21"/>
          <w:szCs w:val="21"/>
          <w:u w:val="single"/>
          <w:lang w:val="en-US" w:eastAsia="zh-CN"/>
        </w:rPr>
        <w:t xml:space="preserve">  365  </w:t>
      </w:r>
      <w:r>
        <w:rPr>
          <w:rFonts w:hint="eastAsia" w:ascii="宋体" w:hAnsi="宋体" w:eastAsia="宋体" w:cs="宋体"/>
          <w:sz w:val="21"/>
          <w:szCs w:val="21"/>
        </w:rPr>
        <w:t>个日历日内。</w:t>
      </w:r>
    </w:p>
    <w:p>
      <w:pPr>
        <w:keepNext w:val="0"/>
        <w:keepLines w:val="0"/>
        <w:pageBreakBefore w:val="0"/>
        <w:widowControl/>
        <w:kinsoku/>
        <w:wordWrap/>
        <w:overflowPunct/>
        <w:topLinePunct w:val="0"/>
        <w:autoSpaceDE/>
        <w:autoSpaceDN/>
        <w:bidi w:val="0"/>
        <w:adjustRightInd/>
        <w:snapToGrid/>
        <w:spacing w:line="312" w:lineRule="auto"/>
        <w:ind w:firstLine="630" w:firstLineChars="30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2．履约地点：</w:t>
      </w:r>
      <w:r>
        <w:rPr>
          <w:rFonts w:hint="eastAsia" w:ascii="宋体" w:hAnsi="宋体" w:cs="宋体"/>
          <w:sz w:val="21"/>
          <w:szCs w:val="21"/>
          <w:u w:val="single"/>
          <w:lang w:val="en-US" w:eastAsia="zh-CN"/>
        </w:rPr>
        <w:t xml:space="preserve">    陕西省医疗保障技术服务中心    </w:t>
      </w:r>
    </w:p>
    <w:p>
      <w:pPr>
        <w:keepNext w:val="0"/>
        <w:keepLines w:val="0"/>
        <w:pageBreakBefore w:val="0"/>
        <w:widowControl/>
        <w:kinsoku/>
        <w:wordWrap/>
        <w:overflowPunct/>
        <w:topLinePunct w:val="0"/>
        <w:autoSpaceDE/>
        <w:autoSpaceDN/>
        <w:bidi w:val="0"/>
        <w:adjustRightInd/>
        <w:snapToGrid/>
        <w:spacing w:line="312" w:lineRule="auto"/>
        <w:ind w:firstLine="630" w:firstLineChars="300"/>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rPr>
        <w:t>3．履约方式：</w:t>
      </w:r>
      <w:r>
        <w:rPr>
          <w:rFonts w:hint="eastAsia" w:ascii="宋体" w:hAnsi="宋体" w:cs="宋体"/>
          <w:sz w:val="21"/>
          <w:szCs w:val="21"/>
          <w:u w:val="single"/>
          <w:lang w:val="en-US" w:eastAsia="zh-CN"/>
        </w:rPr>
        <w:t xml:space="preserve">                </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3" w:name="_Toc1053"/>
      <w:r>
        <w:rPr>
          <w:rFonts w:hint="eastAsia" w:ascii="宋体" w:hAnsi="宋体" w:eastAsia="宋体" w:cs="宋体"/>
          <w:b/>
          <w:bCs/>
          <w:sz w:val="24"/>
          <w:szCs w:val="24"/>
        </w:rPr>
        <w:t>第三条  质量标准</w:t>
      </w:r>
      <w:bookmarkEnd w:id="3"/>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整个项目应符合国家有关行业规范和标准</w:t>
      </w:r>
      <w:r>
        <w:rPr>
          <w:rFonts w:hint="eastAsia" w:ascii="宋体" w:hAnsi="宋体" w:cs="宋体"/>
          <w:sz w:val="21"/>
          <w:szCs w:val="21"/>
          <w:lang w:eastAsia="zh-CN"/>
        </w:rPr>
        <w:t>。</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4" w:name="_Toc25425"/>
      <w:r>
        <w:rPr>
          <w:rFonts w:hint="eastAsia" w:ascii="宋体" w:hAnsi="宋体" w:eastAsia="宋体" w:cs="宋体"/>
          <w:b/>
          <w:bCs/>
          <w:sz w:val="24"/>
          <w:szCs w:val="24"/>
        </w:rPr>
        <w:t>第四条  合同价款及支付方式</w:t>
      </w:r>
      <w:bookmarkEnd w:id="4"/>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1．合同价款包括：</w:t>
      </w:r>
      <w:r>
        <w:rPr>
          <w:rFonts w:hint="eastAsia" w:ascii="宋体" w:hAnsi="宋体" w:eastAsia="宋体" w:cs="宋体"/>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2．支付方式：</w:t>
      </w:r>
      <w:r>
        <w:rPr>
          <w:rFonts w:hint="eastAsia" w:ascii="宋体" w:hAnsi="宋体" w:eastAsia="宋体" w:cs="宋体"/>
          <w:sz w:val="21"/>
          <w:szCs w:val="21"/>
          <w:u w:val="single"/>
          <w:lang w:val="en-US" w:eastAsia="zh-CN"/>
        </w:rPr>
        <w:t xml:space="preserve"> 签订合同后，达到付款条件起30日内，支付合同总金额的30.00%。</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服务期满6个月，并符合服务考核要求，达到付款条件起30日内，支付合同总金额的30.00%。</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服务期满9个月，并符合服务考核要求，达到付款条件起30日内，支付合同总金额的30.00%。</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服务期满12个月，并符合服务考核要求，达到付款条件起30日内，支付合同总金额的10.00%。</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3．结算方式：银行转账。</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4．结算单位：由甲方负责结算，乙方须向甲方出具合法有效的完税发票，甲方进行支付结算。</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5" w:name="_Toc9136"/>
      <w:r>
        <w:rPr>
          <w:rFonts w:hint="eastAsia" w:ascii="宋体" w:hAnsi="宋体" w:eastAsia="宋体" w:cs="宋体"/>
          <w:b/>
          <w:bCs/>
          <w:sz w:val="24"/>
          <w:szCs w:val="24"/>
        </w:rPr>
        <w:t>第五条  验收标准及条件</w:t>
      </w:r>
      <w:bookmarkEnd w:id="5"/>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1．初步验收：</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服务期满6个月，并符合服务考核要求</w:t>
      </w:r>
      <w:r>
        <w:rPr>
          <w:rFonts w:hint="eastAsia" w:ascii="宋体" w:hAnsi="宋体" w:eastAsia="宋体" w:cs="宋体"/>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2．最终验收：</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服务期满12个月，并符合服务考核要求</w:t>
      </w:r>
      <w:r>
        <w:rPr>
          <w:rFonts w:hint="eastAsia" w:ascii="宋体" w:hAnsi="宋体" w:eastAsia="宋体" w:cs="宋体"/>
          <w:sz w:val="21"/>
          <w:szCs w:val="21"/>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3．验收依据：</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（1）招标文件、投标文件、澄清表（函）；</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（2）本合同及附件文本；</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（3）合同签订时国家及行业现行的标准和技术规范。</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4．中标供应商应向采购人提交项目实施过程中的所有资料，以便采购人日后管理和维护。</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6" w:name="_Toc31887"/>
      <w:r>
        <w:rPr>
          <w:rFonts w:hint="eastAsia" w:ascii="宋体" w:hAnsi="宋体" w:eastAsia="宋体" w:cs="宋体"/>
          <w:b/>
          <w:bCs/>
          <w:sz w:val="24"/>
          <w:szCs w:val="24"/>
        </w:rPr>
        <w:t>第六条  知识产权（若有）</w:t>
      </w:r>
      <w:bookmarkEnd w:id="6"/>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乙方应保证所提供的服务或其任何一部分均不会侵犯任何第三方的专利权、商标权或著作权。</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pPr>
      <w:bookmarkStart w:id="7" w:name="_Toc18480"/>
      <w:r>
        <w:rPr>
          <w:rFonts w:hint="eastAsia" w:ascii="宋体" w:hAnsi="宋体" w:eastAsia="宋体" w:cs="宋体"/>
          <w:b/>
          <w:bCs/>
          <w:sz w:val="24"/>
          <w:szCs w:val="24"/>
        </w:rPr>
        <w:t>第七条  无产权瑕疵条款（若有）</w:t>
      </w:r>
      <w:bookmarkEnd w:id="7"/>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ascii="仿宋" w:hAnsi="仿宋" w:eastAsia="仿宋"/>
          <w:sz w:val="32"/>
          <w:szCs w:val="32"/>
        </w:rPr>
      </w:pPr>
      <w:r>
        <w:rPr>
          <w:rFonts w:hint="eastAsia" w:ascii="宋体" w:hAnsi="宋体" w:eastAsia="宋体" w:cs="宋体"/>
          <w:sz w:val="21"/>
          <w:szCs w:val="21"/>
        </w:rPr>
        <w:t>乙方保证所提供的服务的所有权完全属于乙方且无任何抵押、查封等产权瑕疵。如有产权瑕疵的，视为乙方违约。乙方应负担由此而产生的一切损失。</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8" w:name="_Toc13825"/>
      <w:r>
        <w:rPr>
          <w:rFonts w:hint="eastAsia" w:ascii="宋体" w:hAnsi="宋体" w:eastAsia="宋体" w:cs="宋体"/>
          <w:b/>
          <w:bCs/>
          <w:sz w:val="24"/>
          <w:szCs w:val="24"/>
        </w:rPr>
        <w:t>第八条  履约保证金（若有）</w:t>
      </w:r>
      <w:bookmarkEnd w:id="8"/>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1．乙方在签订本合同之前，向甲方构提交履约保证金人民币</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元，￥</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2．履约保证金的有效期为乙方承诺的服务期限。</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3．履约保证金作为违约金的一部分及用于补偿甲方因乙方不能履行合同义务而蒙受的损失。</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4．服务期限结束后，甲方财务部门接到甲方确认本合同服务等约定事项已经履行完毕的正式书面文件后的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日历日内，向乙方退还履约保证金。</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5．乙方可以履约担保函的形式交纳履约保证金。</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9" w:name="_Toc16413"/>
      <w:r>
        <w:rPr>
          <w:rFonts w:hint="eastAsia" w:ascii="宋体" w:hAnsi="宋体" w:eastAsia="宋体" w:cs="宋体"/>
          <w:b/>
          <w:bCs/>
          <w:sz w:val="24"/>
          <w:szCs w:val="24"/>
        </w:rPr>
        <w:t>第九条  双方的权利和义务</w:t>
      </w:r>
      <w:bookmarkEnd w:id="9"/>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10" w:name="_Toc5646"/>
      <w:r>
        <w:rPr>
          <w:rFonts w:hint="eastAsia" w:ascii="宋体" w:hAnsi="宋体" w:eastAsia="宋体" w:cs="宋体"/>
          <w:b/>
          <w:bCs/>
          <w:sz w:val="24"/>
          <w:szCs w:val="24"/>
        </w:rPr>
        <w:t>（一）甲方的权利和义务</w:t>
      </w:r>
      <w:bookmarkEnd w:id="10"/>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2．甲方有权依据双方签订的考评办法对乙方提供的服务进行定期考评。</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3．负责检查监督乙方管理工作的实施及制度的执行情况。</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4．根据本合同规定，按时向乙方支付应付服务费用。</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5．验收应在甲方和乙方双方共同参加下进行。甲方组成验收小组按国家有关规定、规范进行验收，验收时将会邀请相关的专业人员或机构参与验收。</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6．国家法律、法规所规定由甲方承担的其它责任。</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11" w:name="_Toc10913"/>
      <w:r>
        <w:rPr>
          <w:rFonts w:hint="eastAsia" w:ascii="宋体" w:hAnsi="宋体" w:eastAsia="宋体" w:cs="宋体"/>
          <w:b/>
          <w:bCs/>
          <w:sz w:val="24"/>
          <w:szCs w:val="24"/>
        </w:rPr>
        <w:t>（二）乙方的权利和义务</w:t>
      </w:r>
      <w:bookmarkEnd w:id="11"/>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1．对本合同规定的委托服务范围内的项目享有管理权及服务义务。</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2．根据本合同的规定向甲方收取相关服务费用，并有权在本项目管理范围内管理及合理使用。</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3．及时向甲方通告本项目服务范围内有关服务的重大事项，及时配合处理投诉。</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4．接受项目行业管理部门及政府有关部门的指导，接受甲方的监督。</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5．国家法律、法规所规定由乙方承担的其它责任。</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12" w:name="_Toc4132"/>
      <w:r>
        <w:rPr>
          <w:rFonts w:hint="eastAsia" w:ascii="宋体" w:hAnsi="宋体" w:eastAsia="宋体" w:cs="宋体"/>
          <w:b/>
          <w:bCs/>
          <w:sz w:val="24"/>
          <w:szCs w:val="24"/>
        </w:rPr>
        <w:t>第十条  违约责任</w:t>
      </w:r>
      <w:bookmarkEnd w:id="12"/>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1．甲乙双方必须遵守本合同并执行合同中的各项规定，保证本合同的正常履行。</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pPr>
      <w:bookmarkStart w:id="13" w:name="_Toc665"/>
      <w:r>
        <w:rPr>
          <w:rFonts w:hint="eastAsia" w:ascii="宋体" w:hAnsi="宋体" w:eastAsia="宋体" w:cs="宋体"/>
          <w:b/>
          <w:bCs/>
          <w:sz w:val="24"/>
          <w:szCs w:val="24"/>
        </w:rPr>
        <w:t>第十一条  不可抗力事件处理</w:t>
      </w:r>
      <w:bookmarkEnd w:id="13"/>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1．在合同有效期内，任何一方因不可抗力事件导致不能履行合同，则合同履行期可延长，其延长期与不可抗力影响期相同。</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2．不可抗力事件发生后，应立即通知对方，并寄送有关权威机构出具的证明。</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3．不可抗力事件延续15个日历日以上，双方应通过友好协商，确定是否继续履行合同。</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pPr>
      <w:bookmarkStart w:id="14" w:name="_Toc23600"/>
      <w:r>
        <w:rPr>
          <w:rFonts w:hint="eastAsia" w:ascii="宋体" w:hAnsi="宋体" w:eastAsia="宋体" w:cs="宋体"/>
          <w:b/>
          <w:bCs/>
          <w:sz w:val="24"/>
          <w:szCs w:val="24"/>
        </w:rPr>
        <w:t>第十二条  合同的变更和终止</w:t>
      </w:r>
      <w:bookmarkEnd w:id="14"/>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除《中华人民共和国政府采购法》第49条、第50条第二款规定的情形外，本合同一经签订，甲乙双方不得擅自变更、中止或终止合同。</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15" w:name="_Toc11959"/>
      <w:r>
        <w:rPr>
          <w:rFonts w:hint="eastAsia" w:ascii="宋体" w:hAnsi="宋体" w:eastAsia="宋体" w:cs="宋体"/>
          <w:b/>
          <w:bCs/>
          <w:sz w:val="24"/>
          <w:szCs w:val="24"/>
        </w:rPr>
        <w:t>第十三条  解决合同纠纷的方式</w:t>
      </w:r>
      <w:bookmarkEnd w:id="15"/>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1．在执行本合同中发生的或与本合同有关的争端，双方应通过友好协商解决，经协商在</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天内不能达成协议时，则采取以下第</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种方式解决争议：</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（1）向甲方所在地有管辖权的人民法院提起诉讼；</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（2）向西安仲裁委员会按其仲裁规则申请仲裁。</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ascii="仿宋" w:hAnsi="仿宋" w:eastAsia="仿宋"/>
          <w:sz w:val="32"/>
          <w:szCs w:val="32"/>
        </w:rPr>
      </w:pPr>
      <w:r>
        <w:rPr>
          <w:rFonts w:hint="eastAsia" w:ascii="宋体" w:hAnsi="宋体" w:eastAsia="宋体" w:cs="宋体"/>
          <w:sz w:val="21"/>
          <w:szCs w:val="21"/>
        </w:rPr>
        <w:t>2．在仲裁期间，本合同应继续履行。</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16" w:name="_Toc686"/>
      <w:r>
        <w:rPr>
          <w:rFonts w:hint="eastAsia" w:ascii="宋体" w:hAnsi="宋体" w:eastAsia="宋体" w:cs="宋体"/>
          <w:b/>
          <w:bCs/>
          <w:sz w:val="24"/>
          <w:szCs w:val="24"/>
        </w:rPr>
        <w:t>第十四条  合同生效及其他</w:t>
      </w:r>
      <w:bookmarkEnd w:id="16"/>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1．合同经双方法定代表人（单位负责人）或授权委托代理人签名并加盖单位公章并由采购代理机构盖章后生效。</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3．本合同一式陆份，自双方签章之日起起效。甲方贰份，乙方贰份，政府采购代理机构壹份，同级财政部门备案壹份，具有同等法律效力。</w:t>
      </w:r>
    </w:p>
    <w:p>
      <w:pPr>
        <w:pStyle w:val="3"/>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宋体" w:hAnsi="宋体" w:eastAsia="宋体" w:cs="宋体"/>
          <w:b/>
          <w:bCs/>
          <w:sz w:val="24"/>
          <w:szCs w:val="24"/>
        </w:rPr>
      </w:pPr>
      <w:bookmarkStart w:id="17" w:name="_Toc10193"/>
      <w:r>
        <w:rPr>
          <w:rFonts w:hint="eastAsia" w:ascii="宋体" w:hAnsi="宋体" w:eastAsia="宋体" w:cs="宋体"/>
          <w:b/>
          <w:bCs/>
          <w:sz w:val="24"/>
          <w:szCs w:val="24"/>
        </w:rPr>
        <w:t>第十五条  附件</w:t>
      </w:r>
      <w:bookmarkEnd w:id="17"/>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1．项目招标文件</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2．项目修改澄清文件</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3．项目投标文件</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4．成交通知书</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5．其他</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（以下无正文）</w:t>
      </w:r>
      <w:bookmarkStart w:id="18" w:name="_GoBack"/>
      <w:bookmarkEnd w:id="18"/>
    </w:p>
    <w:p>
      <w:pPr>
        <w:spacing w:line="240" w:lineRule="auto"/>
        <w:ind w:left="0" w:leftChars="0" w:firstLine="0" w:firstLineChars="0"/>
        <w:jc w:val="both"/>
        <w:rPr>
          <w:rFonts w:hint="eastAsia" w:ascii="宋体" w:hAnsi="宋体" w:eastAsia="宋体" w:cs="宋体"/>
          <w:color w:val="auto"/>
          <w:sz w:val="21"/>
          <w:szCs w:val="21"/>
          <w:highlight w:val="none"/>
        </w:rPr>
      </w:pPr>
    </w:p>
    <w:p>
      <w:pPr>
        <w:spacing w:line="240" w:lineRule="auto"/>
        <w:ind w:left="0" w:leftChars="0" w:firstLine="0" w:firstLineChars="0"/>
        <w:jc w:val="both"/>
        <w:rPr>
          <w:rFonts w:hint="eastAsia" w:ascii="宋体" w:hAnsi="宋体" w:eastAsia="宋体" w:cs="宋体"/>
          <w:color w:val="auto"/>
          <w:sz w:val="21"/>
          <w:szCs w:val="21"/>
          <w:highlight w:val="none"/>
        </w:rPr>
      </w:pPr>
    </w:p>
    <w:tbl>
      <w:tblPr>
        <w:tblStyle w:val="10"/>
        <w:tblW w:w="88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62"/>
        <w:gridCol w:w="2672"/>
        <w:gridCol w:w="1762"/>
        <w:gridCol w:w="2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1644" w:type="dxa"/>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甲方</w:t>
            </w:r>
          </w:p>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p>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银行帐号：</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银行帐号：</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2494" w:type="dxa"/>
            <w:vAlign w:val="center"/>
          </w:tcPr>
          <w:p>
            <w:pPr>
              <w:spacing w:line="240" w:lineRule="auto"/>
              <w:jc w:val="left"/>
              <w:rPr>
                <w:rFonts w:hint="eastAsia" w:ascii="宋体" w:hAnsi="宋体" w:eastAsia="宋体" w:cs="宋体"/>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签约日期：</w:t>
            </w:r>
          </w:p>
        </w:tc>
        <w:tc>
          <w:tcPr>
            <w:tcW w:w="2494" w:type="dxa"/>
            <w:vAlign w:val="center"/>
          </w:tcPr>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p>
        </w:tc>
        <w:tc>
          <w:tcPr>
            <w:tcW w:w="1644" w:type="dxa"/>
            <w:vAlign w:val="center"/>
          </w:tcPr>
          <w:p>
            <w:pPr>
              <w:spacing w:line="24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签约日期：</w:t>
            </w:r>
          </w:p>
        </w:tc>
        <w:tc>
          <w:tcPr>
            <w:tcW w:w="2494" w:type="dxa"/>
            <w:vAlign w:val="center"/>
          </w:tcPr>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p>
        </w:tc>
      </w:tr>
    </w:tbl>
    <w:p>
      <w:pPr>
        <w:rPr>
          <w:rFonts w:hint="eastAsia"/>
          <w:color w:val="auto"/>
          <w:highlight w:val="none"/>
        </w:rPr>
      </w:pPr>
    </w:p>
    <w:p>
      <w:pPr>
        <w:rPr>
          <w:rFonts w:hint="eastAsia"/>
          <w:color w:val="auto"/>
          <w:highlight w:val="none"/>
        </w:rPr>
      </w:pPr>
    </w:p>
    <w:p>
      <w:pPr>
        <w:pStyle w:val="7"/>
        <w:jc w:val="both"/>
        <w:rPr>
          <w:rFonts w:hint="eastAsia"/>
          <w:lang w:eastAsia="zh-CN"/>
        </w:rPr>
      </w:pPr>
    </w:p>
    <w:sectPr>
      <w:pgSz w:w="11906" w:h="16838"/>
      <w:pgMar w:top="1440" w:right="1417" w:bottom="1440" w:left="1701"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6"/>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NGU2ZWUyYjg2YzBjNTBkYzdkZmRlY2Y3NjY3OTEifQ=="/>
  </w:docVars>
  <w:rsids>
    <w:rsidRoot w:val="00000000"/>
    <w:rsid w:val="07311EA7"/>
    <w:rsid w:val="0B027896"/>
    <w:rsid w:val="0F095A65"/>
    <w:rsid w:val="17BE03C2"/>
    <w:rsid w:val="1AD773C8"/>
    <w:rsid w:val="1F402790"/>
    <w:rsid w:val="222952EC"/>
    <w:rsid w:val="2325220A"/>
    <w:rsid w:val="257B50F3"/>
    <w:rsid w:val="262E3811"/>
    <w:rsid w:val="27AC6A1D"/>
    <w:rsid w:val="2B6F2364"/>
    <w:rsid w:val="2C7A67BA"/>
    <w:rsid w:val="36846B3D"/>
    <w:rsid w:val="3A117642"/>
    <w:rsid w:val="3B620744"/>
    <w:rsid w:val="3B8A12C0"/>
    <w:rsid w:val="3CFE317F"/>
    <w:rsid w:val="403F6499"/>
    <w:rsid w:val="422D2F86"/>
    <w:rsid w:val="475E295D"/>
    <w:rsid w:val="4F9D0E95"/>
    <w:rsid w:val="5351285A"/>
    <w:rsid w:val="565D29E6"/>
    <w:rsid w:val="5B3B5D7A"/>
    <w:rsid w:val="5DB16BCF"/>
    <w:rsid w:val="628473ED"/>
    <w:rsid w:val="67053625"/>
    <w:rsid w:val="67782AE9"/>
    <w:rsid w:val="698559F6"/>
    <w:rsid w:val="79B55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643" w:firstLineChars="200"/>
      <w:jc w:val="left"/>
    </w:pPr>
    <w:rPr>
      <w:rFonts w:ascii="Times New Roman" w:hAnsi="Times New Roman" w:eastAsia="宋体" w:cs="Times New Roman"/>
      <w:kern w:val="2"/>
      <w:sz w:val="24"/>
      <w:szCs w:val="21"/>
      <w:lang w:val="en-US" w:eastAsia="zh-CN" w:bidi="ar-SA"/>
    </w:rPr>
  </w:style>
  <w:style w:type="paragraph" w:styleId="2">
    <w:name w:val="heading 1"/>
    <w:basedOn w:val="1"/>
    <w:next w:val="1"/>
    <w:autoRedefine/>
    <w:qFormat/>
    <w:uiPriority w:val="99"/>
    <w:pPr>
      <w:keepNext/>
      <w:keepLines/>
      <w:spacing w:line="360" w:lineRule="auto"/>
      <w:outlineLvl w:val="0"/>
    </w:pPr>
    <w:rPr>
      <w:b/>
      <w:bCs/>
      <w:kern w:val="44"/>
      <w:sz w:val="32"/>
      <w:szCs w:val="32"/>
    </w:rPr>
  </w:style>
  <w:style w:type="paragraph" w:styleId="3">
    <w:name w:val="heading 2"/>
    <w:basedOn w:val="1"/>
    <w:next w:val="1"/>
    <w:autoRedefine/>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paragraph" w:styleId="4">
    <w:name w:val="heading 3"/>
    <w:basedOn w:val="5"/>
    <w:next w:val="1"/>
    <w:link w:val="12"/>
    <w:autoRedefine/>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6">
    <w:name w:val="heading 5"/>
    <w:basedOn w:val="1"/>
    <w:next w:val="1"/>
    <w:autoRedefine/>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11">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Title"/>
    <w:basedOn w:val="1"/>
    <w:autoRedefine/>
    <w:qFormat/>
    <w:uiPriority w:val="0"/>
    <w:pPr>
      <w:spacing w:before="240" w:beforeLines="0" w:beforeAutospacing="0" w:after="60" w:afterLines="0" w:afterAutospacing="0"/>
      <w:jc w:val="center"/>
      <w:outlineLvl w:val="0"/>
    </w:pPr>
    <w:rPr>
      <w:rFonts w:ascii="Arial" w:hAnsi="Arial"/>
      <w:b/>
      <w:sz w:val="32"/>
    </w:rPr>
  </w:style>
  <w:style w:type="paragraph" w:styleId="7">
    <w:name w:val="Body Text"/>
    <w:basedOn w:val="1"/>
    <w:next w:val="1"/>
    <w:autoRedefine/>
    <w:qFormat/>
    <w:uiPriority w:val="99"/>
    <w:pPr>
      <w:jc w:val="center"/>
    </w:pPr>
  </w:style>
  <w:style w:type="paragraph" w:styleId="8">
    <w:name w:val="footer"/>
    <w:basedOn w:val="1"/>
    <w:autoRedefine/>
    <w:qFormat/>
    <w:uiPriority w:val="99"/>
    <w:pPr>
      <w:tabs>
        <w:tab w:val="center" w:pos="4153"/>
        <w:tab w:val="right" w:pos="8306"/>
      </w:tabs>
      <w:snapToGrid w:val="0"/>
      <w:jc w:val="left"/>
    </w:pPr>
    <w:rPr>
      <w:sz w:val="18"/>
      <w:szCs w:val="18"/>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字符"/>
    <w:basedOn w:val="11"/>
    <w:link w:val="4"/>
    <w:autoRedefine/>
    <w:qFormat/>
    <w:uiPriority w:val="9"/>
    <w:rPr>
      <w:rFonts w:ascii="方正小标宋_GBK" w:hAnsi="方正小标宋_GBK" w:eastAsia="宋体" w:cstheme="majorBidi"/>
      <w:b/>
      <w:bCs/>
      <w:kern w:val="28"/>
      <w:sz w:val="24"/>
      <w:szCs w:val="36"/>
    </w:rPr>
  </w:style>
  <w:style w:type="paragraph" w:customStyle="1" w:styleId="13">
    <w:name w:val="reader-word-layer reader-word-s14-9"/>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4">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天方水阁</cp:lastModifiedBy>
  <dcterms:modified xsi:type="dcterms:W3CDTF">2024-04-25T05:01:24Z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56B87E5B8F01460CB428F32D0ED9E881_12</vt:lpwstr>
  </property>
</Properties>
</file>