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大功率窄线宽激光器系统购置项目</w:t>
      </w:r>
    </w:p>
    <w:p>
      <w:pPr>
        <w:pStyle w:val="null3"/>
        <w:jc w:val="center"/>
        <w:outlineLvl w:val="2"/>
      </w:pPr>
      <w:r>
        <w:rPr>
          <w:b/>
          <w:sz w:val="28"/>
        </w:rPr>
        <w:t>采购项目编号：</w:t>
      </w:r>
      <w:r>
        <w:rPr>
          <w:b/>
          <w:sz w:val="28"/>
        </w:rPr>
        <w:t>ZMZB2024GCDX-65</w:t>
      </w:r>
      <w:r>
        <w:br/>
      </w:r>
      <w:r>
        <w:br/>
      </w:r>
      <w:r>
        <w:br/>
      </w:r>
    </w:p>
    <w:p>
      <w:pPr>
        <w:pStyle w:val="null3"/>
        <w:jc w:val="center"/>
        <w:outlineLvl w:val="2"/>
      </w:pPr>
      <w:r>
        <w:rPr>
          <w:b/>
          <w:sz w:val="28"/>
        </w:rPr>
        <w:t>西安工程大学</w:t>
      </w:r>
    </w:p>
    <w:p>
      <w:pPr>
        <w:pStyle w:val="null3"/>
        <w:jc w:val="center"/>
        <w:outlineLvl w:val="2"/>
      </w:pPr>
      <w:r>
        <w:rPr>
          <w:b/>
          <w:sz w:val="28"/>
        </w:rPr>
        <w:t>陕西卓佲项目管理有限公司</w:t>
      </w:r>
      <w:r>
        <w:rPr>
          <w:b/>
          <w:sz w:val="28"/>
        </w:rPr>
        <w:t>共同编制</w:t>
      </w:r>
    </w:p>
    <w:p>
      <w:pPr>
        <w:pStyle w:val="null3"/>
        <w:jc w:val="center"/>
        <w:outlineLvl w:val="2"/>
      </w:pPr>
      <w:r>
        <w:rPr>
          <w:b/>
          <w:sz w:val="28"/>
        </w:rPr>
        <w:t>2024年04月26日</w:t>
      </w:r>
    </w:p>
    <w:p>
      <w:pPr>
        <w:pStyle w:val="null3"/>
      </w:pPr>
      <w:r>
        <w:rPr/>
        <w:t xml:space="preserve"> </w:t>
        <w:br/>
        <w:br w:type="page"/>
      </w:r>
    </w:p>
    <w:p>
      <w:pPr>
        <w:pStyle w:val="null3"/>
        <w:jc w:val="center"/>
        <w:outlineLvl w:val="1"/>
      </w:pPr>
      <w:r>
        <w:rPr>
          <w:b/>
          <w:sz w:val="36"/>
        </w:rPr>
        <w:t>第一章 投标邀请</w:t>
      </w:r>
    </w:p>
    <w:p>
      <w:pPr>
        <w:pStyle w:val="null3"/>
        <w:ind w:firstLine="480"/>
      </w:pPr>
      <w:r>
        <w:rPr/>
        <w:t>陕西卓佲项目管理有限公司</w:t>
      </w:r>
      <w:r>
        <w:rPr/>
        <w:t>（以下简称“代理机构”）受</w:t>
      </w:r>
      <w:r>
        <w:rPr/>
        <w:t>西安工程大学</w:t>
      </w:r>
      <w:r>
        <w:rPr/>
        <w:t>委托，拟对</w:t>
      </w:r>
      <w:r>
        <w:rPr/>
        <w:t>大功率窄线宽激光器系统购置项目</w:t>
      </w:r>
      <w:r>
        <w:rPr/>
        <w:t>进行国内公开招标，兹邀请符合本次招标要求的供应商参加投标。</w:t>
      </w:r>
    </w:p>
    <w:p>
      <w:pPr>
        <w:pStyle w:val="null3"/>
        <w:outlineLvl w:val="2"/>
      </w:pPr>
      <w:r>
        <w:rPr>
          <w:b/>
          <w:sz w:val="28"/>
        </w:rPr>
        <w:t>一、采购项目编号：</w:t>
      </w:r>
      <w:r>
        <w:rPr>
          <w:b/>
          <w:sz w:val="28"/>
        </w:rPr>
        <w:t>ZMZB2024GCDX-65</w:t>
      </w:r>
    </w:p>
    <w:p>
      <w:pPr>
        <w:pStyle w:val="null3"/>
        <w:outlineLvl w:val="2"/>
      </w:pPr>
      <w:r>
        <w:rPr>
          <w:b/>
          <w:sz w:val="28"/>
        </w:rPr>
        <w:t>二、采购项目名称：</w:t>
      </w:r>
      <w:r>
        <w:rPr>
          <w:b/>
          <w:sz w:val="28"/>
        </w:rPr>
        <w:t>大功率窄线宽激光器系统购置项目</w:t>
      </w:r>
    </w:p>
    <w:p>
      <w:pPr>
        <w:pStyle w:val="null3"/>
        <w:outlineLvl w:val="2"/>
      </w:pPr>
      <w:r>
        <w:rPr>
          <w:b/>
          <w:sz w:val="28"/>
        </w:rPr>
        <w:t>三、招标项目简介</w:t>
      </w:r>
    </w:p>
    <w:p>
      <w:pPr>
        <w:pStyle w:val="null3"/>
        <w:ind w:firstLine="480"/>
      </w:pPr>
      <w:r>
        <w:rPr/>
        <w:t>大功率窄线宽激光器系统购置项目</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t>3、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4、社会保障资金缴纳证明：提供2023年6月以来至少一个月的社会保障资金缴存单据或社保机构开具的社会保险参保缴费情况证明。依法不需要缴纳社会保障资金的供应商应提供相关文件证明</w:t>
      </w:r>
    </w:p>
    <w:p>
      <w:pPr>
        <w:pStyle w:val="null3"/>
      </w:pPr>
      <w:r>
        <w:rPr/>
        <w:t>5、具有履行合同所必需的设备和专业技术能力的书面声明：具有履行合同所必需的设备和专业技术能力的书面声明</w:t>
      </w:r>
    </w:p>
    <w:p>
      <w:pPr>
        <w:pStyle w:val="null3"/>
      </w:pPr>
      <w:r>
        <w:rPr/>
        <w:t>6、法定代表人授权书：非法定代表人参加投标的，须提供法定代表人委托授权书及被授权人身份证，法定代表人参加投标时,只需提供法定代表人身份证</w:t>
      </w:r>
    </w:p>
    <w:p>
      <w:pPr>
        <w:pStyle w:val="null3"/>
      </w:pPr>
      <w:r>
        <w:rPr/>
        <w:t>7、参加政府采购活动前3年内在经营活动中没有重大违法记录的书面声明：参加政府采购活动前3年内在经营活动中没有重大违法记录的书面声明</w:t>
      </w:r>
    </w:p>
    <w:p>
      <w:pPr>
        <w:pStyle w:val="null3"/>
      </w:pPr>
      <w:r>
        <w:rPr/>
        <w:t>8、进口授权：所投大功率窄线宽激光器为进口产品的，供应商为非所投产品制造厂家的，需提供产品制造厂家对所投进口产品的授权书，或具有授权权限的代理商对所投进口产品的授权书（且需提供该代理商具有有效授权权限的相关证明文件，证明文件需能显示设备制造厂家对所投产品授权链条的完整性），产品制造厂家直投不需要提供</w:t>
      </w:r>
    </w:p>
    <w:p>
      <w:pPr>
        <w:pStyle w:val="null3"/>
      </w:pPr>
      <w:r>
        <w:rPr/>
        <w:t>9、本项目不接受联合体投标：非联合体投标声明</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八、本投标邀请在陕西省政府采购网以公告形式发布</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西安工程大学</w:t>
      </w:r>
    </w:p>
    <w:p>
      <w:pPr>
        <w:pStyle w:val="null3"/>
      </w:pPr>
      <w:r>
        <w:rPr/>
        <w:t xml:space="preserve"> 地址： </w:t>
      </w:r>
      <w:r>
        <w:rPr/>
        <w:t>金花南路19号</w:t>
      </w:r>
    </w:p>
    <w:p>
      <w:pPr>
        <w:pStyle w:val="null3"/>
      </w:pPr>
      <w:r>
        <w:rPr/>
        <w:t xml:space="preserve"> 邮编： </w:t>
      </w:r>
      <w:r>
        <w:rPr/>
        <w:t>/</w:t>
      </w:r>
    </w:p>
    <w:p>
      <w:pPr>
        <w:pStyle w:val="null3"/>
      </w:pPr>
      <w:r>
        <w:rPr/>
        <w:t xml:space="preserve"> 联系人： </w:t>
      </w:r>
      <w:r>
        <w:rPr/>
        <w:t>龙老师</w:t>
      </w:r>
    </w:p>
    <w:p>
      <w:pPr>
        <w:pStyle w:val="null3"/>
      </w:pPr>
      <w:r>
        <w:rPr/>
        <w:t xml:space="preserve"> 联系电话： </w:t>
      </w:r>
      <w:r>
        <w:rPr/>
        <w:t>029-81369288</w:t>
      </w:r>
    </w:p>
    <w:p>
      <w:pPr>
        <w:pStyle w:val="null3"/>
        <w:outlineLvl w:val="2"/>
      </w:pPr>
      <w:r>
        <w:rPr>
          <w:b/>
          <w:sz w:val="28"/>
        </w:rPr>
        <w:t>代理机构：</w:t>
      </w:r>
      <w:r>
        <w:rPr>
          <w:b/>
          <w:sz w:val="28"/>
        </w:rPr>
        <w:t>陕西卓佲项目管理有限公司</w:t>
      </w:r>
    </w:p>
    <w:p>
      <w:pPr>
        <w:pStyle w:val="null3"/>
      </w:pPr>
      <w:r>
        <w:rPr/>
        <w:t xml:space="preserve"> 地址： </w:t>
      </w:r>
      <w:r>
        <w:rPr/>
        <w:t>西安市雁塔区科技路10号华奥大厦A座2002室</w:t>
      </w:r>
    </w:p>
    <w:p>
      <w:pPr>
        <w:pStyle w:val="null3"/>
      </w:pPr>
      <w:r>
        <w:rPr/>
        <w:t xml:space="preserve"> 邮编： </w:t>
      </w:r>
      <w:r>
        <w:rPr/>
        <w:t>/</w:t>
      </w:r>
    </w:p>
    <w:p>
      <w:pPr>
        <w:pStyle w:val="null3"/>
      </w:pPr>
      <w:r>
        <w:rPr/>
        <w:t xml:space="preserve"> 联系人： </w:t>
      </w:r>
      <w:r>
        <w:rPr/>
        <w:t>董菊莉 李静</w:t>
      </w:r>
    </w:p>
    <w:p>
      <w:pPr>
        <w:pStyle w:val="null3"/>
      </w:pPr>
      <w:r>
        <w:rPr/>
        <w:t xml:space="preserve"> 联系电话： </w:t>
      </w:r>
      <w:r>
        <w:rPr/>
        <w:t>177 7896 6063</w:t>
      </w:r>
    </w:p>
    <w:p>
      <w:pPr>
        <w:pStyle w:val="null3"/>
        <w:outlineLvl w:val="2"/>
      </w:pPr>
      <w:r>
        <w:rPr>
          <w:b/>
          <w:sz w:val="28"/>
        </w:rPr>
        <w:t>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采购包1：822,000.00元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采购包1保证金金额：16,000.00元</w:t>
            </w:r>
          </w:p>
          <w:p>
            <w:pPr>
              <w:pStyle w:val="null3"/>
            </w:pPr>
            <w:r>
              <w:rPr/>
              <w:t>缴交渠道：转账、支票、汇票等（需通过实体账户、户名及开户行信息）,电子保函</w:t>
            </w:r>
          </w:p>
          <w:p>
            <w:pPr>
              <w:pStyle w:val="null3"/>
            </w:pPr>
            <w:r>
              <w:rPr/>
              <w:t>开户名称：陕西卓佲项目管理有限公司</w:t>
            </w:r>
          </w:p>
          <w:p>
            <w:pPr>
              <w:pStyle w:val="null3"/>
            </w:pPr>
            <w:r>
              <w:rPr/>
              <w:t>开户银行：中国光大银行西安太白路支行</w:t>
            </w:r>
          </w:p>
          <w:p>
            <w:pPr>
              <w:pStyle w:val="null3"/>
            </w:pPr>
            <w:r>
              <w:rPr/>
              <w:t>银行账号：78590188000191476</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和国家发展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西安工程大学</w:t>
      </w:r>
      <w:r>
        <w:rPr/>
        <w:t>和</w:t>
      </w:r>
      <w:r>
        <w:rPr/>
        <w:t>陕西卓佲项目管理有限公司</w:t>
      </w:r>
      <w:r>
        <w:rPr/>
        <w:t>享有。对招标文件中供应商参加本次政府采购活动应当具备的条件，招标项目技术、服务、商务及其他要求，评标细则及标准由</w:t>
      </w:r>
      <w:r>
        <w:rPr/>
        <w:t>西安工程大学</w:t>
      </w:r>
      <w:r>
        <w:rPr/>
        <w:t>负责解释。除上述招标文件内容，其他内容由</w:t>
      </w:r>
      <w:r>
        <w:rPr/>
        <w:t>陕西卓佲项目管理有限公司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西安工程大学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陕西卓佲项目管理有限公司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b/>
          <w:sz w:val="24"/>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w:t>
      </w:r>
    </w:p>
    <w:p>
      <w:pPr>
        <w:pStyle w:val="null3"/>
        <w:ind w:firstLine="480"/>
      </w:pPr>
      <w:r>
        <w:rPr/>
        <w:t>除招标文件中另有规定外，本项目均采用国家法定的计量单位。</w:t>
      </w:r>
    </w:p>
    <w:p>
      <w:pPr>
        <w:pStyle w:val="null3"/>
        <w:outlineLvl w:val="3"/>
      </w:pPr>
      <w:r>
        <w:rPr>
          <w:b/>
          <w:sz w:val="24"/>
        </w:rPr>
        <w:t>2.4.3投标货币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2.6.5履约验收方案</w:t>
      </w:r>
    </w:p>
    <w:p>
      <w:pPr>
        <w:pStyle w:val="null3"/>
      </w:pPr>
      <w:r>
        <w:rPr/>
        <w:t>采购包1：</w:t>
      </w:r>
    </w:p>
    <w:p>
      <w:pPr>
        <w:pStyle w:val="null3"/>
      </w:pPr>
      <w:r>
        <w:rPr/>
        <w:t>根据招标文件要求、投标文件及合同约定执行</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b/>
          <w:sz w:val="24"/>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陕西卓佲项目管理有限公司</w:t>
      </w:r>
      <w:r>
        <w:rPr/>
        <w:t xml:space="preserve"> 负责答复；供应商对除采购需求外的采购文件的询问、质疑由</w:t>
      </w:r>
      <w:r>
        <w:rPr/>
        <w:t>陕西卓佲项目管理有限公司</w:t>
      </w:r>
      <w:r>
        <w:rPr/>
        <w:t xml:space="preserve"> 负责答复；供应商对采购过程、采购结果的询问、质疑由 </w:t>
      </w:r>
      <w:r>
        <w:rPr/>
        <w:t>陕西卓佲项目管理有限公司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联系人：董菊莉</w:t>
      </w:r>
    </w:p>
    <w:p>
      <w:pPr>
        <w:pStyle w:val="null3"/>
      </w:pPr>
      <w:r>
        <w:rPr/>
        <w:t>联系电话：029-88440695</w:t>
      </w:r>
    </w:p>
    <w:p>
      <w:pPr>
        <w:pStyle w:val="null3"/>
      </w:pPr>
      <w:r>
        <w:rPr/>
        <w:t>地址：西安市雁塔区科技路10号华奥大厦A座2002室</w:t>
      </w:r>
    </w:p>
    <w:p>
      <w:pPr>
        <w:pStyle w:val="null3"/>
      </w:pPr>
      <w:r>
        <w:rPr/>
        <w:t>邮编：/</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r>
        <w:rPr/>
        <w:t>大功率窄线宽激光器系统购置项目</w:t>
      </w:r>
    </w:p>
    <w:p>
      <w:pPr>
        <w:pStyle w:val="null3"/>
        <w:outlineLvl w:val="2"/>
      </w:pPr>
      <w:r>
        <w:rPr>
          <w:b/>
          <w:sz w:val="28"/>
        </w:rPr>
        <w:t>3.2采购内容</w:t>
      </w:r>
    </w:p>
    <w:p>
      <w:pPr>
        <w:pStyle w:val="null3"/>
      </w:pPr>
      <w:r>
        <w:rPr/>
        <w:t>采购包1：</w:t>
      </w:r>
    </w:p>
    <w:p>
      <w:pPr>
        <w:pStyle w:val="null3"/>
      </w:pPr>
      <w:r>
        <w:rPr/>
        <w:t>采购包预算金额（元）: 822,000.00</w:t>
      </w:r>
    </w:p>
    <w:p>
      <w:pPr>
        <w:pStyle w:val="null3"/>
      </w:pPr>
      <w:r>
        <w:rPr/>
        <w:t>采购包最高限价（元）: 822,000.00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大功率窄线宽激光器</w:t>
            </w:r>
          </w:p>
        </w:tc>
        <w:tc>
          <w:tcPr>
            <w:tcW w:type="dxa" w:w="831"/>
          </w:tcPr>
          <w:p>
            <w:pPr>
              <w:pStyle w:val="null3"/>
              <w:jc w:val="right"/>
            </w:pPr>
            <w:r>
              <w:rPr/>
              <w:t>1.00</w:t>
            </w:r>
          </w:p>
        </w:tc>
        <w:tc>
          <w:tcPr>
            <w:tcW w:type="dxa" w:w="831"/>
          </w:tcPr>
          <w:p>
            <w:pPr>
              <w:pStyle w:val="null3"/>
              <w:jc w:val="right"/>
            </w:pPr>
            <w:r>
              <w:rPr/>
              <w:t>610,000.00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PPKTP晶体</w:t>
            </w:r>
          </w:p>
        </w:tc>
        <w:tc>
          <w:tcPr>
            <w:tcW w:type="dxa" w:w="831"/>
          </w:tcPr>
          <w:p>
            <w:pPr>
              <w:pStyle w:val="null3"/>
              <w:jc w:val="right"/>
            </w:pPr>
            <w:r>
              <w:rPr/>
              <w:t>4.00</w:t>
            </w:r>
          </w:p>
        </w:tc>
        <w:tc>
          <w:tcPr>
            <w:tcW w:type="dxa" w:w="831"/>
          </w:tcPr>
          <w:p>
            <w:pPr>
              <w:pStyle w:val="null3"/>
              <w:jc w:val="right"/>
            </w:pPr>
            <w:r>
              <w:rPr/>
              <w:t>212,000.00</w:t>
            </w:r>
          </w:p>
        </w:tc>
        <w:tc>
          <w:tcPr>
            <w:tcW w:type="dxa" w:w="831"/>
          </w:tcPr>
          <w:p>
            <w:pPr>
              <w:pStyle w:val="null3"/>
            </w:pPr>
            <w:r>
              <w:rPr/>
              <w:t>个</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标的名称：大功率窄线宽激光器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中心波长：</w:t>
            </w:r>
            <w:r>
              <w:rPr>
                <w:rFonts w:ascii="宋体" w:hAnsi="宋体" w:cs="宋体" w:eastAsia="宋体"/>
                <w:color w:val="0A82E5"/>
                <w:sz w:val="21"/>
              </w:rPr>
              <w:t>1550±0.15 nm;</w:t>
            </w:r>
          </w:p>
          <w:p>
            <w:pPr>
              <w:pStyle w:val="null3"/>
              <w:ind w:firstLine="480"/>
              <w:jc w:val="both"/>
            </w:pPr>
          </w:p>
        </w:tc>
      </w:tr>
      <w:tr>
        <w:tc>
          <w:tcPr>
            <w:tcW w:type="dxa" w:w="2769"/>
          </w:tcPr>
          <w:p/>
        </w:tc>
        <w:tc>
          <w:tcPr>
            <w:tcW w:type="dxa" w:w="2769"/>
          </w:tcPr>
          <w:p>
            <w:pPr>
              <w:pStyle w:val="null3"/>
            </w:pPr>
            <w:r>
              <w:rPr/>
              <w:t>2</w:t>
            </w:r>
          </w:p>
        </w:tc>
        <w:tc>
          <w:tcPr>
            <w:tcW w:type="dxa" w:w="2769"/>
          </w:tcPr>
          <w:p>
            <w:pPr>
              <w:pStyle w:val="null3"/>
              <w:ind w:firstLine="480"/>
              <w:jc w:val="both"/>
            </w:pPr>
            <w:r>
              <w:rPr>
                <w:rFonts w:ascii="宋体" w:hAnsi="宋体" w:cs="宋体" w:eastAsia="宋体"/>
                <w:color w:val="0A82E5"/>
                <w:sz w:val="21"/>
              </w:rPr>
              <w:t>平均输出功率：</w:t>
            </w:r>
            <w:r>
              <w:rPr>
                <w:rFonts w:ascii="宋体" w:hAnsi="宋体" w:cs="宋体" w:eastAsia="宋体"/>
                <w:color w:val="0A82E5"/>
                <w:sz w:val="21"/>
              </w:rPr>
              <w:t>≥8W;</w:t>
            </w:r>
          </w:p>
        </w:tc>
      </w:tr>
      <w:tr>
        <w:tc>
          <w:tcPr>
            <w:tcW w:type="dxa" w:w="2769"/>
          </w:tcPr>
          <w:p>
            <w:pPr>
              <w:pStyle w:val="null3"/>
            </w:pPr>
            <w:r>
              <w:rPr/>
              <w:t>▲</w:t>
            </w:r>
          </w:p>
        </w:tc>
        <w:tc>
          <w:tcPr>
            <w:tcW w:type="dxa" w:w="2769"/>
          </w:tcPr>
          <w:p>
            <w:pPr>
              <w:pStyle w:val="null3"/>
            </w:pPr>
            <w:r>
              <w:rPr/>
              <w:t>3</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洛伦兹线宽：</w:t>
            </w:r>
            <w:r>
              <w:rPr>
                <w:rFonts w:ascii="宋体" w:hAnsi="宋体" w:cs="宋体" w:eastAsia="宋体"/>
                <w:color w:val="0A82E5"/>
                <w:sz w:val="21"/>
              </w:rPr>
              <w:t>≤150Hz;</w:t>
            </w:r>
          </w:p>
        </w:tc>
      </w:tr>
      <w:tr>
        <w:tc>
          <w:tcPr>
            <w:tcW w:type="dxa" w:w="2769"/>
          </w:tcPr>
          <w:p/>
        </w:tc>
        <w:tc>
          <w:tcPr>
            <w:tcW w:type="dxa" w:w="2769"/>
          </w:tcPr>
          <w:p>
            <w:pPr>
              <w:pStyle w:val="null3"/>
            </w:pPr>
            <w:r>
              <w:rPr/>
              <w:t>4</w:t>
            </w:r>
          </w:p>
        </w:tc>
        <w:tc>
          <w:tcPr>
            <w:tcW w:type="dxa" w:w="2769"/>
          </w:tcPr>
          <w:p>
            <w:pPr>
              <w:pStyle w:val="null3"/>
              <w:ind w:firstLine="480"/>
              <w:jc w:val="both"/>
            </w:pPr>
            <w:r>
              <w:rPr>
                <w:rFonts w:ascii="宋体" w:hAnsi="宋体" w:cs="宋体" w:eastAsia="宋体"/>
                <w:color w:val="0A82E5"/>
                <w:sz w:val="21"/>
              </w:rPr>
              <w:t>光纤输出类型：</w:t>
            </w:r>
            <w:r>
              <w:rPr>
                <w:rFonts w:ascii="宋体" w:hAnsi="宋体" w:cs="宋体" w:eastAsia="宋体"/>
                <w:color w:val="0A82E5"/>
                <w:sz w:val="21"/>
              </w:rPr>
              <w:t>PM Collimator;</w:t>
            </w:r>
          </w:p>
        </w:tc>
      </w:tr>
      <w:tr>
        <w:tc>
          <w:tcPr>
            <w:tcW w:type="dxa" w:w="2769"/>
          </w:tcPr>
          <w:p/>
        </w:tc>
        <w:tc>
          <w:tcPr>
            <w:tcW w:type="dxa" w:w="2769"/>
          </w:tcPr>
          <w:p>
            <w:pPr>
              <w:pStyle w:val="null3"/>
            </w:pPr>
            <w:r>
              <w:rPr/>
              <w:t>5</w:t>
            </w:r>
          </w:p>
        </w:tc>
        <w:tc>
          <w:tcPr>
            <w:tcW w:type="dxa" w:w="2769"/>
          </w:tcPr>
          <w:p>
            <w:pPr>
              <w:pStyle w:val="null3"/>
              <w:ind w:firstLine="480"/>
              <w:jc w:val="both"/>
            </w:pPr>
            <w:r>
              <w:rPr>
                <w:rFonts w:ascii="宋体" w:hAnsi="宋体" w:cs="宋体" w:eastAsia="宋体"/>
                <w:color w:val="0A82E5"/>
                <w:sz w:val="21"/>
              </w:rPr>
              <w:t>具有</w:t>
            </w:r>
            <w:r>
              <w:rPr>
                <w:rFonts w:ascii="宋体" w:hAnsi="宋体" w:cs="宋体" w:eastAsia="宋体"/>
                <w:color w:val="0A82E5"/>
                <w:sz w:val="21"/>
              </w:rPr>
              <w:t>PZT调谐功能;</w:t>
            </w:r>
          </w:p>
        </w:tc>
      </w:tr>
      <w:tr>
        <w:tc>
          <w:tcPr>
            <w:tcW w:type="dxa" w:w="2769"/>
          </w:tcPr>
          <w:p/>
        </w:tc>
        <w:tc>
          <w:tcPr>
            <w:tcW w:type="dxa" w:w="2769"/>
          </w:tcPr>
          <w:p>
            <w:pPr>
              <w:pStyle w:val="null3"/>
            </w:pPr>
            <w:r>
              <w:rPr/>
              <w:t>6</w:t>
            </w:r>
          </w:p>
        </w:tc>
        <w:tc>
          <w:tcPr>
            <w:tcW w:type="dxa" w:w="2769"/>
          </w:tcPr>
          <w:p>
            <w:pPr>
              <w:pStyle w:val="null3"/>
              <w:ind w:firstLine="480"/>
              <w:jc w:val="both"/>
            </w:pPr>
            <w:r>
              <w:rPr>
                <w:rFonts w:ascii="宋体" w:hAnsi="宋体" w:cs="宋体" w:eastAsia="宋体"/>
                <w:color w:val="0A82E5"/>
                <w:sz w:val="21"/>
              </w:rPr>
              <w:t>激光输出形式：</w:t>
            </w:r>
            <w:r>
              <w:rPr>
                <w:rFonts w:ascii="宋体" w:hAnsi="宋体" w:cs="宋体" w:eastAsia="宋体"/>
                <w:color w:val="0A82E5"/>
                <w:sz w:val="21"/>
              </w:rPr>
              <w:t>CW;</w:t>
            </w:r>
          </w:p>
        </w:tc>
      </w:tr>
      <w:tr>
        <w:tc>
          <w:tcPr>
            <w:tcW w:type="dxa" w:w="2769"/>
          </w:tcPr>
          <w:p>
            <w:pPr>
              <w:pStyle w:val="null3"/>
            </w:pPr>
            <w:r>
              <w:rPr/>
              <w:t>★</w:t>
            </w:r>
          </w:p>
        </w:tc>
        <w:tc>
          <w:tcPr>
            <w:tcW w:type="dxa" w:w="2769"/>
          </w:tcPr>
          <w:p>
            <w:pPr>
              <w:pStyle w:val="null3"/>
            </w:pPr>
            <w:r>
              <w:rPr/>
              <w:t>7</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光束质量：</w:t>
            </w:r>
            <w:r>
              <w:rPr>
                <w:rFonts w:ascii="宋体" w:hAnsi="宋体" w:cs="宋体" w:eastAsia="宋体"/>
                <w:color w:val="0A82E5"/>
                <w:sz w:val="21"/>
              </w:rPr>
              <w:t>M</w:t>
            </w:r>
            <w:r>
              <w:rPr>
                <w:rFonts w:ascii="宋体" w:hAnsi="宋体" w:cs="宋体" w:eastAsia="宋体"/>
                <w:color w:val="0A82E5"/>
                <w:sz w:val="21"/>
                <w:vertAlign w:val="superscript"/>
              </w:rPr>
              <w:t>2</w:t>
            </w:r>
            <w:r>
              <w:rPr>
                <w:rFonts w:ascii="宋体" w:hAnsi="宋体" w:cs="宋体" w:eastAsia="宋体"/>
                <w:color w:val="0A82E5"/>
                <w:sz w:val="21"/>
              </w:rPr>
              <w:t>≤1.15;</w:t>
            </w:r>
          </w:p>
        </w:tc>
      </w:tr>
      <w:tr>
        <w:tc>
          <w:tcPr>
            <w:tcW w:type="dxa" w:w="2769"/>
          </w:tcPr>
          <w:p>
            <w:pPr>
              <w:pStyle w:val="null3"/>
            </w:pPr>
            <w:r>
              <w:rPr/>
              <w:t>▲</w:t>
            </w:r>
          </w:p>
        </w:tc>
        <w:tc>
          <w:tcPr>
            <w:tcW w:type="dxa" w:w="2769"/>
          </w:tcPr>
          <w:p>
            <w:pPr>
              <w:pStyle w:val="null3"/>
            </w:pPr>
            <w:r>
              <w:rPr/>
              <w:t>8</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输出功率调谐范围：</w:t>
            </w:r>
            <w:r>
              <w:rPr>
                <w:rFonts w:ascii="宋体" w:hAnsi="宋体" w:cs="宋体" w:eastAsia="宋体"/>
                <w:color w:val="0A82E5"/>
                <w:sz w:val="21"/>
              </w:rPr>
              <w:t>≥40%-100%;</w:t>
            </w:r>
          </w:p>
        </w:tc>
      </w:tr>
      <w:tr>
        <w:tc>
          <w:tcPr>
            <w:tcW w:type="dxa" w:w="2769"/>
          </w:tcPr>
          <w:p>
            <w:pPr>
              <w:pStyle w:val="null3"/>
            </w:pPr>
            <w:r>
              <w:rPr/>
              <w:t>▲</w:t>
            </w:r>
          </w:p>
        </w:tc>
        <w:tc>
          <w:tcPr>
            <w:tcW w:type="dxa" w:w="2769"/>
          </w:tcPr>
          <w:p>
            <w:pPr>
              <w:pStyle w:val="null3"/>
            </w:pPr>
            <w:r>
              <w:rPr/>
              <w:t>9</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相位噪声：</w:t>
            </w:r>
            <w:r>
              <w:rPr>
                <w:rFonts w:ascii="宋体" w:hAnsi="宋体" w:cs="宋体" w:eastAsia="宋体"/>
                <w:color w:val="0A82E5"/>
                <w:sz w:val="21"/>
              </w:rPr>
              <w:t>≤2 @ 100 Hz;</w:t>
            </w:r>
          </w:p>
        </w:tc>
      </w:tr>
      <w:tr>
        <w:tc>
          <w:tcPr>
            <w:tcW w:type="dxa" w:w="2769"/>
          </w:tcPr>
          <w:p/>
        </w:tc>
        <w:tc>
          <w:tcPr>
            <w:tcW w:type="dxa" w:w="2769"/>
          </w:tcPr>
          <w:p>
            <w:pPr>
              <w:pStyle w:val="null3"/>
            </w:pPr>
            <w:r>
              <w:rPr/>
              <w:t>10</w:t>
            </w:r>
          </w:p>
        </w:tc>
        <w:tc>
          <w:tcPr>
            <w:tcW w:type="dxa" w:w="2769"/>
          </w:tcPr>
          <w:p>
            <w:pPr>
              <w:pStyle w:val="null3"/>
              <w:ind w:firstLine="480"/>
              <w:jc w:val="both"/>
            </w:pPr>
            <w:r>
              <w:rPr>
                <w:rFonts w:ascii="宋体" w:hAnsi="宋体" w:cs="宋体" w:eastAsia="宋体"/>
                <w:color w:val="0A82E5"/>
                <w:sz w:val="21"/>
              </w:rPr>
              <w:t>RIN:≤-125@10MHz;</w:t>
            </w:r>
          </w:p>
        </w:tc>
      </w:tr>
      <w:tr>
        <w:tc>
          <w:tcPr>
            <w:tcW w:type="dxa" w:w="2769"/>
          </w:tcPr>
          <w:p/>
        </w:tc>
        <w:tc>
          <w:tcPr>
            <w:tcW w:type="dxa" w:w="2769"/>
          </w:tcPr>
          <w:p>
            <w:pPr>
              <w:pStyle w:val="null3"/>
            </w:pPr>
            <w:r>
              <w:rPr/>
              <w:t>11</w:t>
            </w:r>
          </w:p>
        </w:tc>
        <w:tc>
          <w:tcPr>
            <w:tcW w:type="dxa" w:w="2769"/>
          </w:tcPr>
          <w:p>
            <w:pPr>
              <w:pStyle w:val="null3"/>
              <w:ind w:firstLine="480"/>
              <w:jc w:val="both"/>
            </w:pPr>
            <w:r>
              <w:rPr>
                <w:rFonts w:ascii="宋体" w:hAnsi="宋体" w:cs="宋体" w:eastAsia="宋体"/>
                <w:color w:val="0A82E5"/>
                <w:sz w:val="21"/>
              </w:rPr>
              <w:t>稳定性：</w:t>
            </w:r>
            <w:r>
              <w:rPr>
                <w:rFonts w:ascii="宋体" w:hAnsi="宋体" w:cs="宋体" w:eastAsia="宋体"/>
                <w:color w:val="0A82E5"/>
                <w:sz w:val="21"/>
              </w:rPr>
              <w:t>≤1%;</w:t>
            </w:r>
          </w:p>
        </w:tc>
      </w:tr>
      <w:tr>
        <w:tc>
          <w:tcPr>
            <w:tcW w:type="dxa" w:w="2769"/>
          </w:tcPr>
          <w:p>
            <w:pPr>
              <w:pStyle w:val="null3"/>
            </w:pPr>
            <w:r>
              <w:rPr/>
              <w:t>★</w:t>
            </w:r>
          </w:p>
        </w:tc>
        <w:tc>
          <w:tcPr>
            <w:tcW w:type="dxa" w:w="2769"/>
          </w:tcPr>
          <w:p>
            <w:pPr>
              <w:pStyle w:val="null3"/>
            </w:pPr>
            <w:r>
              <w:rPr/>
              <w:t>12</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光信噪比：</w:t>
            </w:r>
            <w:r>
              <w:rPr>
                <w:rFonts w:ascii="宋体" w:hAnsi="宋体" w:cs="宋体" w:eastAsia="宋体"/>
                <w:color w:val="0A82E5"/>
                <w:sz w:val="21"/>
              </w:rPr>
              <w:t>≥48dB;</w:t>
            </w:r>
          </w:p>
        </w:tc>
      </w:tr>
      <w:tr>
        <w:tc>
          <w:tcPr>
            <w:tcW w:type="dxa" w:w="2769"/>
          </w:tcPr>
          <w:p/>
        </w:tc>
        <w:tc>
          <w:tcPr>
            <w:tcW w:type="dxa" w:w="2769"/>
          </w:tcPr>
          <w:p>
            <w:pPr>
              <w:pStyle w:val="null3"/>
            </w:pPr>
            <w:r>
              <w:rPr/>
              <w:t>13</w:t>
            </w:r>
          </w:p>
        </w:tc>
        <w:tc>
          <w:tcPr>
            <w:tcW w:type="dxa" w:w="2769"/>
          </w:tcPr>
          <w:p>
            <w:pPr>
              <w:pStyle w:val="null3"/>
              <w:ind w:firstLine="480"/>
              <w:jc w:val="both"/>
            </w:pPr>
            <w:r>
              <w:rPr>
                <w:rFonts w:ascii="宋体" w:hAnsi="宋体" w:cs="宋体" w:eastAsia="宋体"/>
                <w:color w:val="0A82E5"/>
                <w:sz w:val="21"/>
              </w:rPr>
              <w:t>偏振</w:t>
            </w:r>
            <w:r>
              <w:rPr>
                <w:rFonts w:ascii="宋体" w:hAnsi="宋体" w:cs="宋体" w:eastAsia="宋体"/>
                <w:color w:val="0A82E5"/>
                <w:sz w:val="21"/>
              </w:rPr>
              <w:t>:线偏振;</w:t>
            </w:r>
          </w:p>
        </w:tc>
      </w:tr>
      <w:tr>
        <w:tc>
          <w:tcPr>
            <w:tcW w:type="dxa" w:w="2769"/>
          </w:tcPr>
          <w:p>
            <w:pPr>
              <w:pStyle w:val="null3"/>
            </w:pPr>
            <w:r>
              <w:rPr/>
              <w:t>▲</w:t>
            </w:r>
          </w:p>
        </w:tc>
        <w:tc>
          <w:tcPr>
            <w:tcW w:type="dxa" w:w="2769"/>
          </w:tcPr>
          <w:p>
            <w:pPr>
              <w:pStyle w:val="null3"/>
            </w:pPr>
            <w:r>
              <w:rPr/>
              <w:t>14</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波长热调谐总范围：</w:t>
            </w:r>
            <w:r>
              <w:rPr>
                <w:rFonts w:ascii="宋体" w:hAnsi="宋体" w:cs="宋体" w:eastAsia="宋体"/>
                <w:color w:val="0A82E5"/>
                <w:sz w:val="21"/>
              </w:rPr>
              <w:t>≥900pm;</w:t>
            </w:r>
          </w:p>
        </w:tc>
      </w:tr>
      <w:tr>
        <w:tc>
          <w:tcPr>
            <w:tcW w:type="dxa" w:w="2769"/>
          </w:tcPr>
          <w:p>
            <w:pPr>
              <w:pStyle w:val="null3"/>
            </w:pPr>
            <w:r>
              <w:rPr/>
              <w:t>▲</w:t>
            </w:r>
          </w:p>
        </w:tc>
        <w:tc>
          <w:tcPr>
            <w:tcW w:type="dxa" w:w="2769"/>
          </w:tcPr>
          <w:p>
            <w:pPr>
              <w:pStyle w:val="null3"/>
            </w:pPr>
            <w:r>
              <w:rPr/>
              <w:t>15</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PZT调谐范围：≥8GHz;</w:t>
            </w:r>
          </w:p>
        </w:tc>
      </w:tr>
      <w:tr>
        <w:tc>
          <w:tcPr>
            <w:tcW w:type="dxa" w:w="2769"/>
          </w:tcPr>
          <w:p>
            <w:pPr>
              <w:pStyle w:val="null3"/>
            </w:pPr>
            <w:r>
              <w:rPr/>
              <w:t>▲</w:t>
            </w:r>
          </w:p>
        </w:tc>
        <w:tc>
          <w:tcPr>
            <w:tcW w:type="dxa" w:w="2769"/>
          </w:tcPr>
          <w:p>
            <w:pPr>
              <w:pStyle w:val="null3"/>
            </w:pPr>
            <w:r>
              <w:rPr/>
              <w:t>16</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PZT调谐频率：≥0-20kHz;</w:t>
            </w:r>
          </w:p>
        </w:tc>
      </w:tr>
      <w:tr>
        <w:tc>
          <w:tcPr>
            <w:tcW w:type="dxa" w:w="2769"/>
          </w:tcPr>
          <w:p/>
        </w:tc>
        <w:tc>
          <w:tcPr>
            <w:tcW w:type="dxa" w:w="2769"/>
          </w:tcPr>
          <w:p>
            <w:pPr>
              <w:pStyle w:val="null3"/>
            </w:pPr>
            <w:r>
              <w:rPr/>
              <w:t>17</w:t>
            </w:r>
          </w:p>
        </w:tc>
        <w:tc>
          <w:tcPr>
            <w:tcW w:type="dxa" w:w="2769"/>
          </w:tcPr>
          <w:p>
            <w:pPr>
              <w:pStyle w:val="null3"/>
              <w:ind w:firstLine="480"/>
              <w:jc w:val="both"/>
            </w:pPr>
            <w:r>
              <w:rPr>
                <w:rFonts w:ascii="宋体" w:hAnsi="宋体" w:cs="宋体" w:eastAsia="宋体"/>
                <w:color w:val="0A82E5"/>
                <w:sz w:val="21"/>
              </w:rPr>
              <w:t>光束直径：</w:t>
            </w:r>
            <w:r>
              <w:rPr>
                <w:rFonts w:ascii="宋体" w:hAnsi="宋体" w:cs="宋体" w:eastAsia="宋体"/>
                <w:color w:val="0A82E5"/>
                <w:sz w:val="21"/>
              </w:rPr>
              <w:t>≤2mm;</w:t>
            </w:r>
          </w:p>
        </w:tc>
      </w:tr>
      <w:tr>
        <w:tc>
          <w:tcPr>
            <w:tcW w:type="dxa" w:w="2769"/>
          </w:tcPr>
          <w:p/>
        </w:tc>
        <w:tc>
          <w:tcPr>
            <w:tcW w:type="dxa" w:w="2769"/>
          </w:tcPr>
          <w:p>
            <w:pPr>
              <w:pStyle w:val="null3"/>
            </w:pPr>
            <w:r>
              <w:rPr/>
              <w:t>18</w:t>
            </w:r>
          </w:p>
        </w:tc>
        <w:tc>
          <w:tcPr>
            <w:tcW w:type="dxa" w:w="2769"/>
          </w:tcPr>
          <w:p>
            <w:pPr>
              <w:pStyle w:val="null3"/>
              <w:ind w:firstLine="480"/>
              <w:jc w:val="both"/>
            </w:pPr>
            <w:r>
              <w:rPr>
                <w:rFonts w:ascii="宋体" w:hAnsi="宋体" w:cs="宋体" w:eastAsia="宋体"/>
                <w:color w:val="0A82E5"/>
                <w:sz w:val="21"/>
              </w:rPr>
              <w:t>隔离度：</w:t>
            </w:r>
            <w:r>
              <w:rPr>
                <w:rFonts w:ascii="宋体" w:hAnsi="宋体" w:cs="宋体" w:eastAsia="宋体"/>
                <w:color w:val="0A82E5"/>
                <w:sz w:val="21"/>
              </w:rPr>
              <w:t>≥20dB;</w:t>
            </w:r>
          </w:p>
        </w:tc>
      </w:tr>
      <w:tr>
        <w:tc>
          <w:tcPr>
            <w:tcW w:type="dxa" w:w="2769"/>
          </w:tcPr>
          <w:p/>
        </w:tc>
        <w:tc>
          <w:tcPr>
            <w:tcW w:type="dxa" w:w="2769"/>
          </w:tcPr>
          <w:p>
            <w:pPr>
              <w:pStyle w:val="null3"/>
            </w:pPr>
            <w:r>
              <w:rPr/>
              <w:t>19</w:t>
            </w:r>
          </w:p>
        </w:tc>
        <w:tc>
          <w:tcPr>
            <w:tcW w:type="dxa" w:w="2769"/>
          </w:tcPr>
          <w:p>
            <w:pPr>
              <w:pStyle w:val="null3"/>
              <w:ind w:firstLine="480"/>
              <w:jc w:val="both"/>
            </w:pPr>
            <w:r>
              <w:rPr>
                <w:rFonts w:ascii="宋体" w:hAnsi="宋体" w:cs="宋体" w:eastAsia="宋体"/>
                <w:color w:val="0A82E5"/>
                <w:sz w:val="21"/>
              </w:rPr>
              <w:t>PER：≥17dB;</w:t>
            </w:r>
          </w:p>
        </w:tc>
      </w:tr>
      <w:tr>
        <w:tc>
          <w:tcPr>
            <w:tcW w:type="dxa" w:w="2769"/>
          </w:tcPr>
          <w:p/>
        </w:tc>
        <w:tc>
          <w:tcPr>
            <w:tcW w:type="dxa" w:w="2769"/>
          </w:tcPr>
          <w:p>
            <w:pPr>
              <w:pStyle w:val="null3"/>
            </w:pPr>
            <w:r>
              <w:rPr/>
              <w:t>20</w:t>
            </w:r>
          </w:p>
        </w:tc>
        <w:tc>
          <w:tcPr>
            <w:tcW w:type="dxa" w:w="2769"/>
          </w:tcPr>
          <w:p>
            <w:pPr>
              <w:pStyle w:val="null3"/>
              <w:ind w:firstLine="480"/>
              <w:jc w:val="both"/>
            </w:pPr>
            <w:r>
              <w:rPr>
                <w:rFonts w:ascii="宋体" w:hAnsi="宋体" w:cs="宋体" w:eastAsia="宋体"/>
                <w:color w:val="0A82E5"/>
                <w:sz w:val="21"/>
              </w:rPr>
              <w:t>供电：</w:t>
            </w:r>
            <w:r>
              <w:rPr>
                <w:rFonts w:ascii="宋体" w:hAnsi="宋体" w:cs="宋体" w:eastAsia="宋体"/>
                <w:color w:val="0A82E5"/>
                <w:sz w:val="21"/>
              </w:rPr>
              <w:t>220V，50Hz</w:t>
            </w:r>
          </w:p>
        </w:tc>
      </w:tr>
      <w:tr>
        <w:tc>
          <w:tcPr>
            <w:tcW w:type="dxa" w:w="2769"/>
          </w:tcPr>
          <w:p/>
        </w:tc>
        <w:tc>
          <w:tcPr>
            <w:tcW w:type="dxa" w:w="2769"/>
          </w:tcPr>
          <w:p>
            <w:pPr>
              <w:pStyle w:val="null3"/>
            </w:pPr>
            <w:r>
              <w:rPr/>
              <w:t>21</w:t>
            </w:r>
          </w:p>
        </w:tc>
        <w:tc>
          <w:tcPr>
            <w:tcW w:type="dxa" w:w="2769"/>
          </w:tcPr>
          <w:p>
            <w:pPr>
              <w:pStyle w:val="null3"/>
              <w:ind w:firstLine="480"/>
              <w:jc w:val="left"/>
            </w:pPr>
            <w:r>
              <w:rPr>
                <w:rFonts w:ascii="宋体" w:hAnsi="宋体" w:cs="宋体" w:eastAsia="宋体"/>
                <w:color w:val="0A82E5"/>
                <w:sz w:val="21"/>
              </w:rPr>
              <w:t>★</w:t>
            </w:r>
            <w:r>
              <w:rPr>
                <w:rFonts w:ascii="宋体" w:hAnsi="宋体" w:cs="宋体" w:eastAsia="宋体"/>
                <w:color w:val="0A82E5"/>
                <w:sz w:val="21"/>
              </w:rPr>
              <w:t>和</w:t>
            </w:r>
            <w:r>
              <w:rPr>
                <w:rFonts w:ascii="宋体" w:hAnsi="宋体" w:cs="宋体" w:eastAsia="宋体"/>
                <w:color w:val="0A82E5"/>
                <w:sz w:val="21"/>
              </w:rPr>
              <w:t>▲参数必须提供佐证材料，未</w:t>
            </w:r>
            <w:r>
              <w:rPr>
                <w:rFonts w:ascii="宋体" w:hAnsi="宋体" w:cs="宋体" w:eastAsia="宋体"/>
                <w:color w:val="0A82E5"/>
                <w:sz w:val="21"/>
              </w:rPr>
              <w:t>提供佐证材料或提供的佐证材料低于招标要求时按负偏离处理，</w:t>
            </w:r>
            <w:r>
              <w:rPr>
                <w:rFonts w:ascii="宋体" w:hAnsi="宋体" w:cs="宋体" w:eastAsia="宋体"/>
                <w:color w:val="0A82E5"/>
                <w:sz w:val="21"/>
              </w:rPr>
              <w:t>★</w:t>
            </w:r>
            <w:r>
              <w:rPr>
                <w:rFonts w:ascii="宋体" w:hAnsi="宋体" w:cs="宋体" w:eastAsia="宋体"/>
                <w:color w:val="0A82E5"/>
                <w:sz w:val="21"/>
              </w:rPr>
              <w:t>出现任意一项负偏离按无效投标处理，</w:t>
            </w:r>
            <w:r>
              <w:rPr>
                <w:rFonts w:ascii="宋体" w:hAnsi="宋体" w:cs="宋体" w:eastAsia="宋体"/>
                <w:color w:val="0A82E5"/>
                <w:sz w:val="21"/>
              </w:rPr>
              <w:t>▲</w:t>
            </w:r>
            <w:r>
              <w:rPr>
                <w:rFonts w:ascii="宋体" w:hAnsi="宋体" w:cs="宋体" w:eastAsia="宋体"/>
                <w:color w:val="0A82E5"/>
                <w:sz w:val="21"/>
              </w:rPr>
              <w:t>负偏离做扣分处理</w:t>
            </w:r>
          </w:p>
        </w:tc>
      </w:tr>
    </w:tbl>
    <w:p>
      <w:pPr>
        <w:pStyle w:val="null3"/>
      </w:pPr>
      <w:r>
        <w:rPr/>
        <w:t>标的名称：PPKTP晶体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PPKTP Type 0 SHG 1550-775nm</w:t>
            </w:r>
          </w:p>
        </w:tc>
      </w:tr>
      <w:tr>
        <w:tc>
          <w:tcPr>
            <w:tcW w:type="dxa" w:w="2769"/>
          </w:tcPr>
          <w:p/>
        </w:tc>
        <w:tc>
          <w:tcPr>
            <w:tcW w:type="dxa" w:w="2769"/>
          </w:tcPr>
          <w:p>
            <w:pPr>
              <w:pStyle w:val="null3"/>
            </w:pPr>
            <w:r>
              <w:rPr/>
              <w:t>2</w:t>
            </w:r>
          </w:p>
        </w:tc>
        <w:tc>
          <w:tcPr>
            <w:tcW w:type="dxa" w:w="2769"/>
          </w:tcPr>
          <w:p>
            <w:pPr>
              <w:pStyle w:val="null3"/>
              <w:ind w:firstLine="480"/>
              <w:jc w:val="both"/>
            </w:pPr>
            <w:r>
              <w:rPr>
                <w:rFonts w:ascii="宋体" w:hAnsi="宋体" w:cs="宋体" w:eastAsia="宋体"/>
                <w:color w:val="0A82E5"/>
                <w:sz w:val="21"/>
              </w:rPr>
              <w:t>极化周期性：</w:t>
            </w:r>
            <w:r>
              <w:rPr>
                <w:rFonts w:ascii="宋体" w:hAnsi="宋体" w:cs="宋体" w:eastAsia="宋体"/>
                <w:color w:val="0A82E5"/>
                <w:sz w:val="21"/>
              </w:rPr>
              <w:t>24.70 um，</w:t>
            </w:r>
          </w:p>
        </w:tc>
      </w:tr>
      <w:tr>
        <w:tc>
          <w:tcPr>
            <w:tcW w:type="dxa" w:w="2769"/>
          </w:tcPr>
          <w:p>
            <w:pPr>
              <w:pStyle w:val="null3"/>
            </w:pPr>
            <w:r>
              <w:rPr/>
              <w:t>▲</w:t>
            </w:r>
          </w:p>
        </w:tc>
        <w:tc>
          <w:tcPr>
            <w:tcW w:type="dxa" w:w="2769"/>
          </w:tcPr>
          <w:p>
            <w:pPr>
              <w:pStyle w:val="null3"/>
            </w:pPr>
            <w:r>
              <w:rPr/>
              <w:t>3</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规格：</w:t>
            </w:r>
            <w:r>
              <w:rPr>
                <w:rFonts w:ascii="宋体" w:hAnsi="宋体" w:cs="宋体" w:eastAsia="宋体"/>
                <w:color w:val="0A82E5"/>
                <w:sz w:val="21"/>
              </w:rPr>
              <w:t>1mm*2mm*10mm,</w:t>
            </w:r>
          </w:p>
        </w:tc>
      </w:tr>
      <w:tr>
        <w:tc>
          <w:tcPr>
            <w:tcW w:type="dxa" w:w="2769"/>
          </w:tcPr>
          <w:p/>
        </w:tc>
        <w:tc>
          <w:tcPr>
            <w:tcW w:type="dxa" w:w="2769"/>
          </w:tcPr>
          <w:p>
            <w:pPr>
              <w:pStyle w:val="null3"/>
            </w:pPr>
            <w:r>
              <w:rPr/>
              <w:t>4</w:t>
            </w:r>
          </w:p>
        </w:tc>
        <w:tc>
          <w:tcPr>
            <w:tcW w:type="dxa" w:w="2769"/>
          </w:tcPr>
          <w:p>
            <w:pPr>
              <w:pStyle w:val="null3"/>
              <w:ind w:firstLine="480"/>
              <w:jc w:val="both"/>
            </w:pPr>
            <w:r>
              <w:rPr>
                <w:rFonts w:ascii="宋体" w:hAnsi="宋体" w:cs="宋体" w:eastAsia="宋体"/>
                <w:color w:val="0A82E5"/>
                <w:sz w:val="21"/>
              </w:rPr>
              <w:t>尺寸公差：</w:t>
            </w:r>
            <w:r>
              <w:rPr>
                <w:rFonts w:ascii="宋体" w:hAnsi="宋体" w:cs="宋体" w:eastAsia="宋体"/>
                <w:color w:val="0A82E5"/>
                <w:sz w:val="21"/>
              </w:rPr>
              <w:t>±0.01mm</w:t>
            </w:r>
          </w:p>
        </w:tc>
      </w:tr>
      <w:tr>
        <w:tc>
          <w:tcPr>
            <w:tcW w:type="dxa" w:w="2769"/>
          </w:tcPr>
          <w:p>
            <w:pPr>
              <w:pStyle w:val="null3"/>
            </w:pPr>
            <w:r>
              <w:rPr/>
              <w:t>▲</w:t>
            </w:r>
          </w:p>
        </w:tc>
        <w:tc>
          <w:tcPr>
            <w:tcW w:type="dxa" w:w="2769"/>
          </w:tcPr>
          <w:p>
            <w:pPr>
              <w:pStyle w:val="null3"/>
            </w:pPr>
            <w:r>
              <w:rPr/>
              <w:t>5</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1*2mm</w:t>
            </w:r>
            <w:r>
              <w:rPr>
                <w:rFonts w:ascii="宋体" w:hAnsi="宋体" w:cs="宋体" w:eastAsia="宋体"/>
                <w:color w:val="0A82E5"/>
                <w:sz w:val="21"/>
                <w:vertAlign w:val="superscript"/>
              </w:rPr>
              <w:t>2</w:t>
            </w:r>
            <w:r>
              <w:rPr>
                <w:rFonts w:ascii="宋体" w:hAnsi="宋体" w:cs="宋体" w:eastAsia="宋体"/>
                <w:color w:val="0A82E5"/>
                <w:sz w:val="21"/>
              </w:rPr>
              <w:t>端面激光级抛光并镀膜</w:t>
            </w:r>
          </w:p>
        </w:tc>
      </w:tr>
      <w:tr>
        <w:tc>
          <w:tcPr>
            <w:tcW w:type="dxa" w:w="2769"/>
          </w:tcPr>
          <w:p/>
        </w:tc>
        <w:tc>
          <w:tcPr>
            <w:tcW w:type="dxa" w:w="2769"/>
          </w:tcPr>
          <w:p>
            <w:pPr>
              <w:pStyle w:val="null3"/>
            </w:pPr>
            <w:r>
              <w:rPr/>
              <w:t>6</w:t>
            </w:r>
          </w:p>
        </w:tc>
        <w:tc>
          <w:tcPr>
            <w:tcW w:type="dxa" w:w="2769"/>
          </w:tcPr>
          <w:p>
            <w:pPr>
              <w:pStyle w:val="null3"/>
              <w:ind w:firstLine="480"/>
              <w:jc w:val="both"/>
            </w:pPr>
            <w:r>
              <w:rPr>
                <w:rFonts w:ascii="宋体" w:hAnsi="宋体" w:cs="宋体" w:eastAsia="宋体"/>
                <w:color w:val="0A82E5"/>
                <w:sz w:val="21"/>
              </w:rPr>
              <w:t>一、数量</w:t>
            </w:r>
            <w:r>
              <w:rPr>
                <w:rFonts w:ascii="宋体" w:hAnsi="宋体" w:cs="宋体" w:eastAsia="宋体"/>
                <w:color w:val="0A82E5"/>
                <w:sz w:val="21"/>
              </w:rPr>
              <w:t>1块</w:t>
            </w:r>
          </w:p>
        </w:tc>
      </w:tr>
      <w:tr>
        <w:tc>
          <w:tcPr>
            <w:tcW w:type="dxa" w:w="2769"/>
          </w:tcPr>
          <w:p>
            <w:pPr>
              <w:pStyle w:val="null3"/>
            </w:pPr>
            <w:r>
              <w:rPr/>
              <w:t>▲</w:t>
            </w:r>
          </w:p>
        </w:tc>
        <w:tc>
          <w:tcPr>
            <w:tcW w:type="dxa" w:w="2769"/>
          </w:tcPr>
          <w:p>
            <w:pPr>
              <w:pStyle w:val="null3"/>
            </w:pPr>
            <w:r>
              <w:rPr/>
              <w:t>7</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平凸面，凸面曲率</w:t>
            </w:r>
            <w:r>
              <w:rPr>
                <w:rFonts w:ascii="宋体" w:hAnsi="宋体" w:cs="宋体" w:eastAsia="宋体"/>
                <w:color w:val="0A82E5"/>
                <w:sz w:val="21"/>
              </w:rPr>
              <w:t>12mm，</w:t>
            </w:r>
          </w:p>
        </w:tc>
      </w:tr>
      <w:tr>
        <w:tc>
          <w:tcPr>
            <w:tcW w:type="dxa" w:w="2769"/>
          </w:tcPr>
          <w:p/>
        </w:tc>
        <w:tc>
          <w:tcPr>
            <w:tcW w:type="dxa" w:w="2769"/>
          </w:tcPr>
          <w:p>
            <w:pPr>
              <w:pStyle w:val="null3"/>
            </w:pPr>
            <w:r>
              <w:rPr/>
              <w:t>8</w:t>
            </w:r>
          </w:p>
        </w:tc>
        <w:tc>
          <w:tcPr>
            <w:tcW w:type="dxa" w:w="2769"/>
          </w:tcPr>
          <w:p>
            <w:pPr>
              <w:pStyle w:val="null3"/>
              <w:ind w:firstLine="480"/>
              <w:jc w:val="both"/>
            </w:pPr>
            <w:r>
              <w:rPr>
                <w:rFonts w:ascii="宋体" w:hAnsi="宋体" w:cs="宋体" w:eastAsia="宋体"/>
                <w:color w:val="0A82E5"/>
                <w:sz w:val="21"/>
              </w:rPr>
              <w:t>S1:AR1550+775nm,</w:t>
            </w:r>
          </w:p>
        </w:tc>
      </w:tr>
      <w:tr>
        <w:tc>
          <w:tcPr>
            <w:tcW w:type="dxa" w:w="2769"/>
          </w:tcPr>
          <w:p/>
        </w:tc>
        <w:tc>
          <w:tcPr>
            <w:tcW w:type="dxa" w:w="2769"/>
          </w:tcPr>
          <w:p>
            <w:pPr>
              <w:pStyle w:val="null3"/>
            </w:pPr>
            <w:r>
              <w:rPr/>
              <w:t>9</w:t>
            </w:r>
          </w:p>
        </w:tc>
        <w:tc>
          <w:tcPr>
            <w:tcW w:type="dxa" w:w="2769"/>
          </w:tcPr>
          <w:p>
            <w:pPr>
              <w:pStyle w:val="null3"/>
              <w:ind w:firstLine="480"/>
              <w:jc w:val="both"/>
            </w:pPr>
            <w:r>
              <w:rPr>
                <w:rFonts w:ascii="宋体" w:hAnsi="宋体" w:cs="宋体" w:eastAsia="宋体"/>
                <w:color w:val="0A82E5"/>
                <w:sz w:val="21"/>
              </w:rPr>
              <w:t>R&lt;0.1%,@1550nm,</w:t>
            </w:r>
          </w:p>
        </w:tc>
      </w:tr>
      <w:tr>
        <w:tc>
          <w:tcPr>
            <w:tcW w:type="dxa" w:w="2769"/>
          </w:tcPr>
          <w:p/>
        </w:tc>
        <w:tc>
          <w:tcPr>
            <w:tcW w:type="dxa" w:w="2769"/>
          </w:tcPr>
          <w:p>
            <w:pPr>
              <w:pStyle w:val="null3"/>
            </w:pPr>
            <w:r>
              <w:rPr/>
              <w:t>10</w:t>
            </w:r>
          </w:p>
        </w:tc>
        <w:tc>
          <w:tcPr>
            <w:tcW w:type="dxa" w:w="2769"/>
          </w:tcPr>
          <w:p>
            <w:pPr>
              <w:pStyle w:val="null3"/>
              <w:ind w:firstLine="480"/>
              <w:jc w:val="both"/>
            </w:pPr>
            <w:r>
              <w:rPr>
                <w:rFonts w:ascii="宋体" w:hAnsi="宋体" w:cs="宋体" w:eastAsia="宋体"/>
                <w:color w:val="0A82E5"/>
                <w:sz w:val="21"/>
              </w:rPr>
              <w:t>R&lt;0.2%,@775nm；</w:t>
            </w:r>
          </w:p>
        </w:tc>
      </w:tr>
      <w:tr>
        <w:tc>
          <w:tcPr>
            <w:tcW w:type="dxa" w:w="2769"/>
          </w:tcPr>
          <w:p/>
        </w:tc>
        <w:tc>
          <w:tcPr>
            <w:tcW w:type="dxa" w:w="2769"/>
          </w:tcPr>
          <w:p>
            <w:pPr>
              <w:pStyle w:val="null3"/>
            </w:pPr>
            <w:r>
              <w:rPr/>
              <w:t>11</w:t>
            </w:r>
          </w:p>
        </w:tc>
        <w:tc>
          <w:tcPr>
            <w:tcW w:type="dxa" w:w="2769"/>
          </w:tcPr>
          <w:p>
            <w:pPr>
              <w:pStyle w:val="null3"/>
              <w:ind w:firstLine="480"/>
              <w:jc w:val="both"/>
            </w:pPr>
            <w:r>
              <w:rPr>
                <w:rFonts w:ascii="宋体" w:hAnsi="宋体" w:cs="宋体" w:eastAsia="宋体"/>
                <w:color w:val="0A82E5"/>
                <w:sz w:val="21"/>
              </w:rPr>
              <w:t>S2:凸面端</w:t>
            </w:r>
          </w:p>
        </w:tc>
      </w:tr>
      <w:tr>
        <w:tc>
          <w:tcPr>
            <w:tcW w:type="dxa" w:w="2769"/>
          </w:tcPr>
          <w:p/>
        </w:tc>
        <w:tc>
          <w:tcPr>
            <w:tcW w:type="dxa" w:w="2769"/>
          </w:tcPr>
          <w:p>
            <w:pPr>
              <w:pStyle w:val="null3"/>
            </w:pPr>
            <w:r>
              <w:rPr/>
              <w:t>12</w:t>
            </w:r>
          </w:p>
        </w:tc>
        <w:tc>
          <w:tcPr>
            <w:tcW w:type="dxa" w:w="2769"/>
          </w:tcPr>
          <w:p>
            <w:pPr>
              <w:pStyle w:val="null3"/>
              <w:ind w:firstLine="480"/>
              <w:jc w:val="both"/>
            </w:pPr>
            <w:r>
              <w:rPr>
                <w:rFonts w:ascii="宋体" w:hAnsi="宋体" w:cs="宋体" w:eastAsia="宋体"/>
                <w:color w:val="0A82E5"/>
                <w:sz w:val="21"/>
              </w:rPr>
              <w:t>HR1550nm,R≥99.8%</w:t>
            </w:r>
          </w:p>
        </w:tc>
      </w:tr>
      <w:tr>
        <w:tc>
          <w:tcPr>
            <w:tcW w:type="dxa" w:w="2769"/>
          </w:tcPr>
          <w:p/>
        </w:tc>
        <w:tc>
          <w:tcPr>
            <w:tcW w:type="dxa" w:w="2769"/>
          </w:tcPr>
          <w:p>
            <w:pPr>
              <w:pStyle w:val="null3"/>
            </w:pPr>
            <w:r>
              <w:rPr/>
              <w:t>13</w:t>
            </w:r>
          </w:p>
        </w:tc>
        <w:tc>
          <w:tcPr>
            <w:tcW w:type="dxa" w:w="2769"/>
          </w:tcPr>
          <w:p>
            <w:pPr>
              <w:pStyle w:val="null3"/>
              <w:ind w:firstLine="480"/>
              <w:jc w:val="both"/>
            </w:pPr>
            <w:r>
              <w:rPr>
                <w:rFonts w:ascii="宋体" w:hAnsi="宋体" w:cs="宋体" w:eastAsia="宋体"/>
                <w:color w:val="0A82E5"/>
                <w:sz w:val="21"/>
              </w:rPr>
              <w:t>PRR775nm, R≥80%</w:t>
            </w:r>
          </w:p>
        </w:tc>
      </w:tr>
      <w:tr>
        <w:tc>
          <w:tcPr>
            <w:tcW w:type="dxa" w:w="2769"/>
          </w:tcPr>
          <w:p/>
        </w:tc>
        <w:tc>
          <w:tcPr>
            <w:tcW w:type="dxa" w:w="2769"/>
          </w:tcPr>
          <w:p>
            <w:pPr>
              <w:pStyle w:val="null3"/>
            </w:pPr>
            <w:r>
              <w:rPr/>
              <w:t>14</w:t>
            </w:r>
          </w:p>
        </w:tc>
        <w:tc>
          <w:tcPr>
            <w:tcW w:type="dxa" w:w="2769"/>
          </w:tcPr>
          <w:p>
            <w:pPr>
              <w:pStyle w:val="null3"/>
              <w:ind w:firstLine="480"/>
              <w:jc w:val="both"/>
            </w:pPr>
            <w:r>
              <w:rPr>
                <w:rFonts w:ascii="宋体" w:hAnsi="宋体" w:cs="宋体" w:eastAsia="宋体"/>
                <w:color w:val="0A82E5"/>
                <w:sz w:val="21"/>
              </w:rPr>
              <w:t>二、数量</w:t>
            </w:r>
            <w:r>
              <w:rPr>
                <w:rFonts w:ascii="宋体" w:hAnsi="宋体" w:cs="宋体" w:eastAsia="宋体"/>
                <w:color w:val="0A82E5"/>
                <w:sz w:val="21"/>
              </w:rPr>
              <w:t>1块</w:t>
            </w:r>
          </w:p>
        </w:tc>
      </w:tr>
      <w:tr>
        <w:tc>
          <w:tcPr>
            <w:tcW w:type="dxa" w:w="2769"/>
          </w:tcPr>
          <w:p/>
        </w:tc>
        <w:tc>
          <w:tcPr>
            <w:tcW w:type="dxa" w:w="2769"/>
          </w:tcPr>
          <w:p>
            <w:pPr>
              <w:pStyle w:val="null3"/>
            </w:pPr>
            <w:r>
              <w:rPr/>
              <w:t>15</w:t>
            </w:r>
          </w:p>
        </w:tc>
        <w:tc>
          <w:tcPr>
            <w:tcW w:type="dxa" w:w="2769"/>
          </w:tcPr>
          <w:p>
            <w:pPr>
              <w:pStyle w:val="null3"/>
              <w:ind w:firstLine="480"/>
              <w:jc w:val="both"/>
            </w:pPr>
            <w:r>
              <w:rPr>
                <w:rFonts w:ascii="宋体" w:hAnsi="宋体" w:cs="宋体" w:eastAsia="宋体"/>
                <w:color w:val="0A82E5"/>
                <w:sz w:val="21"/>
              </w:rPr>
              <w:t>AR/AR1550+775nm,</w:t>
            </w:r>
          </w:p>
        </w:tc>
      </w:tr>
      <w:tr>
        <w:tc>
          <w:tcPr>
            <w:tcW w:type="dxa" w:w="2769"/>
          </w:tcPr>
          <w:p/>
        </w:tc>
        <w:tc>
          <w:tcPr>
            <w:tcW w:type="dxa" w:w="2769"/>
          </w:tcPr>
          <w:p>
            <w:pPr>
              <w:pStyle w:val="null3"/>
            </w:pPr>
            <w:r>
              <w:rPr/>
              <w:t>16</w:t>
            </w:r>
          </w:p>
        </w:tc>
        <w:tc>
          <w:tcPr>
            <w:tcW w:type="dxa" w:w="2769"/>
          </w:tcPr>
          <w:p>
            <w:pPr>
              <w:pStyle w:val="null3"/>
              <w:ind w:firstLine="480"/>
              <w:jc w:val="both"/>
            </w:pPr>
            <w:r>
              <w:rPr>
                <w:rFonts w:ascii="宋体" w:hAnsi="宋体" w:cs="宋体" w:eastAsia="宋体"/>
                <w:color w:val="0A82E5"/>
                <w:sz w:val="21"/>
              </w:rPr>
              <w:t>R&lt;0.5%</w:t>
            </w:r>
          </w:p>
        </w:tc>
      </w:tr>
      <w:tr>
        <w:tc>
          <w:tcPr>
            <w:tcW w:type="dxa" w:w="2769"/>
          </w:tcPr>
          <w:p/>
        </w:tc>
        <w:tc>
          <w:tcPr>
            <w:tcW w:type="dxa" w:w="2769"/>
          </w:tcPr>
          <w:p>
            <w:pPr>
              <w:pStyle w:val="null3"/>
            </w:pPr>
            <w:r>
              <w:rPr/>
              <w:t>17</w:t>
            </w:r>
          </w:p>
        </w:tc>
        <w:tc>
          <w:tcPr>
            <w:tcW w:type="dxa" w:w="2769"/>
          </w:tcPr>
          <w:p>
            <w:pPr>
              <w:pStyle w:val="null3"/>
              <w:ind w:firstLine="480"/>
              <w:jc w:val="both"/>
            </w:pPr>
            <w:r>
              <w:rPr>
                <w:rFonts w:ascii="宋体" w:hAnsi="宋体" w:cs="宋体" w:eastAsia="宋体"/>
                <w:color w:val="0A82E5"/>
                <w:sz w:val="21"/>
              </w:rPr>
              <w:t>三、数量</w:t>
            </w:r>
            <w:r>
              <w:rPr>
                <w:rFonts w:ascii="宋体" w:hAnsi="宋体" w:cs="宋体" w:eastAsia="宋体"/>
                <w:color w:val="0A82E5"/>
                <w:sz w:val="21"/>
              </w:rPr>
              <w:t>2块</w:t>
            </w:r>
          </w:p>
        </w:tc>
      </w:tr>
      <w:tr>
        <w:tc>
          <w:tcPr>
            <w:tcW w:type="dxa" w:w="2769"/>
          </w:tcPr>
          <w:p>
            <w:pPr>
              <w:pStyle w:val="null3"/>
            </w:pPr>
            <w:r>
              <w:rPr/>
              <w:t>▲</w:t>
            </w:r>
          </w:p>
        </w:tc>
        <w:tc>
          <w:tcPr>
            <w:tcW w:type="dxa" w:w="2769"/>
          </w:tcPr>
          <w:p>
            <w:pPr>
              <w:pStyle w:val="null3"/>
            </w:pPr>
            <w:r>
              <w:rPr/>
              <w:t>18</w:t>
            </w:r>
          </w:p>
        </w:tc>
        <w:tc>
          <w:tcPr>
            <w:tcW w:type="dxa" w:w="2769"/>
          </w:tcPr>
          <w:p>
            <w:pPr>
              <w:pStyle w:val="null3"/>
              <w:ind w:firstLine="480"/>
              <w:jc w:val="both"/>
            </w:pPr>
            <w:r>
              <w:rPr>
                <w:rFonts w:ascii="宋体" w:hAnsi="宋体" w:cs="宋体" w:eastAsia="宋体"/>
                <w:b/>
                <w:color w:val="0A82E5"/>
                <w:sz w:val="21"/>
              </w:rPr>
              <w:t>▲</w:t>
            </w:r>
            <w:r>
              <w:rPr>
                <w:rFonts w:ascii="宋体" w:hAnsi="宋体" w:cs="宋体" w:eastAsia="宋体"/>
                <w:color w:val="0A82E5"/>
                <w:sz w:val="21"/>
              </w:rPr>
              <w:t>平凸面，凸面曲率</w:t>
            </w:r>
            <w:r>
              <w:rPr>
                <w:rFonts w:ascii="宋体" w:hAnsi="宋体" w:cs="宋体" w:eastAsia="宋体"/>
                <w:color w:val="0A82E5"/>
                <w:sz w:val="21"/>
              </w:rPr>
              <w:t>12mm，</w:t>
            </w:r>
          </w:p>
        </w:tc>
      </w:tr>
      <w:tr>
        <w:tc>
          <w:tcPr>
            <w:tcW w:type="dxa" w:w="2769"/>
          </w:tcPr>
          <w:p/>
        </w:tc>
        <w:tc>
          <w:tcPr>
            <w:tcW w:type="dxa" w:w="2769"/>
          </w:tcPr>
          <w:p>
            <w:pPr>
              <w:pStyle w:val="null3"/>
            </w:pPr>
            <w:r>
              <w:rPr/>
              <w:t>19</w:t>
            </w:r>
          </w:p>
        </w:tc>
        <w:tc>
          <w:tcPr>
            <w:tcW w:type="dxa" w:w="2769"/>
          </w:tcPr>
          <w:p>
            <w:pPr>
              <w:pStyle w:val="null3"/>
              <w:ind w:firstLine="480"/>
              <w:jc w:val="both"/>
            </w:pPr>
            <w:r>
              <w:rPr>
                <w:rFonts w:ascii="宋体" w:hAnsi="宋体" w:cs="宋体" w:eastAsia="宋体"/>
                <w:color w:val="0A82E5"/>
                <w:sz w:val="21"/>
              </w:rPr>
              <w:t>S1:AR1550+775nm,</w:t>
            </w:r>
          </w:p>
        </w:tc>
      </w:tr>
      <w:tr>
        <w:tc>
          <w:tcPr>
            <w:tcW w:type="dxa" w:w="2769"/>
          </w:tcPr>
          <w:p/>
        </w:tc>
        <w:tc>
          <w:tcPr>
            <w:tcW w:type="dxa" w:w="2769"/>
          </w:tcPr>
          <w:p>
            <w:pPr>
              <w:pStyle w:val="null3"/>
            </w:pPr>
            <w:r>
              <w:rPr/>
              <w:t>20</w:t>
            </w:r>
          </w:p>
        </w:tc>
        <w:tc>
          <w:tcPr>
            <w:tcW w:type="dxa" w:w="2769"/>
          </w:tcPr>
          <w:p>
            <w:pPr>
              <w:pStyle w:val="null3"/>
              <w:ind w:firstLine="480"/>
              <w:jc w:val="both"/>
            </w:pPr>
            <w:r>
              <w:rPr>
                <w:rFonts w:ascii="宋体" w:hAnsi="宋体" w:cs="宋体" w:eastAsia="宋体"/>
                <w:color w:val="0A82E5"/>
                <w:sz w:val="21"/>
              </w:rPr>
              <w:t>R&lt;0.1%,@1550nm,</w:t>
            </w:r>
          </w:p>
        </w:tc>
      </w:tr>
      <w:tr>
        <w:tc>
          <w:tcPr>
            <w:tcW w:type="dxa" w:w="2769"/>
          </w:tcPr>
          <w:p/>
        </w:tc>
        <w:tc>
          <w:tcPr>
            <w:tcW w:type="dxa" w:w="2769"/>
          </w:tcPr>
          <w:p>
            <w:pPr>
              <w:pStyle w:val="null3"/>
            </w:pPr>
            <w:r>
              <w:rPr/>
              <w:t>21</w:t>
            </w:r>
          </w:p>
        </w:tc>
        <w:tc>
          <w:tcPr>
            <w:tcW w:type="dxa" w:w="2769"/>
          </w:tcPr>
          <w:p>
            <w:pPr>
              <w:pStyle w:val="null3"/>
              <w:ind w:firstLine="480"/>
              <w:jc w:val="both"/>
            </w:pPr>
            <w:r>
              <w:rPr>
                <w:rFonts w:ascii="宋体" w:hAnsi="宋体" w:cs="宋体" w:eastAsia="宋体"/>
                <w:color w:val="0A82E5"/>
                <w:sz w:val="21"/>
              </w:rPr>
              <w:t>R&lt;0.2%,@775nm；</w:t>
            </w:r>
          </w:p>
        </w:tc>
      </w:tr>
      <w:tr>
        <w:tc>
          <w:tcPr>
            <w:tcW w:type="dxa" w:w="2769"/>
          </w:tcPr>
          <w:p/>
        </w:tc>
        <w:tc>
          <w:tcPr>
            <w:tcW w:type="dxa" w:w="2769"/>
          </w:tcPr>
          <w:p>
            <w:pPr>
              <w:pStyle w:val="null3"/>
            </w:pPr>
            <w:r>
              <w:rPr/>
              <w:t>22</w:t>
            </w:r>
          </w:p>
        </w:tc>
        <w:tc>
          <w:tcPr>
            <w:tcW w:type="dxa" w:w="2769"/>
          </w:tcPr>
          <w:p>
            <w:pPr>
              <w:pStyle w:val="null3"/>
              <w:ind w:firstLine="480"/>
              <w:jc w:val="both"/>
            </w:pPr>
            <w:r>
              <w:rPr>
                <w:rFonts w:ascii="宋体" w:hAnsi="宋体" w:cs="宋体" w:eastAsia="宋体"/>
                <w:color w:val="0A82E5"/>
                <w:sz w:val="21"/>
              </w:rPr>
              <w:t>S2:凸面端</w:t>
            </w:r>
          </w:p>
        </w:tc>
      </w:tr>
      <w:tr>
        <w:tc>
          <w:tcPr>
            <w:tcW w:type="dxa" w:w="2769"/>
          </w:tcPr>
          <w:p/>
        </w:tc>
        <w:tc>
          <w:tcPr>
            <w:tcW w:type="dxa" w:w="2769"/>
          </w:tcPr>
          <w:p>
            <w:pPr>
              <w:pStyle w:val="null3"/>
            </w:pPr>
            <w:r>
              <w:rPr/>
              <w:t>23</w:t>
            </w:r>
          </w:p>
        </w:tc>
        <w:tc>
          <w:tcPr>
            <w:tcW w:type="dxa" w:w="2769"/>
          </w:tcPr>
          <w:p>
            <w:pPr>
              <w:pStyle w:val="null3"/>
              <w:ind w:firstLine="480"/>
              <w:jc w:val="both"/>
            </w:pPr>
            <w:r>
              <w:rPr>
                <w:rFonts w:ascii="宋体" w:hAnsi="宋体" w:cs="宋体" w:eastAsia="宋体"/>
                <w:color w:val="0A82E5"/>
                <w:sz w:val="21"/>
              </w:rPr>
              <w:t>HR1550nm,</w:t>
            </w:r>
          </w:p>
        </w:tc>
      </w:tr>
      <w:tr>
        <w:tc>
          <w:tcPr>
            <w:tcW w:type="dxa" w:w="2769"/>
          </w:tcPr>
          <w:p/>
        </w:tc>
        <w:tc>
          <w:tcPr>
            <w:tcW w:type="dxa" w:w="2769"/>
          </w:tcPr>
          <w:p>
            <w:pPr>
              <w:pStyle w:val="null3"/>
            </w:pPr>
            <w:r>
              <w:rPr/>
              <w:t>24</w:t>
            </w:r>
          </w:p>
        </w:tc>
        <w:tc>
          <w:tcPr>
            <w:tcW w:type="dxa" w:w="2769"/>
          </w:tcPr>
          <w:p>
            <w:pPr>
              <w:pStyle w:val="null3"/>
              <w:ind w:firstLine="480"/>
              <w:jc w:val="both"/>
            </w:pPr>
            <w:r>
              <w:rPr>
                <w:rFonts w:ascii="宋体" w:hAnsi="宋体" w:cs="宋体" w:eastAsia="宋体"/>
                <w:color w:val="0A82E5"/>
                <w:sz w:val="21"/>
              </w:rPr>
              <w:t>R≥99.9%+775nm,</w:t>
            </w:r>
          </w:p>
        </w:tc>
      </w:tr>
      <w:tr>
        <w:tc>
          <w:tcPr>
            <w:tcW w:type="dxa" w:w="2769"/>
          </w:tcPr>
          <w:p/>
        </w:tc>
        <w:tc>
          <w:tcPr>
            <w:tcW w:type="dxa" w:w="2769"/>
          </w:tcPr>
          <w:p>
            <w:pPr>
              <w:pStyle w:val="null3"/>
            </w:pPr>
            <w:r>
              <w:rPr/>
              <w:t>25</w:t>
            </w:r>
          </w:p>
        </w:tc>
        <w:tc>
          <w:tcPr>
            <w:tcW w:type="dxa" w:w="2769"/>
          </w:tcPr>
          <w:p>
            <w:pPr>
              <w:pStyle w:val="null3"/>
              <w:jc w:val="both"/>
            </w:pPr>
            <w:r>
              <w:rPr>
                <w:rFonts w:ascii="宋体" w:hAnsi="宋体" w:cs="宋体" w:eastAsia="宋体"/>
                <w:sz w:val="21"/>
              </w:rPr>
              <w:t>R≥99.5%</w:t>
            </w:r>
          </w:p>
        </w:tc>
      </w:tr>
      <w:tr>
        <w:tc>
          <w:tcPr>
            <w:tcW w:type="dxa" w:w="2769"/>
          </w:tcPr>
          <w:p/>
        </w:tc>
        <w:tc>
          <w:tcPr>
            <w:tcW w:type="dxa" w:w="2769"/>
          </w:tcPr>
          <w:p>
            <w:pPr>
              <w:pStyle w:val="null3"/>
            </w:pPr>
            <w:r>
              <w:rPr/>
              <w:t>26</w:t>
            </w:r>
          </w:p>
        </w:tc>
        <w:tc>
          <w:tcPr>
            <w:tcW w:type="dxa" w:w="2769"/>
          </w:tcPr>
          <w:p>
            <w:pPr>
              <w:pStyle w:val="null3"/>
            </w:pPr>
            <w:r>
              <w:rPr>
                <w:rFonts w:ascii="宋体" w:hAnsi="宋体" w:cs="宋体" w:eastAsia="宋体"/>
                <w:color w:val="0A82E5"/>
                <w:sz w:val="21"/>
              </w:rPr>
              <w:t>★</w:t>
            </w:r>
            <w:r>
              <w:rPr>
                <w:rFonts w:ascii="宋体" w:hAnsi="宋体" w:cs="宋体" w:eastAsia="宋体"/>
                <w:color w:val="0A82E5"/>
                <w:sz w:val="21"/>
              </w:rPr>
              <w:t>和</w:t>
            </w:r>
            <w:r>
              <w:rPr>
                <w:rFonts w:ascii="宋体" w:hAnsi="宋体" w:cs="宋体" w:eastAsia="宋体"/>
                <w:color w:val="0A82E5"/>
                <w:sz w:val="21"/>
              </w:rPr>
              <w:t>▲参数必须提供佐证材料，未</w:t>
            </w:r>
            <w:r>
              <w:rPr>
                <w:rFonts w:ascii="宋体" w:hAnsi="宋体" w:cs="宋体" w:eastAsia="宋体"/>
                <w:color w:val="0A82E5"/>
                <w:sz w:val="21"/>
              </w:rPr>
              <w:t>提供佐证材料或提供的佐证材料低于招标要求时按负偏离处理，</w:t>
            </w:r>
            <w:r>
              <w:rPr>
                <w:rFonts w:ascii="宋体" w:hAnsi="宋体" w:cs="宋体" w:eastAsia="宋体"/>
                <w:color w:val="0A82E5"/>
                <w:sz w:val="21"/>
              </w:rPr>
              <w:t>★</w:t>
            </w:r>
            <w:r>
              <w:rPr>
                <w:rFonts w:ascii="宋体" w:hAnsi="宋体" w:cs="宋体" w:eastAsia="宋体"/>
                <w:color w:val="0A82E5"/>
                <w:sz w:val="21"/>
              </w:rPr>
              <w:t>出现任意一项负偏离按无效投标处理，</w:t>
            </w:r>
            <w:r>
              <w:rPr>
                <w:rFonts w:ascii="宋体" w:hAnsi="宋体" w:cs="宋体" w:eastAsia="宋体"/>
                <w:color w:val="0A82E5"/>
                <w:sz w:val="21"/>
              </w:rPr>
              <w:t>▲</w:t>
            </w:r>
            <w:r>
              <w:rPr>
                <w:rFonts w:ascii="宋体" w:hAnsi="宋体" w:cs="宋体" w:eastAsia="宋体"/>
                <w:color w:val="0A82E5"/>
                <w:sz w:val="21"/>
              </w:rPr>
              <w:t>负偏离做扣分处理</w:t>
            </w:r>
          </w:p>
        </w:tc>
      </w:tr>
    </w:tbl>
    <w:p>
      <w:pPr>
        <w:pStyle w:val="null3"/>
        <w:outlineLvl w:val="2"/>
      </w:pPr>
      <w:r>
        <w:rPr>
          <w:b/>
          <w:sz w:val="28"/>
        </w:rPr>
        <w:t>3.4商务要求</w:t>
      </w:r>
    </w:p>
    <w:p>
      <w:pPr>
        <w:pStyle w:val="null3"/>
        <w:outlineLvl w:val="3"/>
      </w:pPr>
      <w:r>
        <w:rPr>
          <w:b/>
          <w:sz w:val="24"/>
        </w:rPr>
        <w:t xml:space="preserve"> 3.4.1交货时间</w:t>
      </w:r>
    </w:p>
    <w:p>
      <w:pPr>
        <w:pStyle w:val="null3"/>
      </w:pPr>
      <w:r>
        <w:rPr/>
        <w:t>采购包1：</w:t>
      </w:r>
    </w:p>
    <w:p>
      <w:pPr>
        <w:pStyle w:val="null3"/>
      </w:pPr>
      <w:r>
        <w:rPr/>
        <w:t>交货期：合同签订之日起 90 天内完成交付、安装及调试</w:t>
      </w:r>
    </w:p>
    <w:p>
      <w:pPr>
        <w:pStyle w:val="null3"/>
        <w:outlineLvl w:val="3"/>
      </w:pPr>
      <w:r>
        <w:rPr>
          <w:b/>
          <w:sz w:val="24"/>
        </w:rPr>
        <w:t>3.4.2交货地点</w:t>
      </w:r>
    </w:p>
    <w:p>
      <w:pPr>
        <w:pStyle w:val="null3"/>
      </w:pPr>
      <w:r>
        <w:rPr/>
        <w:t>采购包1：</w:t>
      </w:r>
    </w:p>
    <w:p>
      <w:pPr>
        <w:pStyle w:val="null3"/>
      </w:pPr>
      <w:r>
        <w:rPr/>
        <w:t>西安工程大学临潼校区理学院理科楼133</w:t>
      </w:r>
    </w:p>
    <w:p>
      <w:pPr>
        <w:pStyle w:val="null3"/>
        <w:outlineLvl w:val="3"/>
      </w:pPr>
      <w:r>
        <w:rPr>
          <w:b/>
          <w:sz w:val="24"/>
        </w:rPr>
        <w:t>3.4.3支付方式</w:t>
      </w:r>
    </w:p>
    <w:p>
      <w:pPr>
        <w:pStyle w:val="null3"/>
      </w:pPr>
      <w:r>
        <w:rPr/>
        <w:t>采购包1：</w:t>
      </w:r>
    </w:p>
    <w:p>
      <w:pPr>
        <w:pStyle w:val="null3"/>
      </w:pPr>
      <w:r>
        <w:rPr/>
        <w:t>一次付清</w:t>
      </w:r>
    </w:p>
    <w:p>
      <w:pPr>
        <w:pStyle w:val="null3"/>
        <w:outlineLvl w:val="3"/>
      </w:pPr>
      <w:r>
        <w:rPr>
          <w:b/>
          <w:sz w:val="24"/>
        </w:rPr>
        <w:t>3.4.4支付约定</w:t>
      </w:r>
    </w:p>
    <w:p>
      <w:pPr>
        <w:pStyle w:val="null3"/>
      </w:pPr>
      <w:r>
        <w:rPr/>
        <w:t>采购包1：</w:t>
      </w:r>
      <w:r>
        <w:rPr/>
        <w:t xml:space="preserve"> 付款条件说明： </w:t>
      </w:r>
      <w:r>
        <w:rPr/>
        <w:t>国产产品：合同签订后，所有物资（设备）到达甲方指定地点，安装、调试完毕并验收合格后，60天内支付国产合同总价的100%。甲方向乙方付款前，乙方应向甲方开具符合甲方要求的发票，若因乙方未开具或逾期开具合法有效的发票，甲方有权顺延付款期限且不承担逾期付款责任。 进口产品：合同生效后，由甲方通过进出口业务代理公司向乙方开出全额信用证（100%信用证）。信用证 90% 凭发货单据及甲方签署的开箱清点报告单解付，10%凭甲方出具的正式验收报告解付。备注：进口产品如需办理免税，西安工程大学委托指定的外贸公司办理，付款方式如下：通过西安工程大学委托的外贸公司向国外供货商开具100%不可撤销即期跟单信用证。90%合同货款凭外贸合同约定单据及西安工程大学出具的开箱点货报告原件解付；剩余10%合同尾款凭西安工程大学出具的产品验收报告原件解付</w:t>
      </w:r>
      <w:r>
        <w:rPr/>
        <w:t xml:space="preserve"> ，达到付款条件起 </w:t>
      </w:r>
      <w:r>
        <w:rPr/>
        <w:t>60</w:t>
      </w:r>
      <w:r>
        <w:rPr/>
        <w:t xml:space="preserve"> 日内，支付合同总金额的 </w:t>
      </w:r>
      <w:r>
        <w:rPr/>
        <w:t>100.00</w:t>
      </w:r>
      <w:r>
        <w:rPr/>
        <w:t>%。</w:t>
      </w:r>
    </w:p>
    <w:p>
      <w:pPr>
        <w:pStyle w:val="null3"/>
        <w:outlineLvl w:val="3"/>
      </w:pPr>
      <w:r>
        <w:rPr>
          <w:b/>
          <w:sz w:val="24"/>
        </w:rPr>
        <w:t>3.4.5验收标准和方法</w:t>
      </w:r>
    </w:p>
    <w:p>
      <w:pPr>
        <w:pStyle w:val="null3"/>
      </w:pPr>
      <w:r>
        <w:rPr/>
        <w:t>采购包1：</w:t>
      </w:r>
    </w:p>
    <w:p>
      <w:pPr>
        <w:pStyle w:val="null3"/>
      </w:pPr>
      <w:r>
        <w:rPr/>
        <w:t xml:space="preserve"> 根据招标文件要求、投标文件及合同约定执行</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质保期：验收合格通过之日起 1 年</w:t>
      </w:r>
    </w:p>
    <w:p>
      <w:pPr>
        <w:pStyle w:val="null3"/>
        <w:outlineLvl w:val="3"/>
      </w:pPr>
      <w:r>
        <w:rPr>
          <w:b/>
          <w:sz w:val="24"/>
        </w:rPr>
        <w:t>3.4.8违约责任与解决争议的方法</w:t>
      </w:r>
    </w:p>
    <w:p>
      <w:pPr>
        <w:pStyle w:val="null3"/>
      </w:pPr>
      <w:r>
        <w:rPr/>
        <w:t>采购包1：</w:t>
      </w:r>
    </w:p>
    <w:p>
      <w:pPr>
        <w:pStyle w:val="null3"/>
      </w:pPr>
      <w:r>
        <w:rPr/>
        <w:t xml:space="preserve"> 根据招标文件要求、投标文件及合同约定执行</w:t>
      </w:r>
    </w:p>
    <w:p>
      <w:pPr>
        <w:pStyle w:val="null3"/>
        <w:jc w:val="left"/>
        <w:outlineLvl w:val="2"/>
      </w:pPr>
      <w:r>
        <w:rPr>
          <w:b/>
          <w:sz w:val="28"/>
        </w:rPr>
        <w:t>3.5其他要求</w:t>
      </w:r>
    </w:p>
    <w:p>
      <w:pPr>
        <w:pStyle w:val="null3"/>
      </w:pPr>
      <w:r>
        <w:rPr/>
        <w:t>一、核心产品：大功率窄线宽激光器； 二、商务条款 1、交货期：合同签订之日起 90 天内完成交付、安装及调试； 2、交货地点：西安工程大学临潼校区理学院理科楼133 ； 3、 质保期：验收合格通过之日起 1 年 4、付款方式：国产产品：合同签订后，所有物资（设备）到达甲方指定地点，安装、调试完毕并验收合格后，60天内支付合同总价的100%。甲方向乙方付款前，乙方应向甲方开具符合甲方要求的发票，若因乙方未开具或逾期开具合法有效的发票，甲方有权顺延付款期限且不承担逾期付款责任。 进口产品：合同生效后，由甲方通过进出口业务代理公司向乙方开出全额信用证（100%信用证）。信用证 90% 凭发货单据及甲方签署的开箱清点报告单解付，10%凭甲方出具的正式验收报告解付。 备注：进口产品如需办理免税，西安工程大学委托指定的外贸公司办理，付款方式如下：通过西安工程大学委托的外贸公司向国外供货商开具100%不可撤销即期跟单信用证。90%合同货款凭外贸合同约定单据及西安工程大学出具的开箱点货报告原件解付；剩余10%合同尾款凭西安工程大学出具的产品验收报告原件解付。 注：商务条款为实质性条款，不允许负偏离 三、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10 号华奥大厦 A 座20层 2002 室开标室，若电子投标文件与纸质投标文件不一致的，以电子投标文件为准。</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b/>
          <w:sz w:val="28"/>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b/>
          <w:sz w:val="28"/>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法定代表人授权书</w:t>
            </w:r>
          </w:p>
        </w:tc>
        <w:tc>
          <w:tcPr>
            <w:tcW w:type="dxa" w:w="3322"/>
          </w:tcPr>
          <w:p>
            <w:pPr>
              <w:pStyle w:val="null3"/>
            </w:pPr>
            <w:r>
              <w:rPr/>
              <w:t>非法定代表人参加投标的，须提供法定代表人委托授权书及被授权人身份证，法定代表人参加投标时,只需提供法定代表人身份证</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参加政府采购活动前3年内在经营活动中没有重大违法记录的书面声明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进口授权</w:t>
            </w:r>
          </w:p>
        </w:tc>
        <w:tc>
          <w:tcPr>
            <w:tcW w:type="dxa" w:w="3322"/>
          </w:tcPr>
          <w:p>
            <w:pPr>
              <w:pStyle w:val="null3"/>
            </w:pPr>
            <w:r>
              <w:rPr/>
              <w:t>所投大功率窄线宽激光器为进口产品的，供应商为非所投产品制造厂家的，需提供产品制造厂家对所投进口产品的授权书，或具有授权权限的代理商对所投进口产品的授权书（且需提供该代理商具有有效授权权限的相关证明文件，证明文件需能显示设备制造厂家对所投产品授权链条的完整性），产品制造厂家直投不需要提供</w:t>
            </w:r>
          </w:p>
        </w:tc>
        <w:tc>
          <w:tcPr>
            <w:tcW w:type="dxa" w:w="1661"/>
          </w:tcPr>
          <w:p>
            <w:pPr>
              <w:pStyle w:val="null3"/>
            </w:pPr>
            <w:r>
              <w:rPr/>
              <w:t>供应商资格要求</w:t>
            </w:r>
          </w:p>
        </w:tc>
      </w:tr>
      <w:tr>
        <w:tc>
          <w:tcPr>
            <w:tcW w:type="dxa" w:w="831"/>
          </w:tcPr>
          <w:p>
            <w:pPr>
              <w:pStyle w:val="null3"/>
            </w:pPr>
            <w:r>
              <w:rPr/>
              <w:t>9</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供应商资格要求</w:t>
            </w:r>
          </w:p>
        </w:tc>
      </w:tr>
    </w:tbl>
    <w:p>
      <w:pPr>
        <w:pStyle w:val="null3"/>
        <w:outlineLvl w:val="2"/>
      </w:pPr>
      <w:r>
        <w:rPr>
          <w:b/>
          <w:sz w:val="28"/>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w:t>
            </w:r>
          </w:p>
        </w:tc>
        <w:tc>
          <w:tcPr>
            <w:tcW w:type="dxa" w:w="1661"/>
          </w:tcPr>
          <w:p>
            <w:pPr>
              <w:pStyle w:val="null3"/>
            </w:pPr>
            <w:r>
              <w:rPr/>
              <w:t>投标文件封面</w:t>
            </w:r>
          </w:p>
        </w:tc>
      </w:tr>
    </w:tbl>
    <w:p>
      <w:pPr>
        <w:pStyle w:val="null3"/>
      </w:pPr>
      <w:r>
        <w:rPr/>
        <w:t xml:space="preserve"> </w:t>
        <w:br/>
        <w:br w:type="page"/>
      </w:r>
    </w:p>
    <w:p>
      <w:pPr>
        <w:pStyle w:val="null3"/>
        <w:jc w:val="center"/>
        <w:outlineLvl w:val="1"/>
      </w:pPr>
      <w:r>
        <w:rPr>
          <w:b/>
          <w:sz w:val="36"/>
        </w:rPr>
        <w:t>第五章 评标办法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 评标方法</w:t>
      </w:r>
    </w:p>
    <w:p>
      <w:pPr>
        <w:pStyle w:val="null3"/>
      </w:pPr>
      <w:r>
        <w:rPr/>
        <w:t>采购包1：综合评分法</w:t>
      </w:r>
    </w:p>
    <w:p>
      <w:pPr>
        <w:pStyle w:val="null3"/>
        <w:outlineLvl w:val="2"/>
      </w:pPr>
      <w:r>
        <w:rPr>
          <w:b/>
          <w:sz w:val="28"/>
        </w:rPr>
        <w:t>5.4评标程序</w:t>
      </w:r>
    </w:p>
    <w:p>
      <w:pPr>
        <w:pStyle w:val="null3"/>
        <w:outlineLvl w:val="3"/>
      </w:pPr>
      <w:r>
        <w:rPr>
          <w:b/>
          <w:sz w:val="24"/>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 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 （注：书面说明应当按照国家财务会计制度的规定要求，逐项就投标人提供的货物、工程和服务的主营业务成本(应根据投标人企业类型予以区别)、税金及附加、销售费用、管理费用、财务费用等成本构成事项详细陈述。）</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投标报价</w:t>
            </w:r>
          </w:p>
        </w:tc>
        <w:tc>
          <w:tcPr>
            <w:tcW w:type="dxa" w:w="3322"/>
          </w:tcPr>
          <w:p>
            <w:pPr>
              <w:pStyle w:val="null3"/>
            </w:pPr>
            <w:r>
              <w:rPr/>
              <w:t>投标报价超过采购预算或者最高限价 不合格 投标报价未超过采购预算或 者最高限价 合格</w:t>
            </w:r>
          </w:p>
        </w:tc>
        <w:tc>
          <w:tcPr>
            <w:tcW w:type="dxa" w:w="1661"/>
          </w:tcPr>
          <w:p>
            <w:pPr>
              <w:pStyle w:val="null3"/>
            </w:pPr>
            <w:r>
              <w:rPr/>
              <w:t>开标一览表 标的清单</w:t>
            </w:r>
          </w:p>
        </w:tc>
      </w:tr>
      <w:tr>
        <w:tc>
          <w:tcPr>
            <w:tcW w:type="dxa" w:w="831"/>
          </w:tcPr>
          <w:p>
            <w:pPr>
              <w:pStyle w:val="null3"/>
            </w:pPr>
            <w:r>
              <w:rPr/>
              <w:t>3</w:t>
            </w:r>
          </w:p>
        </w:tc>
        <w:tc>
          <w:tcPr>
            <w:tcW w:type="dxa" w:w="2492"/>
          </w:tcPr>
          <w:p>
            <w:pPr>
              <w:pStyle w:val="null3"/>
            </w:pPr>
            <w:r>
              <w:rPr/>
              <w:t>投标文件的交货期、质保期</w:t>
            </w:r>
          </w:p>
        </w:tc>
        <w:tc>
          <w:tcPr>
            <w:tcW w:type="dxa" w:w="3322"/>
          </w:tcPr>
          <w:p>
            <w:pPr>
              <w:pStyle w:val="null3"/>
            </w:pPr>
            <w:r>
              <w:rPr/>
              <w:t>投标文件的交货期、质保期不满足招标文件要求 不合格 投标文件的交货期、质保期满足招标文件要求 合格</w:t>
            </w:r>
          </w:p>
        </w:tc>
        <w:tc>
          <w:tcPr>
            <w:tcW w:type="dxa" w:w="1661"/>
          </w:tcPr>
          <w:p>
            <w:pPr>
              <w:pStyle w:val="null3"/>
            </w:pPr>
            <w:r>
              <w:rPr/>
              <w:t>开标一览表</w:t>
            </w:r>
          </w:p>
        </w:tc>
      </w:tr>
      <w:tr>
        <w:tc>
          <w:tcPr>
            <w:tcW w:type="dxa" w:w="831"/>
          </w:tcPr>
          <w:p>
            <w:pPr>
              <w:pStyle w:val="null3"/>
            </w:pPr>
            <w:r>
              <w:rPr/>
              <w:t>4</w:t>
            </w:r>
          </w:p>
        </w:tc>
        <w:tc>
          <w:tcPr>
            <w:tcW w:type="dxa" w:w="2492"/>
          </w:tcPr>
          <w:p>
            <w:pPr>
              <w:pStyle w:val="null3"/>
            </w:pPr>
            <w:r>
              <w:rPr/>
              <w:t>投标文件的签署、盖章</w:t>
            </w:r>
          </w:p>
        </w:tc>
        <w:tc>
          <w:tcPr>
            <w:tcW w:type="dxa" w:w="3322"/>
          </w:tcPr>
          <w:p>
            <w:pPr>
              <w:pStyle w:val="null3"/>
            </w:pPr>
            <w:r>
              <w:rPr/>
              <w:t>投标文件的签署、盖章不符合招标文件要求 不合格 投标文件的数量、签署、盖章符合招标文件要求 合格</w:t>
            </w:r>
          </w:p>
        </w:tc>
        <w:tc>
          <w:tcPr>
            <w:tcW w:type="dxa" w:w="1661"/>
          </w:tcPr>
          <w:p>
            <w:pPr>
              <w:pStyle w:val="null3"/>
            </w:pPr>
            <w:r>
              <w:rPr/>
              <w:t>投标函 中小企业声明函 残疾人福利性单位声明函 投标文件封面 监狱企业的证明文件</w:t>
            </w:r>
          </w:p>
        </w:tc>
      </w:tr>
      <w:tr>
        <w:tc>
          <w:tcPr>
            <w:tcW w:type="dxa" w:w="831"/>
          </w:tcPr>
          <w:p>
            <w:pPr>
              <w:pStyle w:val="null3"/>
            </w:pPr>
            <w:r>
              <w:rPr/>
              <w:t>5</w:t>
            </w:r>
          </w:p>
        </w:tc>
        <w:tc>
          <w:tcPr>
            <w:tcW w:type="dxa" w:w="2492"/>
          </w:tcPr>
          <w:p>
            <w:pPr>
              <w:pStyle w:val="null3"/>
            </w:pPr>
            <w:r>
              <w:rPr/>
              <w:t>投标文件有效期</w:t>
            </w:r>
          </w:p>
        </w:tc>
        <w:tc>
          <w:tcPr>
            <w:tcW w:type="dxa" w:w="3322"/>
          </w:tcPr>
          <w:p>
            <w:pPr>
              <w:pStyle w:val="null3"/>
            </w:pPr>
            <w:r>
              <w:rPr/>
              <w:t>投标文件无投标有效期或有效期达不到招标文件要求的 不合格 投标文件有效期达到招标文件要求的 合格</w:t>
            </w:r>
          </w:p>
        </w:tc>
        <w:tc>
          <w:tcPr>
            <w:tcW w:type="dxa" w:w="1661"/>
          </w:tcPr>
          <w:p>
            <w:pPr>
              <w:pStyle w:val="null3"/>
            </w:pPr>
            <w:r>
              <w:rPr/>
              <w:t>投标函</w:t>
            </w:r>
          </w:p>
        </w:tc>
      </w:tr>
      <w:tr>
        <w:tc>
          <w:tcPr>
            <w:tcW w:type="dxa" w:w="831"/>
          </w:tcPr>
          <w:p>
            <w:pPr>
              <w:pStyle w:val="null3"/>
            </w:pPr>
            <w:r>
              <w:rPr/>
              <w:t>6</w:t>
            </w:r>
          </w:p>
        </w:tc>
        <w:tc>
          <w:tcPr>
            <w:tcW w:type="dxa" w:w="2492"/>
          </w:tcPr>
          <w:p>
            <w:pPr>
              <w:pStyle w:val="null3"/>
            </w:pPr>
            <w:r>
              <w:rPr/>
              <w:t>标的数量</w:t>
            </w:r>
          </w:p>
        </w:tc>
        <w:tc>
          <w:tcPr>
            <w:tcW w:type="dxa" w:w="3322"/>
          </w:tcPr>
          <w:p>
            <w:pPr>
              <w:pStyle w:val="null3"/>
            </w:pPr>
            <w:r>
              <w:rPr/>
              <w:t>投标文件货物标的出现漏项或货物数量与要求不符的 不合格 投标文件货物标的出现漏项或货物数量与要求符合的 合格</w:t>
            </w:r>
          </w:p>
        </w:tc>
        <w:tc>
          <w:tcPr>
            <w:tcW w:type="dxa" w:w="1661"/>
          </w:tcPr>
          <w:p>
            <w:pPr>
              <w:pStyle w:val="null3"/>
            </w:pPr>
            <w:r>
              <w:rPr/>
              <w:t>产品技术参数表 分项报价表 商务应答表</w:t>
            </w:r>
          </w:p>
        </w:tc>
      </w:tr>
      <w:tr>
        <w:tc>
          <w:tcPr>
            <w:tcW w:type="dxa" w:w="831"/>
          </w:tcPr>
          <w:p>
            <w:pPr>
              <w:pStyle w:val="null3"/>
            </w:pPr>
            <w:r>
              <w:rPr/>
              <w:t>7</w:t>
            </w:r>
          </w:p>
        </w:tc>
        <w:tc>
          <w:tcPr>
            <w:tcW w:type="dxa" w:w="2492"/>
          </w:tcPr>
          <w:p>
            <w:pPr>
              <w:pStyle w:val="null3"/>
            </w:pPr>
            <w:r>
              <w:rPr/>
              <w:t>附加条件</w:t>
            </w:r>
          </w:p>
        </w:tc>
        <w:tc>
          <w:tcPr>
            <w:tcW w:type="dxa" w:w="3322"/>
          </w:tcPr>
          <w:p>
            <w:pPr>
              <w:pStyle w:val="null3"/>
            </w:pPr>
            <w:r>
              <w:rPr/>
              <w:t>投标文件含有采购人不能接受的附加条件的 不合格 投标文件没有采购人不能接受的附加条件的 合格</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法律、法规</w:t>
            </w:r>
          </w:p>
        </w:tc>
        <w:tc>
          <w:tcPr>
            <w:tcW w:type="dxa" w:w="3322"/>
          </w:tcPr>
          <w:p>
            <w:pPr>
              <w:pStyle w:val="null3"/>
            </w:pPr>
            <w:r>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t>商务应答表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b/>
          <w:sz w:val="24"/>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根据供应商提供所投产品的技术偏离表及相应的证明材料（包括但不限于测试报告、功能截图等技术证明材料），经评审专家审定得分。 基本分（35分）：完全符合、响应招标文件要求，没有负偏离计35分，“▲”参数每负偏离一项扣2分，未带标识参数每负偏离一项扣1分，扣完为止。 加分（5分）：在基本分的基础上，响应产品技术指标、参数经评审专家认定优于招标文件规定的相应技术指标、参数，并且有实质性能提升的(提供证明材料)，根据响应程度进行相应加分，参数正偏离每一项加1分，最多加5分。未提供证明材料的不予加分。 备注：★和▲参数必须提供佐证材料，佐证材料包括但不限于产品彩页、检测报告、厂家盖章的说明书等。未提供佐证材料或佐证材料低于招标文件规定的相应技术指标、参数时视为负偏离。</w:t>
            </w:r>
          </w:p>
        </w:tc>
        <w:tc>
          <w:tcPr>
            <w:tcW w:type="dxa" w:w="831"/>
          </w:tcPr>
          <w:p>
            <w:pPr>
              <w:pStyle w:val="null3"/>
              <w:jc w:val="right"/>
            </w:pPr>
            <w:r>
              <w:rPr/>
              <w:t>40.00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实施方案</w:t>
            </w:r>
          </w:p>
        </w:tc>
        <w:tc>
          <w:tcPr>
            <w:tcW w:type="dxa" w:w="2492"/>
          </w:tcPr>
          <w:p>
            <w:pPr>
              <w:pStyle w:val="null3"/>
            </w:pPr>
            <w:r>
              <w:rPr/>
              <w:t>针对本项目有具体实施方案，内容包含： ①项目总体实施方案；②项目团队方案；③项目实施时间安排方案；④系统安装调试方案；⑤项目验收方案。 评审标准：方案各部分内容全面详细、阐述条例清晰详尽、符合本项目采购需求得10分；评审内容每缺一项扣2分，扣完为止；每有一处有缺陷扣0.5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质量保证</w:t>
            </w:r>
          </w:p>
        </w:tc>
        <w:tc>
          <w:tcPr>
            <w:tcW w:type="dxa" w:w="2492"/>
          </w:tcPr>
          <w:p>
            <w:pPr>
              <w:pStyle w:val="null3"/>
            </w:pPr>
            <w:r>
              <w:rPr/>
              <w:t>根据所提供PPKTP晶体产品合法来源渠道的证明文件（包括但不限于销售协议、代理协议、原厂授权等，供应商若为所投产品制造商无须提供具有合法来源渠道证明）计2分，未提供不计分。</w:t>
            </w:r>
          </w:p>
        </w:tc>
        <w:tc>
          <w:tcPr>
            <w:tcW w:type="dxa" w:w="831"/>
          </w:tcPr>
          <w:p>
            <w:pPr>
              <w:pStyle w:val="null3"/>
              <w:jc w:val="right"/>
            </w:pPr>
            <w:r>
              <w:rPr/>
              <w:t>2.00</w:t>
            </w:r>
          </w:p>
        </w:tc>
        <w:tc>
          <w:tcPr>
            <w:tcW w:type="dxa" w:w="831"/>
          </w:tcPr>
          <w:p>
            <w:pPr>
              <w:pStyle w:val="null3"/>
            </w:pPr>
            <w:r>
              <w:rPr/>
              <w:t>客观</w:t>
            </w:r>
          </w:p>
        </w:tc>
        <w:tc>
          <w:tcPr>
            <w:tcW w:type="dxa" w:w="1661"/>
          </w:tcPr>
          <w:p>
            <w:pPr>
              <w:pStyle w:val="null3"/>
            </w:pPr>
            <w:r>
              <w:rPr/>
              <w:t>质量保证</w:t>
            </w:r>
          </w:p>
        </w:tc>
      </w:tr>
      <w:tr>
        <w:tc>
          <w:tcPr>
            <w:tcW w:type="dxa" w:w="831"/>
            <w:vMerge/>
          </w:tcPr>
          <w:p/>
        </w:tc>
        <w:tc>
          <w:tcPr>
            <w:tcW w:type="dxa" w:w="1661"/>
          </w:tcPr>
          <w:p>
            <w:pPr>
              <w:pStyle w:val="null3"/>
            </w:pPr>
            <w:r>
              <w:rPr/>
              <w:t>售后服务</w:t>
            </w:r>
          </w:p>
        </w:tc>
        <w:tc>
          <w:tcPr>
            <w:tcW w:type="dxa" w:w="2492"/>
          </w:tcPr>
          <w:p>
            <w:pPr>
              <w:pStyle w:val="null3"/>
            </w:pPr>
            <w:r>
              <w:rPr/>
              <w:t>针对本项目有具体的售后服务方案，内容包含：①售后服务网点的设定；②拟投入售后服务人员配置情况；③日常维护保养；④项目交付用户后出现故障响应时间及措施。 评审标准：方案各部分内容全面详细、阐述条例清晰详尽、符合本项目采购需求得6分；评审内容每缺一项扣1.5分，扣完为止；每有一处有缺陷扣0.5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培训方案</w:t>
            </w:r>
          </w:p>
        </w:tc>
        <w:tc>
          <w:tcPr>
            <w:tcW w:type="dxa" w:w="2492"/>
          </w:tcPr>
          <w:p>
            <w:pPr>
              <w:pStyle w:val="null3"/>
            </w:pPr>
            <w:r>
              <w:rPr/>
              <w:t>针对本项目有具体的培训方案，内容包含： ①培训时间、培训人数、培训人员、培训方式， ②培训内容应包括所提供产品的原理和技术性能、操作维护方法、安装调试、排除故障等各个方面。 评审标准：方案各部分内容全面详细、阐述条例清晰详尽、符合本项目采购需求得5分；评审内容每缺一项扣2.5分，扣完为止；每有一处有缺陷扣1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业绩</w:t>
            </w:r>
          </w:p>
        </w:tc>
        <w:tc>
          <w:tcPr>
            <w:tcW w:type="dxa" w:w="2492"/>
          </w:tcPr>
          <w:p>
            <w:pPr>
              <w:pStyle w:val="null3"/>
            </w:pPr>
            <w:r>
              <w:rPr/>
              <w:t>提供供应商2021年1月1日至今同类项目合同（以合同签订日期为准），每提供1个得1分，最高得5分。 备注：响应文件中提供合同复印件。</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节能环保</w:t>
            </w:r>
          </w:p>
        </w:tc>
        <w:tc>
          <w:tcPr>
            <w:tcW w:type="dxa" w:w="2492"/>
          </w:tcPr>
          <w:p>
            <w:pPr>
              <w:pStyle w:val="null3"/>
            </w:pPr>
            <w:r>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t>2.00</w:t>
            </w:r>
          </w:p>
        </w:tc>
        <w:tc>
          <w:tcPr>
            <w:tcW w:type="dxa" w:w="831"/>
          </w:tcPr>
          <w:p>
            <w:pPr>
              <w:pStyle w:val="null3"/>
            </w:pPr>
            <w:r>
              <w:rPr/>
              <w:t>客观</w:t>
            </w:r>
          </w:p>
        </w:tc>
        <w:tc>
          <w:tcPr>
            <w:tcW w:type="dxa" w:w="1661"/>
          </w:tcPr>
          <w:p>
            <w:pPr>
              <w:pStyle w:val="null3"/>
            </w:pPr>
            <w:r>
              <w:rPr/>
              <w:t>产品技术参数表</w:t>
            </w:r>
          </w:p>
          <w:p>
            <w:pPr>
              <w:pStyle w:val="null3"/>
            </w:pPr>
            <w:r>
              <w:rPr/>
              <w:t>供应商认为有必要说明的其他问题</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详见附件：供应商资格要求</w:t>
      </w:r>
    </w:p>
    <w:p>
      <w:pPr>
        <w:pStyle w:val="null3"/>
        <w:ind w:firstLine="960"/>
      </w:pPr>
      <w:r>
        <w:rPr/>
        <w:t>详见附件：实施方案</w:t>
      </w:r>
    </w:p>
    <w:p>
      <w:pPr>
        <w:pStyle w:val="null3"/>
        <w:ind w:firstLine="960"/>
      </w:pPr>
      <w:r>
        <w:rPr/>
        <w:t>详见附件：质量保证</w:t>
      </w:r>
    </w:p>
    <w:p>
      <w:pPr>
        <w:pStyle w:val="null3"/>
        <w:ind w:firstLine="960"/>
      </w:pPr>
      <w:r>
        <w:rPr/>
        <w:t>详见附件：售后服务</w:t>
      </w:r>
    </w:p>
    <w:p>
      <w:pPr>
        <w:pStyle w:val="null3"/>
        <w:ind w:firstLine="960"/>
      </w:pPr>
      <w:r>
        <w:rPr/>
        <w:t>详见附件：培训方案</w:t>
      </w:r>
    </w:p>
    <w:p>
      <w:pPr>
        <w:pStyle w:val="null3"/>
        <w:ind w:firstLine="960"/>
      </w:pPr>
      <w:r>
        <w:rPr/>
        <w:t>详见附件：业绩一览表</w:t>
      </w:r>
    </w:p>
    <w:p>
      <w:pPr>
        <w:pStyle w:val="null3"/>
        <w:ind w:firstLine="960"/>
      </w:pPr>
      <w:r>
        <w:rPr/>
        <w:t>详见附件：分项报价表</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b/>
          <w:sz w:val="36"/>
        </w:rPr>
        <w:t>第七章 拟签订合同文本</w:t>
      </w:r>
    </w:p>
    <w:p>
      <w:pPr>
        <w:pStyle w:val="null3"/>
      </w:pPr>
      <w:r>
        <w:rPr/>
        <w:t>详见附件：合同模版.docx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