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雁塔、鄠邑校区空调安装电力改造项目</w:t>
      </w:r>
    </w:p>
    <w:p>
      <w:pPr>
        <w:pStyle w:val="null3"/>
        <w:jc w:val="center"/>
        <w:outlineLvl w:val="2"/>
      </w:pPr>
      <w:r>
        <w:rPr>
          <w:b/>
          <w:sz w:val="28"/>
        </w:rPr>
        <w:t>采购项目编号：</w:t>
      </w:r>
      <w:r>
        <w:rPr>
          <w:b/>
          <w:sz w:val="28"/>
        </w:rPr>
        <w:t>GXCZ-C-24570219</w:t>
      </w:r>
      <w:r>
        <w:br/>
      </w:r>
      <w:r>
        <w:br/>
      </w:r>
      <w:r>
        <w:br/>
      </w:r>
    </w:p>
    <w:p>
      <w:pPr>
        <w:pStyle w:val="null3"/>
        <w:jc w:val="center"/>
        <w:outlineLvl w:val="2"/>
      </w:pPr>
      <w:r>
        <w:rPr>
          <w:b/>
          <w:sz w:val="28"/>
        </w:rPr>
        <w:t>西安石油大学</w:t>
      </w:r>
    </w:p>
    <w:p>
      <w:pPr>
        <w:pStyle w:val="null3"/>
        <w:jc w:val="center"/>
        <w:outlineLvl w:val="2"/>
      </w:pPr>
      <w:r>
        <w:rPr>
          <w:b/>
          <w:sz w:val="28"/>
        </w:rPr>
        <w:t>国信招标集团股份有限公司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国信招标集团股份有限公司</w:t>
      </w:r>
      <w:r>
        <w:rPr/>
        <w:t>（以下简称“代理机构”）受</w:t>
      </w:r>
      <w:r>
        <w:rPr/>
        <w:t>西安石油大学</w:t>
      </w:r>
      <w:r>
        <w:rPr/>
        <w:t>委托，拟对</w:t>
      </w:r>
      <w:r>
        <w:rPr/>
        <w:t>雁塔、鄠邑校区空调安装电力改造项目</w:t>
      </w:r>
      <w:r>
        <w:rPr/>
        <w:t>采用竞争性磋商采购方式进行采购，兹邀请供应商参加本项目的竞争性磋商。</w:t>
      </w:r>
    </w:p>
    <w:p>
      <w:pPr>
        <w:pStyle w:val="null3"/>
        <w:outlineLvl w:val="2"/>
      </w:pPr>
      <w:r>
        <w:rPr>
          <w:b/>
          <w:sz w:val="28"/>
        </w:rPr>
        <w:t>一、采购项目编号：</w:t>
      </w:r>
      <w:r>
        <w:rPr>
          <w:b/>
          <w:sz w:val="28"/>
        </w:rPr>
        <w:t>GXCZ-C-24570219</w:t>
      </w:r>
    </w:p>
    <w:p>
      <w:pPr>
        <w:pStyle w:val="null3"/>
        <w:outlineLvl w:val="2"/>
      </w:pPr>
      <w:r>
        <w:rPr>
          <w:b/>
          <w:sz w:val="28"/>
        </w:rPr>
        <w:t>二、采购项目名称：</w:t>
      </w:r>
      <w:r>
        <w:rPr>
          <w:b/>
          <w:sz w:val="28"/>
        </w:rPr>
        <w:t>雁塔、鄠邑校区空调安装电力改造项目</w:t>
      </w:r>
    </w:p>
    <w:p>
      <w:pPr>
        <w:pStyle w:val="null3"/>
        <w:outlineLvl w:val="2"/>
      </w:pPr>
      <w:r>
        <w:rPr>
          <w:b/>
          <w:sz w:val="28"/>
        </w:rPr>
        <w:t>三、磋商项目简介</w:t>
      </w:r>
    </w:p>
    <w:p>
      <w:pPr>
        <w:pStyle w:val="null3"/>
        <w:ind w:firstLine="480"/>
      </w:pPr>
      <w:r>
        <w:rPr/>
        <w:t>拟对雁塔、鄠邑两校区教学楼共涉及的208间教室新装空调专线进行改造，包含主线缆、支线缆、配电柜、配电箱等电气设备以及新装部分空调排水管的改造。本项目共分为2包，其中包1为雁塔校区空调安装电力改造项目（预算金额445620.52元），包2为鄠邑校区空调安装电力改造项目（预算金额1395548.49元）。总预算金额：1841169.01元。 具体内容详见磋商文件。 供应商可以同时参与两个包的磋商采购，但只能获得其中一个包的成交资格，如果同一家供应商同时在包1和包2的排名第一，优先推荐为包2的成交候选供应商，包1不再推荐。 工期：20日历天</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采购包1（雁塔校区空调安装电力改造项目）：属于专门面向中小企业采购。</w:t>
      </w:r>
    </w:p>
    <w:p>
      <w:pPr>
        <w:pStyle w:val="null3"/>
      </w:pPr>
      <w:r>
        <w:rPr/>
        <w:t>采购包2（鄠邑校区空调安装电力改造项目）：属于专门面向中小企业采购。</w:t>
      </w:r>
    </w:p>
    <w:p>
      <w:pPr>
        <w:pStyle w:val="null3"/>
        <w:ind w:firstLine="480"/>
      </w:pPr>
      <w:r>
        <w:rPr/>
        <w:t>（三）本项目的特定资格要求：</w:t>
      </w:r>
    </w:p>
    <w:p>
      <w:pPr>
        <w:pStyle w:val="null3"/>
      </w:pPr>
      <w:r>
        <w:rPr/>
        <w:t>采购包1：</w:t>
      </w:r>
    </w:p>
    <w:p>
      <w:pPr>
        <w:pStyle w:val="null3"/>
      </w:pPr>
      <w:r>
        <w:rPr/>
        <w:t>1、法定代表人/负责人授权书：法定代表人/负责人直接参加的，须上传《法定代表人/负责人身份证明》；法定代表人/负责人授权代表参加的，须上传《法定代表人/负责人授权书》，并进行电子签章。</w:t>
      </w:r>
    </w:p>
    <w:p>
      <w:pPr>
        <w:pStyle w:val="null3"/>
      </w:pPr>
      <w:r>
        <w:rPr/>
        <w:t>2、特定资格要求：1.供应商应具有建筑机电安装工程专业承包资质三级（含三级）以上或电力工程施工总承包三级（含三级）以上资质或建筑工程施工总承包三级（含三级）以上资质，以及合法有效的安全生产许可证，并在人员、设备、资金等方面具备相应施工能力且无不良记录； 2.参加本项目的供应商拟派项目经理具备合法有效的机电工程专业二级及以上注册建造师资格和安全生产考核合格证（B证）且未担任其他在施工程项目的项目经理； 3.本项目不接受联合体投标。</w:t>
      </w:r>
    </w:p>
    <w:p>
      <w:pPr>
        <w:pStyle w:val="null3"/>
      </w:pPr>
      <w:r>
        <w:rPr/>
        <w:t>采购包2：</w:t>
      </w:r>
    </w:p>
    <w:p>
      <w:pPr>
        <w:pStyle w:val="null3"/>
      </w:pPr>
      <w:r>
        <w:rPr/>
        <w:t>1、法定代表人/负责人授权书：法定代表人/负责人直接参加的，须上传《法定代表人/负责人身份证明》；法定代表人/负责人授权代表参加的，须上传《法定代表人/负责人授权书》，并进行电子签章。</w:t>
      </w:r>
    </w:p>
    <w:p>
      <w:pPr>
        <w:pStyle w:val="null3"/>
      </w:pPr>
      <w:r>
        <w:rPr/>
        <w:t>2、特定资格要求：1.供应商应具有建筑机电安装工程专业承包资质三级（含三级）以上或电力工程施工总承包三级（含三级）以上资质或建筑工程施工总承包三级（含三级）以上资质，以及合法有效的安全生产许可证，并在人员、设备、资金等方面具备相应施工能力且无不良记录； 2.参加本项目的供应商拟派项目经理具备合法有效的机电工程专业二级及以上注册建造师资格和安全生产考核合格证（B证）且未担任其他在施工程项目的项目经理； 3.本项目不接受联合体投标。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029-88382832</w:t>
      </w:r>
    </w:p>
    <w:p>
      <w:pPr>
        <w:pStyle w:val="null3"/>
        <w:outlineLvl w:val="3"/>
      </w:pPr>
      <w:r>
        <w:rPr>
          <w:b/>
          <w:sz w:val="24"/>
        </w:rPr>
        <w:t>代理机构：</w:t>
      </w:r>
      <w:r>
        <w:rPr>
          <w:b/>
          <w:sz w:val="24"/>
        </w:rPr>
        <w:t>国信招标集团股份有限公司</w:t>
      </w:r>
    </w:p>
    <w:p>
      <w:pPr>
        <w:pStyle w:val="null3"/>
      </w:pPr>
      <w:r>
        <w:rPr/>
        <w:t xml:space="preserve"> 地址： </w:t>
      </w:r>
      <w:r>
        <w:rPr/>
        <w:t>陕西省西安市南二环成长大厦20楼</w:t>
      </w:r>
    </w:p>
    <w:p>
      <w:pPr>
        <w:pStyle w:val="null3"/>
      </w:pPr>
      <w:r>
        <w:rPr/>
        <w:t xml:space="preserve"> 邮编： </w:t>
      </w:r>
      <w:r>
        <w:rPr/>
        <w:t>710000</w:t>
      </w:r>
    </w:p>
    <w:p>
      <w:pPr>
        <w:pStyle w:val="null3"/>
      </w:pPr>
      <w:r>
        <w:rPr/>
        <w:t xml:space="preserve"> 联系人： </w:t>
      </w:r>
      <w:r>
        <w:rPr/>
        <w:t>肖君玲、贾天佼</w:t>
      </w:r>
    </w:p>
    <w:p>
      <w:pPr>
        <w:pStyle w:val="null3"/>
      </w:pPr>
      <w:r>
        <w:rPr/>
        <w:t xml:space="preserve"> 联系电话： </w:t>
      </w:r>
      <w:r>
        <w:rPr/>
        <w:t>15637780510</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采购包1：445,620.52元</w:t>
            </w:r>
          </w:p>
          <w:p>
            <w:pPr>
              <w:pStyle w:val="null3"/>
            </w:pPr>
            <w:r>
              <w:rPr/>
              <w:t>采购包2：1,395,548.49元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采购包1保证金金额：8,000.00元</w:t>
            </w:r>
          </w:p>
          <w:p>
            <w:pPr>
              <w:pStyle w:val="null3"/>
            </w:pPr>
            <w:r>
              <w:rPr/>
              <w:t>采购包2保证金金额：20,000.00元</w:t>
            </w:r>
          </w:p>
          <w:p>
            <w:pPr>
              <w:pStyle w:val="null3"/>
            </w:pPr>
            <w:r>
              <w:rPr/>
              <w:t>缴交渠道：电子保函,转账、支票、汇票等（需通过实体账户、户名及开户行信息）</w:t>
            </w:r>
          </w:p>
          <w:p>
            <w:pPr>
              <w:pStyle w:val="null3"/>
            </w:pPr>
            <w:r>
              <w:rPr/>
              <w:t>开户名称：招商银行西安城南支行</w:t>
            </w:r>
          </w:p>
          <w:p>
            <w:pPr>
              <w:pStyle w:val="null3"/>
            </w:pPr>
            <w:r>
              <w:rPr/>
              <w:t>开户银行：国信招标集团股份有限公司陕西分公司</w:t>
            </w:r>
          </w:p>
          <w:p>
            <w:pPr>
              <w:pStyle w:val="null3"/>
            </w:pPr>
            <w:r>
              <w:rPr/>
              <w:t>银行账号：129910412510501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w:t>
            </w:r>
          </w:p>
          <w:p>
            <w:pPr>
              <w:pStyle w:val="null3"/>
            </w:pPr>
            <w:r>
              <w:rPr/>
              <w:t>说明：/</w:t>
            </w:r>
          </w:p>
          <w:p>
            <w:pPr>
              <w:pStyle w:val="null3"/>
            </w:pPr>
            <w:r>
              <w:rPr/>
              <w:t>采购包2：缴纳</w:t>
            </w:r>
          </w:p>
          <w:p>
            <w:pPr>
              <w:pStyle w:val="null3"/>
            </w:pPr>
            <w:r>
              <w:rPr/>
              <w:t>本采购包履约保证金为合同金额的1.0%</w:t>
            </w:r>
          </w:p>
          <w:p>
            <w:pPr>
              <w:pStyle w:val="null3"/>
            </w:pPr>
            <w:r>
              <w:rPr/>
              <w:t>说明：/</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代理服务费收费标准：招标代理服务费:100万元(含)以下收费费率为1.2%、100~200万元(含)收费费率为0.80%、200~500万元(含)收费费率为0.6%、500万元以上收费费率为0.50% 服务费收取账号： 开户名称：国信招标集团股份有限公司陕西分公司 开户银行：招商银行西安城南支行 银行账号（采购包1）：1299104125105012400008749 银行账号（采购包2）：1299104125105012400008750 注：缴纳服务费时，供应商需要备注项目编号、包号和缴费用途。</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国信招标集团股份有限公司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国信招标集团股份有限公司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国信招标集团股份有限公司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pPr>
      <w:r>
        <w:rPr/>
        <w:t>采购包2：</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国信招标集团股份有限公司</w:t>
      </w:r>
      <w:r>
        <w:rPr/>
        <w:t xml:space="preserve"> 负责答复；供应商对采购过程的询问、质疑由</w:t>
      </w:r>
      <w:r>
        <w:rPr/>
        <w:t>国信招标集团股份有限公司</w:t>
      </w:r>
      <w:r>
        <w:rPr/>
        <w:t xml:space="preserve"> 负责答复；供应商对采购结果的询问、质疑由 </w:t>
      </w:r>
      <w:r>
        <w:rPr/>
        <w:t>国信招标集团股份有限公司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联系人：肖君玲、贾天佼</w:t>
      </w:r>
    </w:p>
    <w:p>
      <w:pPr>
        <w:pStyle w:val="null3"/>
      </w:pPr>
      <w:r>
        <w:rPr/>
        <w:t>联系电话：15637780510、13299087301</w:t>
      </w:r>
    </w:p>
    <w:p>
      <w:pPr>
        <w:pStyle w:val="null3"/>
      </w:pPr>
      <w:r>
        <w:rPr/>
        <w:t>地址：陕西省西安市南二环成长大厦20楼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445,620.52</w:t>
      </w:r>
    </w:p>
    <w:p>
      <w:pPr>
        <w:pStyle w:val="null3"/>
      </w:pPr>
      <w:r>
        <w:rPr/>
        <w:t>采购包最高限价（元）: 445,620.52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一标段：雁塔校区空调安装电力改造项目</w:t>
            </w:r>
          </w:p>
        </w:tc>
        <w:tc>
          <w:tcPr>
            <w:tcW w:type="dxa" w:w="1384"/>
          </w:tcPr>
          <w:p>
            <w:pPr>
              <w:pStyle w:val="null3"/>
              <w:jc w:val="right"/>
            </w:pPr>
            <w:r>
              <w:rPr/>
              <w:t>1.00</w:t>
            </w:r>
          </w:p>
        </w:tc>
        <w:tc>
          <w:tcPr>
            <w:tcW w:type="dxa" w:w="1384"/>
          </w:tcPr>
          <w:p>
            <w:pPr>
              <w:pStyle w:val="null3"/>
              <w:jc w:val="right"/>
            </w:pPr>
            <w:r>
              <w:rPr/>
              <w:t>445,620.52</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1,395,548.49</w:t>
      </w:r>
    </w:p>
    <w:p>
      <w:pPr>
        <w:pStyle w:val="null3"/>
      </w:pPr>
      <w:r>
        <w:rPr/>
        <w:t>采购包最高限价（元）: 1,395,548.49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二标段：鄠邑校区空调安装电力改造项目</w:t>
            </w:r>
          </w:p>
        </w:tc>
        <w:tc>
          <w:tcPr>
            <w:tcW w:type="dxa" w:w="1384"/>
          </w:tcPr>
          <w:p>
            <w:pPr>
              <w:pStyle w:val="null3"/>
              <w:jc w:val="right"/>
            </w:pPr>
            <w:r>
              <w:rPr/>
              <w:t>1.00</w:t>
            </w:r>
          </w:p>
        </w:tc>
        <w:tc>
          <w:tcPr>
            <w:tcW w:type="dxa" w:w="1384"/>
          </w:tcPr>
          <w:p>
            <w:pPr>
              <w:pStyle w:val="null3"/>
              <w:jc w:val="right"/>
            </w:pPr>
            <w:r>
              <w:rPr/>
              <w:t>1,395,548.49</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标的名称：一标段：雁塔校区空调安装电力改造项目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rFonts w:ascii="仿宋" w:hAnsi="仿宋" w:cs="仿宋" w:eastAsia="仿宋"/>
                <w:b/>
                <w:sz w:val="21"/>
              </w:rPr>
              <w:t>（一）标准要求</w:t>
            </w:r>
          </w:p>
          <w:p>
            <w:pPr>
              <w:pStyle w:val="null3"/>
              <w:spacing w:before="105" w:after="105"/>
              <w:ind w:firstLine="420"/>
              <w:jc w:val="both"/>
            </w:pPr>
            <w:r>
              <w:rPr>
                <w:rFonts w:ascii="仿宋" w:hAnsi="仿宋" w:cs="仿宋" w:eastAsia="仿宋"/>
                <w:sz w:val="21"/>
              </w:rPr>
              <w:t>1.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pStyle w:val="null3"/>
              <w:spacing w:before="105" w:after="105"/>
              <w:ind w:firstLine="420"/>
              <w:jc w:val="both"/>
            </w:pPr>
            <w:r>
              <w:rPr>
                <w:rFonts w:ascii="仿宋" w:hAnsi="仿宋" w:cs="仿宋" w:eastAsia="仿宋"/>
                <w:sz w:val="21"/>
              </w:rPr>
              <w:t>1.1《宿舍建筑设计规范》JGJ36-2015</w:t>
            </w:r>
          </w:p>
          <w:p>
            <w:pPr>
              <w:pStyle w:val="null3"/>
              <w:spacing w:before="105" w:after="105"/>
              <w:ind w:firstLine="420"/>
              <w:jc w:val="both"/>
            </w:pPr>
            <w:r>
              <w:rPr>
                <w:rFonts w:ascii="仿宋" w:hAnsi="仿宋" w:cs="仿宋" w:eastAsia="仿宋"/>
                <w:sz w:val="21"/>
              </w:rPr>
              <w:t>1.2《民用建筑电气设计规范》JGJ 16-2008</w:t>
            </w:r>
          </w:p>
          <w:p>
            <w:pPr>
              <w:pStyle w:val="null3"/>
              <w:spacing w:before="105" w:after="105"/>
              <w:ind w:firstLine="420"/>
              <w:jc w:val="both"/>
            </w:pPr>
            <w:r>
              <w:rPr>
                <w:rFonts w:ascii="仿宋" w:hAnsi="仿宋" w:cs="仿宋" w:eastAsia="仿宋"/>
                <w:sz w:val="21"/>
              </w:rPr>
              <w:t>1.3《建筑照明设计标准》 GB50034-2013</w:t>
            </w:r>
          </w:p>
          <w:p>
            <w:pPr>
              <w:pStyle w:val="null3"/>
              <w:spacing w:before="105" w:after="105"/>
              <w:ind w:firstLine="420"/>
              <w:jc w:val="both"/>
            </w:pPr>
            <w:r>
              <w:rPr>
                <w:rFonts w:ascii="仿宋" w:hAnsi="仿宋" w:cs="仿宋" w:eastAsia="仿宋"/>
                <w:sz w:val="21"/>
              </w:rPr>
              <w:t>1.4《供配电系统设计规范》 GB50052-2009</w:t>
            </w:r>
          </w:p>
          <w:p>
            <w:pPr>
              <w:pStyle w:val="null3"/>
              <w:spacing w:before="105" w:after="105"/>
              <w:ind w:firstLine="420"/>
              <w:jc w:val="both"/>
            </w:pPr>
            <w:r>
              <w:rPr>
                <w:rFonts w:ascii="仿宋" w:hAnsi="仿宋" w:cs="仿宋" w:eastAsia="仿宋"/>
                <w:sz w:val="21"/>
              </w:rPr>
              <w:t>2.根据工程设计要求，该项工程项目的施工、材料、设备和安装等除达到以上标准外，还应满足设计要求和采购人在磋商文件中的有关要求。</w:t>
            </w:r>
          </w:p>
          <w:p>
            <w:pPr>
              <w:pStyle w:val="null3"/>
              <w:spacing w:before="105" w:after="105"/>
              <w:jc w:val="both"/>
            </w:pPr>
            <w:r>
              <w:rPr>
                <w:rFonts w:ascii="仿宋" w:hAnsi="仿宋" w:cs="仿宋" w:eastAsia="仿宋"/>
                <w:b/>
                <w:sz w:val="21"/>
              </w:rPr>
              <w:t>（二）电力线缆要求</w:t>
            </w:r>
          </w:p>
          <w:p>
            <w:pPr>
              <w:pStyle w:val="null3"/>
              <w:spacing w:before="105" w:after="105"/>
              <w:ind w:firstLine="420"/>
              <w:jc w:val="left"/>
            </w:pPr>
            <w:r>
              <w:rPr>
                <w:rFonts w:ascii="仿宋" w:hAnsi="仿宋" w:cs="仿宋" w:eastAsia="仿宋"/>
                <w:sz w:val="21"/>
              </w:rPr>
              <w:t>电力电缆均采用铜芯交联聚乙烯绝缘聚氯乙烯护套电力电缆。规格、型号参见设计图纸。</w:t>
            </w:r>
          </w:p>
          <w:p>
            <w:pPr>
              <w:pStyle w:val="null3"/>
              <w:spacing w:before="105" w:after="105"/>
              <w:ind w:firstLine="420"/>
              <w:jc w:val="both"/>
            </w:pPr>
            <w:r>
              <w:rPr>
                <w:rFonts w:ascii="仿宋" w:hAnsi="仿宋" w:cs="仿宋" w:eastAsia="仿宋"/>
                <w:sz w:val="21"/>
              </w:rPr>
              <w:t>1.运行要求：</w:t>
            </w:r>
          </w:p>
          <w:p>
            <w:pPr>
              <w:pStyle w:val="null3"/>
              <w:spacing w:before="105" w:after="105"/>
              <w:ind w:firstLine="420"/>
              <w:jc w:val="both"/>
            </w:pPr>
            <w:r>
              <w:rPr>
                <w:rFonts w:ascii="仿宋" w:hAnsi="仿宋" w:cs="仿宋" w:eastAsia="仿宋"/>
                <w:sz w:val="21"/>
              </w:rPr>
              <w:t>电缆导体的额定运行最高温度为</w:t>
            </w:r>
            <w:r>
              <w:rPr>
                <w:rFonts w:ascii="仿宋" w:hAnsi="仿宋" w:cs="仿宋" w:eastAsia="仿宋"/>
                <w:sz w:val="21"/>
              </w:rPr>
              <w:t>90℃。</w:t>
            </w:r>
          </w:p>
          <w:p>
            <w:pPr>
              <w:pStyle w:val="null3"/>
              <w:spacing w:before="105" w:after="105"/>
              <w:ind w:firstLine="420"/>
              <w:jc w:val="both"/>
            </w:pPr>
            <w:r>
              <w:rPr>
                <w:rFonts w:ascii="仿宋" w:hAnsi="仿宋" w:cs="仿宋" w:eastAsia="仿宋"/>
                <w:sz w:val="21"/>
              </w:rPr>
              <w:t>短路时电缆导体的最高温度不超过</w:t>
            </w:r>
            <w:r>
              <w:rPr>
                <w:rFonts w:ascii="仿宋" w:hAnsi="仿宋" w:cs="仿宋" w:eastAsia="仿宋"/>
                <w:sz w:val="21"/>
              </w:rPr>
              <w:t>250℃。</w:t>
            </w:r>
          </w:p>
          <w:p>
            <w:pPr>
              <w:pStyle w:val="null3"/>
              <w:spacing w:before="105" w:after="105"/>
              <w:ind w:firstLine="420"/>
              <w:jc w:val="both"/>
            </w:pPr>
            <w:r>
              <w:rPr>
                <w:rFonts w:ascii="仿宋" w:hAnsi="仿宋" w:cs="仿宋" w:eastAsia="仿宋"/>
                <w:sz w:val="21"/>
              </w:rPr>
              <w:t>短路时间不超过</w:t>
            </w:r>
            <w:r>
              <w:rPr>
                <w:rFonts w:ascii="仿宋" w:hAnsi="仿宋" w:cs="仿宋" w:eastAsia="仿宋"/>
                <w:sz w:val="21"/>
              </w:rPr>
              <w:t>5s。</w:t>
            </w:r>
          </w:p>
          <w:p>
            <w:pPr>
              <w:pStyle w:val="null3"/>
              <w:spacing w:before="105" w:after="105"/>
              <w:ind w:firstLine="420"/>
              <w:jc w:val="both"/>
            </w:pPr>
            <w:r>
              <w:rPr>
                <w:rFonts w:ascii="仿宋" w:hAnsi="仿宋" w:cs="仿宋" w:eastAsia="仿宋"/>
                <w:sz w:val="21"/>
              </w:rPr>
              <w:t>电缆弯曲半径：不小于</w:t>
            </w:r>
            <w:r>
              <w:rPr>
                <w:rFonts w:ascii="仿宋" w:hAnsi="仿宋" w:cs="仿宋" w:eastAsia="仿宋"/>
                <w:sz w:val="21"/>
              </w:rPr>
              <w:t>15倍电缆的实际外径。</w:t>
            </w:r>
          </w:p>
          <w:p>
            <w:pPr>
              <w:pStyle w:val="null3"/>
              <w:spacing w:before="105" w:after="105"/>
              <w:ind w:firstLine="420"/>
              <w:jc w:val="both"/>
            </w:pPr>
            <w:r>
              <w:rPr>
                <w:rFonts w:ascii="仿宋" w:hAnsi="仿宋" w:cs="仿宋" w:eastAsia="仿宋"/>
                <w:sz w:val="21"/>
              </w:rPr>
              <w:t>电缆额定电压：</w:t>
            </w:r>
            <w:r>
              <w:rPr>
                <w:rFonts w:ascii="仿宋" w:hAnsi="仿宋" w:cs="仿宋" w:eastAsia="仿宋"/>
                <w:sz w:val="21"/>
              </w:rPr>
              <w:t>0.6/1kV。</w:t>
            </w:r>
          </w:p>
          <w:p>
            <w:pPr>
              <w:pStyle w:val="null3"/>
              <w:spacing w:before="105" w:after="105"/>
              <w:ind w:firstLine="420"/>
              <w:jc w:val="both"/>
            </w:pPr>
            <w:r>
              <w:rPr>
                <w:rFonts w:ascii="仿宋" w:hAnsi="仿宋" w:cs="仿宋" w:eastAsia="仿宋"/>
                <w:sz w:val="21"/>
              </w:rPr>
              <w:t>2.绝缘要求：交联聚乙烯；标称厚平均值不小于标称值，绝缘任一点最薄点的测量厚度不小于规定标称值的90％-0.1mm。</w:t>
            </w:r>
          </w:p>
          <w:p>
            <w:pPr>
              <w:pStyle w:val="null3"/>
              <w:spacing w:before="105" w:after="105"/>
              <w:ind w:firstLine="420"/>
              <w:jc w:val="both"/>
            </w:pPr>
            <w:r>
              <w:rPr>
                <w:rFonts w:ascii="仿宋" w:hAnsi="仿宋" w:cs="仿宋" w:eastAsia="仿宋"/>
                <w:sz w:val="21"/>
              </w:rPr>
              <w:t>3.电缆的填充物、内外护层及铠装</w:t>
            </w:r>
          </w:p>
          <w:p>
            <w:pPr>
              <w:pStyle w:val="null3"/>
              <w:spacing w:before="105" w:after="105"/>
              <w:ind w:firstLine="420"/>
              <w:jc w:val="both"/>
            </w:pPr>
            <w:r>
              <w:rPr>
                <w:rFonts w:ascii="仿宋" w:hAnsi="仿宋" w:cs="仿宋" w:eastAsia="仿宋"/>
                <w:sz w:val="21"/>
              </w:rPr>
              <w:t>芯线的中心及四周应使用聚丙烯纤维材料填充密实圆整。</w:t>
            </w:r>
          </w:p>
          <w:p>
            <w:pPr>
              <w:pStyle w:val="null3"/>
              <w:spacing w:before="105" w:after="105"/>
              <w:ind w:firstLine="420"/>
              <w:jc w:val="both"/>
            </w:pPr>
            <w:r>
              <w:rPr>
                <w:rFonts w:ascii="仿宋" w:hAnsi="仿宋" w:cs="仿宋" w:eastAsia="仿宋"/>
                <w:sz w:val="21"/>
              </w:rPr>
              <w:t>在电缆成缆后应有一层挤包的内护层。其材料应是聚乙烯，标称厚度不小于</w:t>
            </w:r>
            <w:r>
              <w:rPr>
                <w:rFonts w:ascii="仿宋" w:hAnsi="仿宋" w:cs="仿宋" w:eastAsia="仿宋"/>
                <w:sz w:val="21"/>
              </w:rPr>
              <w:t>1.4mm。</w:t>
            </w:r>
          </w:p>
          <w:p>
            <w:pPr>
              <w:pStyle w:val="null3"/>
              <w:spacing w:before="105" w:after="105"/>
              <w:ind w:firstLine="420"/>
              <w:jc w:val="both"/>
            </w:pPr>
            <w:r>
              <w:rPr>
                <w:rFonts w:ascii="仿宋" w:hAnsi="仿宋" w:cs="仿宋" w:eastAsia="仿宋"/>
                <w:sz w:val="21"/>
              </w:rPr>
              <w:t>钢带铠装必须采用双层镀芯钢带，钢带厚度应符合</w:t>
            </w:r>
            <w:r>
              <w:rPr>
                <w:rFonts w:ascii="仿宋" w:hAnsi="仿宋" w:cs="仿宋" w:eastAsia="仿宋"/>
                <w:sz w:val="21"/>
              </w:rPr>
              <w:t>IEC-60502的要求。</w:t>
            </w:r>
          </w:p>
          <w:p>
            <w:pPr>
              <w:pStyle w:val="null3"/>
              <w:spacing w:before="105" w:after="105"/>
              <w:ind w:firstLine="420"/>
              <w:jc w:val="both"/>
            </w:pPr>
            <w:r>
              <w:rPr>
                <w:rFonts w:ascii="仿宋" w:hAnsi="仿宋" w:cs="仿宋" w:eastAsia="仿宋"/>
                <w:sz w:val="21"/>
              </w:rPr>
              <w:t>外护套厚度平均值应不小于标称值，任一点最小厚度应不小于标称值的</w:t>
            </w:r>
            <w:r>
              <w:rPr>
                <w:rFonts w:ascii="仿宋" w:hAnsi="仿宋" w:cs="仿宋" w:eastAsia="仿宋"/>
                <w:sz w:val="21"/>
              </w:rPr>
              <w:t>80％。</w:t>
            </w:r>
          </w:p>
          <w:p>
            <w:pPr>
              <w:pStyle w:val="null3"/>
              <w:spacing w:before="105" w:after="105"/>
              <w:ind w:firstLine="420"/>
              <w:jc w:val="both"/>
            </w:pPr>
            <w:r>
              <w:rPr>
                <w:rFonts w:ascii="仿宋" w:hAnsi="仿宋" w:cs="仿宋" w:eastAsia="仿宋"/>
                <w:sz w:val="21"/>
              </w:rPr>
              <w:t>4.交货长度：成盘长度原则上以500～700米为模数，每个规格只能缠绕在一个电缆轴上，必须确定每根电缆的完整性，电缆不得有中间头。具体由中标单位与厂商协商确定。</w:t>
            </w:r>
          </w:p>
          <w:p>
            <w:pPr>
              <w:pStyle w:val="null3"/>
              <w:spacing w:before="105" w:after="105"/>
              <w:ind w:firstLine="420"/>
              <w:jc w:val="both"/>
            </w:pPr>
            <w:r>
              <w:rPr>
                <w:rFonts w:ascii="仿宋" w:hAnsi="仿宋" w:cs="仿宋" w:eastAsia="仿宋"/>
                <w:sz w:val="21"/>
              </w:rPr>
              <w:t>5.成品电缆标志:成品电缆地外护套表面应连续凸印或印刷厂名、型号、电压、导体截面、制造年份和计米长度标志，不得连续500mm内无标志。</w:t>
            </w:r>
          </w:p>
          <w:p>
            <w:pPr>
              <w:pStyle w:val="null3"/>
              <w:spacing w:before="105" w:after="105"/>
              <w:ind w:firstLine="420"/>
              <w:jc w:val="both"/>
            </w:pPr>
            <w:r>
              <w:rPr>
                <w:rFonts w:ascii="仿宋" w:hAnsi="仿宋" w:cs="仿宋" w:eastAsia="仿宋"/>
                <w:sz w:val="21"/>
              </w:rPr>
              <w:t>6.导体：导体表面应光洁、无油污、无损伤屏蔽及绝缘的毛刺、锐边、无凸起或断裂的单线。导体应为圆形并绞合，紧压系数不小于0.9。铜导线</w:t>
            </w:r>
            <w:r>
              <w:rPr>
                <w:rFonts w:ascii="仿宋" w:hAnsi="仿宋" w:cs="仿宋" w:eastAsia="仿宋"/>
                <w:sz w:val="21"/>
              </w:rPr>
              <w:t>材料为无养圆铜杆。</w:t>
            </w:r>
          </w:p>
          <w:p>
            <w:pPr>
              <w:pStyle w:val="null3"/>
              <w:spacing w:before="105" w:after="105"/>
              <w:ind w:firstLine="420"/>
              <w:jc w:val="both"/>
            </w:pPr>
            <w:r>
              <w:rPr>
                <w:rFonts w:ascii="仿宋" w:hAnsi="仿宋" w:cs="仿宋" w:eastAsia="仿宋"/>
                <w:sz w:val="21"/>
              </w:rPr>
              <w:t>7.供应商应提供与本工程采购电力电缆配套使用的专用附属附件，以保证供货的完整性。如与电缆规格匹配的冷、热缩管、线鼻等附件附料。</w:t>
            </w:r>
          </w:p>
          <w:p>
            <w:pPr>
              <w:pStyle w:val="null3"/>
              <w:spacing w:before="105" w:after="105"/>
              <w:ind w:firstLine="420"/>
              <w:jc w:val="both"/>
            </w:pPr>
            <w:r>
              <w:rPr>
                <w:rFonts w:ascii="仿宋" w:hAnsi="仿宋" w:cs="仿宋" w:eastAsia="仿宋"/>
                <w:sz w:val="21"/>
              </w:rPr>
              <w:t>8.电缆敷设主要以直埋、电缆沟敷设、桥架敷设为主。地下敷设时电缆局部可能完全浸于水中。电缆敷设方式为机械牵引敷设或人工敷设。</w:t>
            </w:r>
          </w:p>
          <w:p>
            <w:pPr>
              <w:pStyle w:val="null3"/>
              <w:spacing w:before="105" w:after="105"/>
              <w:ind w:firstLine="420"/>
              <w:jc w:val="both"/>
            </w:pPr>
            <w:r>
              <w:rPr>
                <w:rFonts w:ascii="仿宋" w:hAnsi="仿宋" w:cs="仿宋" w:eastAsia="仿宋"/>
                <w:sz w:val="21"/>
              </w:rPr>
              <w:t>9.电力电缆敷设电缆时，电缆允许敷设最低温度在敷设前 24 h 内的平均温度以及敷设现场的温度不低于0℃；厂家如有特殊要求请详细说明。</w:t>
            </w:r>
          </w:p>
          <w:p>
            <w:pPr>
              <w:pStyle w:val="null3"/>
              <w:spacing w:before="105" w:after="105"/>
              <w:ind w:left="675"/>
              <w:jc w:val="both"/>
            </w:pPr>
            <w:r>
              <w:rPr>
                <w:rFonts w:ascii="仿宋" w:hAnsi="仿宋" w:cs="仿宋" w:eastAsia="仿宋"/>
                <w:b/>
                <w:sz w:val="21"/>
              </w:rPr>
              <w:t>（三）配电箱要求</w:t>
            </w:r>
          </w:p>
          <w:p>
            <w:pPr>
              <w:pStyle w:val="null3"/>
              <w:spacing w:before="105" w:after="105"/>
              <w:ind w:firstLine="420"/>
              <w:jc w:val="both"/>
            </w:pPr>
            <w:r>
              <w:rPr>
                <w:rFonts w:ascii="仿宋" w:hAnsi="仿宋" w:cs="仿宋" w:eastAsia="仿宋"/>
                <w:sz w:val="21"/>
              </w:rPr>
              <w:t>1.配电箱的所有技术指标必须符合相关规范及设计要求。配电箱要求采用符合国家标准的冷轧钢板。照明配电箱宽度大于等于600㎜的用2.0厚冷轧钢板，小于600㎜的用1.5㎜厚冷轧钢板制做。二层底板需用2㎜厚冷轧板。</w:t>
            </w:r>
          </w:p>
          <w:p>
            <w:pPr>
              <w:pStyle w:val="null3"/>
              <w:spacing w:before="105" w:after="105"/>
              <w:ind w:firstLine="420"/>
              <w:jc w:val="both"/>
            </w:pPr>
            <w:r>
              <w:rPr>
                <w:rFonts w:ascii="仿宋" w:hAnsi="仿宋" w:cs="仿宋" w:eastAsia="仿宋"/>
                <w:sz w:val="21"/>
              </w:rPr>
              <w:t>2.配电箱采用按锁，配电箱全部为通用锁。每把锁配两把钥匙。</w:t>
            </w:r>
          </w:p>
          <w:p>
            <w:pPr>
              <w:pStyle w:val="null3"/>
              <w:spacing w:before="105" w:after="105"/>
              <w:ind w:firstLine="420"/>
              <w:jc w:val="both"/>
            </w:pPr>
            <w:r>
              <w:rPr>
                <w:rFonts w:ascii="仿宋" w:hAnsi="仿宋" w:cs="仿宋" w:eastAsia="仿宋"/>
                <w:sz w:val="21"/>
              </w:rPr>
              <w:t>3.配电箱内地排、零排，必须有预留压线位置，接地螺栓不小于M10。</w:t>
            </w:r>
          </w:p>
          <w:p>
            <w:pPr>
              <w:pStyle w:val="null3"/>
              <w:spacing w:before="105" w:after="105"/>
              <w:ind w:firstLine="420"/>
              <w:jc w:val="both"/>
            </w:pPr>
            <w:r>
              <w:rPr>
                <w:rFonts w:ascii="仿宋" w:hAnsi="仿宋" w:cs="仿宋" w:eastAsia="仿宋"/>
                <w:sz w:val="21"/>
              </w:rPr>
              <w:t>4.配电箱内的电器、仪表等需进行检测及电气耐压实验。</w:t>
            </w:r>
          </w:p>
          <w:p>
            <w:pPr>
              <w:pStyle w:val="null3"/>
              <w:spacing w:before="105" w:after="105"/>
              <w:ind w:firstLine="420"/>
              <w:jc w:val="both"/>
            </w:pPr>
            <w:r>
              <w:rPr>
                <w:rFonts w:ascii="仿宋" w:hAnsi="仿宋" w:cs="仿宋" w:eastAsia="仿宋"/>
                <w:sz w:val="21"/>
              </w:rPr>
              <w:t>5.提供配电箱的结构、安装、调试、运行、维护、检修操作和全部附件的完整说明和技术数据。以及配电箱内主要元器件如断路器及其操动机构、互感器、计量装置等的完整资料。</w:t>
            </w:r>
          </w:p>
          <w:p>
            <w:pPr>
              <w:pStyle w:val="null3"/>
              <w:spacing w:before="105" w:after="105"/>
              <w:ind w:firstLine="420"/>
              <w:jc w:val="both"/>
            </w:pPr>
            <w:r>
              <w:rPr>
                <w:rFonts w:ascii="仿宋" w:hAnsi="仿宋" w:cs="仿宋" w:eastAsia="仿宋"/>
                <w:sz w:val="21"/>
              </w:rPr>
              <w:t>6.配电箱上的电器、仪表应符合电器、仪表排列间距要求。</w:t>
            </w:r>
          </w:p>
          <w:p>
            <w:pPr>
              <w:pStyle w:val="null3"/>
              <w:spacing w:before="105" w:after="105"/>
              <w:ind w:firstLine="420"/>
              <w:jc w:val="both"/>
            </w:pPr>
            <w:r>
              <w:rPr>
                <w:rFonts w:ascii="仿宋" w:hAnsi="仿宋" w:cs="仿宋" w:eastAsia="仿宋"/>
                <w:sz w:val="21"/>
              </w:rPr>
              <w:t>7.全部紧固件均采用镀锌件。</w:t>
            </w:r>
          </w:p>
          <w:p>
            <w:pPr>
              <w:pStyle w:val="null3"/>
              <w:spacing w:before="105" w:after="105"/>
              <w:ind w:firstLine="420"/>
              <w:jc w:val="both"/>
            </w:pPr>
            <w:r>
              <w:rPr>
                <w:rFonts w:ascii="仿宋" w:hAnsi="仿宋" w:cs="仿宋" w:eastAsia="仿宋"/>
                <w:sz w:val="21"/>
              </w:rPr>
              <w:t>8.二次配线均采用黑色线，并加套管编序。</w:t>
            </w:r>
          </w:p>
          <w:p>
            <w:pPr>
              <w:pStyle w:val="null3"/>
              <w:spacing w:before="105" w:after="105"/>
              <w:ind w:firstLine="420"/>
              <w:jc w:val="both"/>
            </w:pPr>
            <w:r>
              <w:rPr>
                <w:rFonts w:ascii="仿宋" w:hAnsi="仿宋" w:cs="仿宋" w:eastAsia="仿宋"/>
                <w:sz w:val="21"/>
              </w:rPr>
              <w:t>9.分层配电箱接线应考虑干线进出。</w:t>
            </w:r>
          </w:p>
          <w:p>
            <w:pPr>
              <w:pStyle w:val="null3"/>
              <w:spacing w:before="105" w:after="105"/>
              <w:ind w:firstLine="420"/>
              <w:jc w:val="both"/>
            </w:pPr>
            <w:r>
              <w:rPr>
                <w:rFonts w:ascii="仿宋" w:hAnsi="仿宋" w:cs="仿宋" w:eastAsia="仿宋"/>
                <w:sz w:val="21"/>
              </w:rPr>
              <w:t>10.配电箱内的配线须按设计图纸相序分色。</w:t>
            </w:r>
          </w:p>
          <w:p>
            <w:pPr>
              <w:pStyle w:val="null3"/>
              <w:spacing w:before="105" w:after="105"/>
              <w:ind w:firstLine="420"/>
              <w:jc w:val="both"/>
            </w:pPr>
            <w:r>
              <w:rPr>
                <w:rFonts w:ascii="仿宋" w:hAnsi="仿宋" w:cs="仿宋" w:eastAsia="仿宋"/>
                <w:sz w:val="21"/>
              </w:rPr>
              <w:t>11.配电箱内的PE线不得串接，与活动部件连接的必须采用铜质涮锡软纺织线。截面应符合规范要求。</w:t>
            </w:r>
          </w:p>
          <w:p>
            <w:pPr>
              <w:pStyle w:val="null3"/>
              <w:spacing w:before="105" w:after="105"/>
              <w:ind w:firstLine="420"/>
              <w:jc w:val="both"/>
            </w:pPr>
            <w:r>
              <w:rPr>
                <w:rFonts w:ascii="仿宋" w:hAnsi="仿宋" w:cs="仿宋" w:eastAsia="仿宋"/>
                <w:sz w:val="21"/>
              </w:rPr>
              <w:t>12.不等截面的两根导线严禁压在一个端子上。</w:t>
            </w:r>
          </w:p>
          <w:p>
            <w:pPr>
              <w:pStyle w:val="null3"/>
              <w:spacing w:before="105" w:after="105"/>
              <w:ind w:firstLine="420"/>
              <w:jc w:val="both"/>
            </w:pPr>
            <w:r>
              <w:rPr>
                <w:rFonts w:ascii="仿宋" w:hAnsi="仿宋" w:cs="仿宋" w:eastAsia="仿宋"/>
                <w:sz w:val="21"/>
              </w:rPr>
              <w:t>13.室内配电箱防护等级不小于IP33。</w:t>
            </w:r>
          </w:p>
          <w:p>
            <w:pPr>
              <w:pStyle w:val="null3"/>
              <w:spacing w:before="105" w:after="105"/>
              <w:jc w:val="both"/>
            </w:pPr>
            <w:r>
              <w:rPr>
                <w:rFonts w:ascii="仿宋" w:hAnsi="仿宋" w:cs="仿宋" w:eastAsia="仿宋"/>
                <w:b/>
                <w:color w:val="000000"/>
                <w:sz w:val="21"/>
              </w:rPr>
              <w:t>（四）桥架要求</w:t>
            </w:r>
          </w:p>
          <w:p>
            <w:pPr>
              <w:pStyle w:val="null3"/>
              <w:spacing w:before="105" w:after="105"/>
              <w:ind w:firstLine="420"/>
              <w:jc w:val="both"/>
            </w:pPr>
            <w:r>
              <w:rPr>
                <w:rFonts w:ascii="仿宋" w:hAnsi="仿宋" w:cs="仿宋" w:eastAsia="仿宋"/>
                <w:sz w:val="21"/>
              </w:rPr>
              <w:t>本工程电缆桥架采用钢制槽式桥架（</w:t>
            </w:r>
            <w:r>
              <w:rPr>
                <w:rFonts w:ascii="仿宋" w:hAnsi="仿宋" w:cs="仿宋" w:eastAsia="仿宋"/>
                <w:sz w:val="21"/>
              </w:rPr>
              <w:t>CT）。</w:t>
            </w:r>
          </w:p>
          <w:p>
            <w:pPr>
              <w:pStyle w:val="null3"/>
              <w:spacing w:before="105" w:after="105"/>
              <w:ind w:firstLine="420"/>
              <w:jc w:val="both"/>
            </w:pPr>
            <w:r>
              <w:rPr>
                <w:rFonts w:ascii="仿宋" w:hAnsi="仿宋" w:cs="仿宋" w:eastAsia="仿宋"/>
                <w:sz w:val="21"/>
              </w:rPr>
              <w:t>1.桥架表面要进行镀锌防腐处理。锌层表面应光滑均匀，致密。不得有起皮、气泡、花斑、局部未镀、划伤等缺陷。</w:t>
            </w:r>
          </w:p>
          <w:p>
            <w:pPr>
              <w:pStyle w:val="null3"/>
              <w:spacing w:before="105" w:after="105"/>
              <w:ind w:firstLine="420"/>
              <w:jc w:val="both"/>
            </w:pPr>
            <w:r>
              <w:rPr>
                <w:rFonts w:ascii="仿宋" w:hAnsi="仿宋" w:cs="仿宋" w:eastAsia="仿宋"/>
                <w:sz w:val="21"/>
              </w:rPr>
              <w:t>2.桥架宽度B＜100mm时，板厚不得小于1㎜；100≤B＜150时，板厚不得小于1.2㎜；150≤B＜400时，板厚不得小于1.5㎜。</w:t>
            </w:r>
          </w:p>
          <w:p>
            <w:pPr>
              <w:pStyle w:val="null3"/>
              <w:spacing w:before="105" w:after="105"/>
              <w:ind w:firstLine="420"/>
              <w:jc w:val="both"/>
            </w:pPr>
            <w:r>
              <w:rPr>
                <w:rFonts w:ascii="仿宋" w:hAnsi="仿宋" w:cs="仿宋" w:eastAsia="仿宋"/>
                <w:sz w:val="21"/>
              </w:rPr>
              <w:t>3.电缆桥架及支架全长应不少于2处与接地干线相连接，接地线不得小4mm2。</w:t>
            </w:r>
          </w:p>
          <w:p>
            <w:pPr>
              <w:pStyle w:val="null3"/>
              <w:spacing w:before="105" w:after="105"/>
              <w:ind w:firstLine="420"/>
              <w:jc w:val="both"/>
            </w:pPr>
            <w:r>
              <w:rPr>
                <w:rFonts w:ascii="仿宋" w:hAnsi="仿宋" w:cs="仿宋" w:eastAsia="仿宋"/>
                <w:sz w:val="21"/>
              </w:rPr>
              <w:t>4.电缆桥架处如有防火要求的场所，应采取防火隔离措施。</w:t>
            </w:r>
          </w:p>
          <w:p>
            <w:pPr>
              <w:pStyle w:val="null3"/>
              <w:spacing w:before="105" w:after="105"/>
              <w:ind w:firstLine="420"/>
              <w:jc w:val="both"/>
            </w:pPr>
            <w:r>
              <w:rPr>
                <w:rFonts w:ascii="仿宋" w:hAnsi="仿宋" w:cs="仿宋" w:eastAsia="仿宋"/>
                <w:sz w:val="21"/>
              </w:rPr>
              <w:t>5.电缆桥架规格型号必须符合设计要求，附件齐全；桥架与配件、附件和紧固件各种型钢均应采用镀锌标准件。</w:t>
            </w:r>
          </w:p>
          <w:p>
            <w:pPr>
              <w:pStyle w:val="null3"/>
              <w:spacing w:before="105" w:after="105"/>
              <w:ind w:firstLine="420"/>
              <w:jc w:val="both"/>
            </w:pPr>
            <w:r>
              <w:rPr>
                <w:rFonts w:ascii="仿宋" w:hAnsi="仿宋" w:cs="仿宋" w:eastAsia="仿宋"/>
                <w:sz w:val="21"/>
              </w:rPr>
              <w:t>6.各种规格电缆桥架的直线段、弯通、桥架附件及支、吊架等有产品合格证，桥架内处应光滑平整，无棱刺，不应有扭曲变形现象。</w:t>
            </w:r>
          </w:p>
          <w:p>
            <w:pPr>
              <w:pStyle w:val="null3"/>
              <w:spacing w:before="105" w:after="105"/>
              <w:ind w:firstLine="420"/>
              <w:jc w:val="both"/>
            </w:pPr>
            <w:r>
              <w:rPr>
                <w:rFonts w:ascii="仿宋" w:hAnsi="仿宋" w:cs="仿宋" w:eastAsia="仿宋"/>
                <w:sz w:val="21"/>
              </w:rPr>
              <w:t>7.及时清理施工现场垃圾。</w:t>
            </w:r>
          </w:p>
          <w:p>
            <w:pPr>
              <w:pStyle w:val="null3"/>
              <w:spacing w:before="105" w:after="105"/>
              <w:jc w:val="both"/>
            </w:pPr>
            <w:r>
              <w:rPr>
                <w:rFonts w:ascii="仿宋" w:hAnsi="仿宋" w:cs="仿宋" w:eastAsia="仿宋"/>
                <w:b/>
                <w:sz w:val="21"/>
              </w:rPr>
              <w:t>（五）以下内容为对本工程的最基本要求，包括但不限于：</w:t>
            </w:r>
          </w:p>
          <w:p>
            <w:pPr>
              <w:pStyle w:val="null3"/>
              <w:spacing w:before="105" w:after="105"/>
              <w:ind w:firstLine="420"/>
              <w:jc w:val="both"/>
            </w:pPr>
            <w:r>
              <w:rPr>
                <w:rFonts w:ascii="仿宋" w:hAnsi="仿宋" w:cs="仿宋" w:eastAsia="仿宋"/>
                <w:sz w:val="21"/>
              </w:rPr>
              <w:t>1.供应商项目负责人是安全生产第一责任人，供应商应建立健全安全生产责任制度和安全教育培训、安全生产检查和安全生产操作规程等各项规章制度；向施工作业人员提供符合相关标准的劳动安全防护用品（具），为施工人员缴纳意外伤害保险。</w:t>
            </w:r>
          </w:p>
          <w:p>
            <w:pPr>
              <w:pStyle w:val="null3"/>
              <w:spacing w:before="105" w:after="105"/>
              <w:ind w:firstLine="420"/>
              <w:jc w:val="both"/>
            </w:pPr>
            <w:r>
              <w:rPr>
                <w:rFonts w:ascii="仿宋" w:hAnsi="仿宋" w:cs="仿宋" w:eastAsia="仿宋"/>
                <w:sz w:val="21"/>
              </w:rPr>
              <w:t>2.供应商应根据工程特点和周边各种管线管网、相邻建筑物以及绿化等其他设施等编制工程安全防护措施方案。该方案经供应商技术负责人签字批准送建设单位审核后方可施工。</w:t>
            </w:r>
          </w:p>
          <w:p>
            <w:pPr>
              <w:pStyle w:val="null3"/>
              <w:spacing w:before="105" w:after="105"/>
              <w:ind w:firstLine="420"/>
              <w:jc w:val="both"/>
            </w:pPr>
            <w:r>
              <w:rPr>
                <w:rFonts w:ascii="仿宋" w:hAnsi="仿宋" w:cs="仿宋" w:eastAsia="仿宋"/>
                <w:sz w:val="21"/>
              </w:rPr>
              <w:t>3.供应商在施工现场应建立项目部，并按规定配备专职安全员。现场专职安全员必须持有安全生产考核合格证。</w:t>
            </w:r>
          </w:p>
          <w:p>
            <w:pPr>
              <w:pStyle w:val="null3"/>
              <w:spacing w:before="105" w:after="105"/>
              <w:ind w:firstLine="420"/>
              <w:jc w:val="both"/>
            </w:pPr>
            <w:r>
              <w:rPr>
                <w:rFonts w:ascii="仿宋" w:hAnsi="仿宋" w:cs="仿宋" w:eastAsia="仿宋"/>
                <w:sz w:val="21"/>
              </w:rPr>
              <w:t>4.关键部位作业人员必须经专业安全技术培训后方可上岗。必要时施工前供应商对施工作业人员进行安全技术交底，派出技术人员到现场指导，专职安全员在现场监督安全管理。另外供应商必须制定安全事故应急救援方案。</w:t>
            </w:r>
          </w:p>
          <w:p>
            <w:pPr>
              <w:pStyle w:val="null3"/>
              <w:spacing w:before="105" w:after="105"/>
              <w:ind w:firstLine="420"/>
              <w:jc w:val="both"/>
            </w:pPr>
            <w:r>
              <w:rPr>
                <w:rFonts w:ascii="仿宋" w:hAnsi="仿宋" w:cs="仿宋" w:eastAsia="仿宋"/>
                <w:sz w:val="21"/>
              </w:rPr>
              <w:t>5.拆除时不得野蛮施工、不得对附近建筑物、路灯、规划外的树木等造成损害。</w:t>
            </w:r>
          </w:p>
          <w:p>
            <w:pPr>
              <w:pStyle w:val="null3"/>
              <w:spacing w:before="105" w:after="105"/>
              <w:ind w:firstLine="420"/>
              <w:jc w:val="both"/>
            </w:pPr>
            <w:r>
              <w:rPr>
                <w:rFonts w:ascii="仿宋" w:hAnsi="仿宋" w:cs="仿宋" w:eastAsia="仿宋"/>
                <w:sz w:val="21"/>
              </w:rPr>
              <w:t>6.供应商对工程的周边环境和施工区域内的环境卫生负责。</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标的名称：二标段：鄠邑校区空调安装电力改造项目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b/>
                <w:sz w:val="21"/>
              </w:rPr>
              <w:t>（一）标准要求</w:t>
            </w:r>
          </w:p>
          <w:p>
            <w:pPr>
              <w:pStyle w:val="null3"/>
              <w:ind w:firstLine="420"/>
              <w:jc w:val="both"/>
            </w:pPr>
            <w:r>
              <w:rPr>
                <w:rFonts w:ascii="仿宋" w:hAnsi="仿宋" w:cs="仿宋" w:eastAsia="仿宋"/>
                <w:sz w:val="21"/>
              </w:rPr>
              <w:t>1.</w:t>
            </w:r>
            <w:r>
              <w:rPr>
                <w:rFonts w:ascii="仿宋" w:hAnsi="仿宋" w:cs="仿宋" w:eastAsia="仿宋"/>
                <w:sz w:val="21"/>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pStyle w:val="null3"/>
              <w:ind w:firstLine="420"/>
              <w:jc w:val="both"/>
            </w:pPr>
            <w:r>
              <w:rPr>
                <w:rFonts w:ascii="仿宋" w:hAnsi="仿宋" w:cs="仿宋" w:eastAsia="仿宋"/>
                <w:sz w:val="21"/>
              </w:rPr>
              <w:t>1.1《宿舍建筑设计规范》JGJ36-2015</w:t>
            </w:r>
          </w:p>
          <w:p>
            <w:pPr>
              <w:pStyle w:val="null3"/>
              <w:ind w:firstLine="420"/>
              <w:jc w:val="both"/>
            </w:pPr>
            <w:r>
              <w:rPr>
                <w:rFonts w:ascii="仿宋" w:hAnsi="仿宋" w:cs="仿宋" w:eastAsia="仿宋"/>
                <w:sz w:val="21"/>
              </w:rPr>
              <w:t>1.2《民用建筑电气设计规范》JGJ 16-2008</w:t>
            </w:r>
          </w:p>
          <w:p>
            <w:pPr>
              <w:pStyle w:val="null3"/>
              <w:ind w:firstLine="420"/>
              <w:jc w:val="both"/>
            </w:pPr>
            <w:r>
              <w:rPr>
                <w:rFonts w:ascii="仿宋" w:hAnsi="仿宋" w:cs="仿宋" w:eastAsia="仿宋"/>
                <w:sz w:val="21"/>
              </w:rPr>
              <w:t>1</w:t>
            </w:r>
            <w:r>
              <w:rPr>
                <w:rFonts w:ascii="仿宋" w:hAnsi="仿宋" w:cs="仿宋" w:eastAsia="仿宋"/>
                <w:sz w:val="21"/>
              </w:rPr>
              <w:t>.3</w:t>
            </w:r>
            <w:r>
              <w:rPr>
                <w:rFonts w:ascii="仿宋" w:hAnsi="仿宋" w:cs="仿宋" w:eastAsia="仿宋"/>
                <w:sz w:val="21"/>
              </w:rPr>
              <w:t>《建筑照明设计标准》</w:t>
            </w:r>
            <w:r>
              <w:rPr>
                <w:rFonts w:ascii="仿宋" w:hAnsi="仿宋" w:cs="仿宋" w:eastAsia="仿宋"/>
                <w:sz w:val="21"/>
              </w:rPr>
              <w:t>GB50034-2013</w:t>
            </w:r>
          </w:p>
          <w:p>
            <w:pPr>
              <w:pStyle w:val="null3"/>
              <w:ind w:firstLine="420"/>
              <w:jc w:val="both"/>
            </w:pPr>
            <w:r>
              <w:rPr>
                <w:rFonts w:ascii="仿宋" w:hAnsi="仿宋" w:cs="仿宋" w:eastAsia="仿宋"/>
                <w:sz w:val="21"/>
              </w:rPr>
              <w:t>1.</w:t>
            </w:r>
            <w:r>
              <w:rPr>
                <w:rFonts w:ascii="仿宋" w:hAnsi="仿宋" w:cs="仿宋" w:eastAsia="仿宋"/>
                <w:sz w:val="21"/>
              </w:rPr>
              <w:t>4</w:t>
            </w:r>
            <w:r>
              <w:rPr>
                <w:rFonts w:ascii="仿宋" w:hAnsi="仿宋" w:cs="仿宋" w:eastAsia="仿宋"/>
                <w:sz w:val="21"/>
              </w:rPr>
              <w:t>《供配电系统设计规范》</w:t>
            </w:r>
            <w:r>
              <w:rPr>
                <w:rFonts w:ascii="仿宋" w:hAnsi="仿宋" w:cs="仿宋" w:eastAsia="仿宋"/>
                <w:sz w:val="21"/>
              </w:rPr>
              <w:t>GB50052-2009</w:t>
            </w:r>
          </w:p>
          <w:p>
            <w:pPr>
              <w:pStyle w:val="null3"/>
              <w:ind w:firstLine="420"/>
              <w:jc w:val="both"/>
            </w:pPr>
            <w:r>
              <w:rPr>
                <w:rFonts w:ascii="仿宋" w:hAnsi="仿宋" w:cs="仿宋" w:eastAsia="仿宋"/>
                <w:sz w:val="21"/>
              </w:rPr>
              <w:t>2.</w:t>
            </w:r>
            <w:r>
              <w:rPr>
                <w:rFonts w:ascii="仿宋" w:hAnsi="仿宋" w:cs="仿宋" w:eastAsia="仿宋"/>
                <w:sz w:val="21"/>
              </w:rPr>
              <w:t>根据工程设计要求，该项工程项目的施工、材料、设备和安装等除达到以上标准外，还应满足设计要求和</w:t>
            </w:r>
            <w:r>
              <w:rPr>
                <w:rFonts w:ascii="仿宋" w:hAnsi="仿宋" w:cs="仿宋" w:eastAsia="仿宋"/>
                <w:sz w:val="21"/>
              </w:rPr>
              <w:t>采购人</w:t>
            </w:r>
            <w:r>
              <w:rPr>
                <w:rFonts w:ascii="仿宋" w:hAnsi="仿宋" w:cs="仿宋" w:eastAsia="仿宋"/>
                <w:sz w:val="21"/>
              </w:rPr>
              <w:t>在</w:t>
            </w:r>
            <w:r>
              <w:rPr>
                <w:rFonts w:ascii="仿宋" w:hAnsi="仿宋" w:cs="仿宋" w:eastAsia="仿宋"/>
                <w:sz w:val="21"/>
              </w:rPr>
              <w:t>磋商文件</w:t>
            </w:r>
            <w:r>
              <w:rPr>
                <w:rFonts w:ascii="仿宋" w:hAnsi="仿宋" w:cs="仿宋" w:eastAsia="仿宋"/>
                <w:sz w:val="21"/>
              </w:rPr>
              <w:t>中的有关要求。</w:t>
            </w:r>
          </w:p>
          <w:p>
            <w:pPr>
              <w:pStyle w:val="null3"/>
              <w:jc w:val="both"/>
            </w:pPr>
            <w:r>
              <w:rPr>
                <w:rFonts w:ascii="仿宋" w:hAnsi="仿宋" w:cs="仿宋" w:eastAsia="仿宋"/>
                <w:b/>
                <w:sz w:val="21"/>
              </w:rPr>
              <w:t>（二）电力线缆要求</w:t>
            </w:r>
          </w:p>
          <w:p>
            <w:pPr>
              <w:pStyle w:val="null3"/>
              <w:ind w:firstLine="420"/>
              <w:jc w:val="left"/>
            </w:pPr>
            <w:r>
              <w:rPr>
                <w:rFonts w:ascii="仿宋" w:hAnsi="仿宋" w:cs="仿宋" w:eastAsia="仿宋"/>
                <w:sz w:val="21"/>
              </w:rPr>
              <w:t>电力电缆均采用铜芯交联聚乙烯绝缘聚氯乙烯护套电力电缆。规格、型号参见设计图纸。</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运行要求：</w:t>
            </w:r>
          </w:p>
          <w:p>
            <w:pPr>
              <w:pStyle w:val="null3"/>
              <w:ind w:firstLine="420"/>
              <w:jc w:val="both"/>
            </w:pPr>
            <w:r>
              <w:rPr>
                <w:rFonts w:ascii="仿宋" w:hAnsi="仿宋" w:cs="仿宋" w:eastAsia="仿宋"/>
                <w:sz w:val="21"/>
              </w:rPr>
              <w:t>电缆导体的额定运行最高温度为</w:t>
            </w:r>
            <w:r>
              <w:rPr>
                <w:rFonts w:ascii="仿宋" w:hAnsi="仿宋" w:cs="仿宋" w:eastAsia="仿宋"/>
                <w:sz w:val="21"/>
              </w:rPr>
              <w:t>90℃。</w:t>
            </w:r>
          </w:p>
          <w:p>
            <w:pPr>
              <w:pStyle w:val="null3"/>
              <w:ind w:firstLine="420"/>
              <w:jc w:val="both"/>
            </w:pPr>
            <w:r>
              <w:rPr>
                <w:rFonts w:ascii="仿宋" w:hAnsi="仿宋" w:cs="仿宋" w:eastAsia="仿宋"/>
                <w:sz w:val="21"/>
              </w:rPr>
              <w:t>短路时电缆导体的最高温度不超过</w:t>
            </w:r>
            <w:r>
              <w:rPr>
                <w:rFonts w:ascii="仿宋" w:hAnsi="仿宋" w:cs="仿宋" w:eastAsia="仿宋"/>
                <w:sz w:val="21"/>
              </w:rPr>
              <w:t>250℃。</w:t>
            </w:r>
          </w:p>
          <w:p>
            <w:pPr>
              <w:pStyle w:val="null3"/>
              <w:ind w:firstLine="420"/>
              <w:jc w:val="both"/>
            </w:pPr>
            <w:r>
              <w:rPr>
                <w:rFonts w:ascii="仿宋" w:hAnsi="仿宋" w:cs="仿宋" w:eastAsia="仿宋"/>
                <w:sz w:val="21"/>
              </w:rPr>
              <w:t>短路时间不超过</w:t>
            </w:r>
            <w:r>
              <w:rPr>
                <w:rFonts w:ascii="仿宋" w:hAnsi="仿宋" w:cs="仿宋" w:eastAsia="仿宋"/>
                <w:sz w:val="21"/>
              </w:rPr>
              <w:t>5s。</w:t>
            </w:r>
          </w:p>
          <w:p>
            <w:pPr>
              <w:pStyle w:val="null3"/>
              <w:ind w:firstLine="420"/>
              <w:jc w:val="both"/>
            </w:pPr>
            <w:r>
              <w:rPr>
                <w:rFonts w:ascii="仿宋" w:hAnsi="仿宋" w:cs="仿宋" w:eastAsia="仿宋"/>
                <w:sz w:val="21"/>
              </w:rPr>
              <w:t>电缆弯曲半径：不小于</w:t>
            </w:r>
            <w:r>
              <w:rPr>
                <w:rFonts w:ascii="仿宋" w:hAnsi="仿宋" w:cs="仿宋" w:eastAsia="仿宋"/>
                <w:sz w:val="21"/>
              </w:rPr>
              <w:t>15倍电缆的实际外径。</w:t>
            </w:r>
          </w:p>
          <w:p>
            <w:pPr>
              <w:pStyle w:val="null3"/>
              <w:ind w:firstLine="420"/>
              <w:jc w:val="both"/>
            </w:pPr>
            <w:r>
              <w:rPr>
                <w:rFonts w:ascii="仿宋" w:hAnsi="仿宋" w:cs="仿宋" w:eastAsia="仿宋"/>
                <w:sz w:val="21"/>
              </w:rPr>
              <w:t>电缆额定电压：</w:t>
            </w:r>
            <w:r>
              <w:rPr>
                <w:rFonts w:ascii="仿宋" w:hAnsi="仿宋" w:cs="仿宋" w:eastAsia="仿宋"/>
                <w:sz w:val="21"/>
              </w:rPr>
              <w:t>0.6/1kV。</w:t>
            </w:r>
          </w:p>
          <w:p>
            <w:pPr>
              <w:pStyle w:val="null3"/>
              <w:ind w:firstLine="42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绝缘要求：交联聚乙烯；标称厚平均值不小于标称值，绝缘任一点最薄点的测量厚度不小于规定标称值的</w:t>
            </w:r>
            <w:r>
              <w:rPr>
                <w:rFonts w:ascii="仿宋" w:hAnsi="仿宋" w:cs="仿宋" w:eastAsia="仿宋"/>
                <w:sz w:val="21"/>
              </w:rPr>
              <w:t>90％-0.1mm。</w:t>
            </w:r>
          </w:p>
          <w:p>
            <w:pPr>
              <w:pStyle w:val="null3"/>
              <w:ind w:firstLine="420"/>
              <w:jc w:val="both"/>
            </w:pPr>
            <w:r>
              <w:rPr>
                <w:rFonts w:ascii="仿宋" w:hAnsi="仿宋" w:cs="仿宋" w:eastAsia="仿宋"/>
                <w:sz w:val="21"/>
              </w:rPr>
              <w:t>3</w:t>
            </w:r>
            <w:r>
              <w:rPr>
                <w:rFonts w:ascii="仿宋" w:hAnsi="仿宋" w:cs="仿宋" w:eastAsia="仿宋"/>
                <w:sz w:val="21"/>
              </w:rPr>
              <w:t>.</w:t>
            </w:r>
            <w:r>
              <w:rPr>
                <w:rFonts w:ascii="仿宋" w:hAnsi="仿宋" w:cs="仿宋" w:eastAsia="仿宋"/>
                <w:sz w:val="21"/>
              </w:rPr>
              <w:t>电缆的填充物、内外护层及铠装</w:t>
            </w:r>
          </w:p>
          <w:p>
            <w:pPr>
              <w:pStyle w:val="null3"/>
              <w:ind w:firstLine="420"/>
              <w:jc w:val="both"/>
            </w:pPr>
            <w:r>
              <w:rPr>
                <w:rFonts w:ascii="仿宋" w:hAnsi="仿宋" w:cs="仿宋" w:eastAsia="仿宋"/>
                <w:sz w:val="21"/>
              </w:rPr>
              <w:t>芯线的中心及四周应使用聚丙烯纤维材料填充密实圆整。</w:t>
            </w:r>
          </w:p>
          <w:p>
            <w:pPr>
              <w:pStyle w:val="null3"/>
              <w:ind w:firstLine="420"/>
              <w:jc w:val="both"/>
            </w:pPr>
            <w:r>
              <w:rPr>
                <w:rFonts w:ascii="仿宋" w:hAnsi="仿宋" w:cs="仿宋" w:eastAsia="仿宋"/>
                <w:sz w:val="21"/>
              </w:rPr>
              <w:t>在电缆成缆后应有一层挤包的内护层。其材料应是聚乙烯，标称厚度不小于</w:t>
            </w:r>
            <w:r>
              <w:rPr>
                <w:rFonts w:ascii="仿宋" w:hAnsi="仿宋" w:cs="仿宋" w:eastAsia="仿宋"/>
                <w:sz w:val="21"/>
              </w:rPr>
              <w:t>1.4mm。</w:t>
            </w:r>
          </w:p>
          <w:p>
            <w:pPr>
              <w:pStyle w:val="null3"/>
              <w:ind w:firstLine="420"/>
              <w:jc w:val="both"/>
            </w:pPr>
            <w:r>
              <w:rPr>
                <w:rFonts w:ascii="仿宋" w:hAnsi="仿宋" w:cs="仿宋" w:eastAsia="仿宋"/>
                <w:sz w:val="21"/>
              </w:rPr>
              <w:t>钢带铠装必须采用双层镀芯钢带，钢带厚度应符合</w:t>
            </w:r>
            <w:r>
              <w:rPr>
                <w:rFonts w:ascii="仿宋" w:hAnsi="仿宋" w:cs="仿宋" w:eastAsia="仿宋"/>
                <w:sz w:val="21"/>
              </w:rPr>
              <w:t>IEC-60502的要求。</w:t>
            </w:r>
          </w:p>
          <w:p>
            <w:pPr>
              <w:pStyle w:val="null3"/>
              <w:ind w:firstLine="420"/>
              <w:jc w:val="both"/>
            </w:pPr>
            <w:r>
              <w:rPr>
                <w:rFonts w:ascii="仿宋" w:hAnsi="仿宋" w:cs="仿宋" w:eastAsia="仿宋"/>
                <w:sz w:val="21"/>
              </w:rPr>
              <w:t>外护套厚度平均值应不小于标称值，任一点最小厚度应不小于标称值的</w:t>
            </w:r>
            <w:r>
              <w:rPr>
                <w:rFonts w:ascii="仿宋" w:hAnsi="仿宋" w:cs="仿宋" w:eastAsia="仿宋"/>
                <w:sz w:val="21"/>
              </w:rPr>
              <w:t>80％。</w:t>
            </w:r>
          </w:p>
          <w:p>
            <w:pPr>
              <w:pStyle w:val="null3"/>
              <w:ind w:firstLine="420"/>
              <w:jc w:val="both"/>
            </w:pPr>
            <w:r>
              <w:rPr>
                <w:rFonts w:ascii="仿宋" w:hAnsi="仿宋" w:cs="仿宋" w:eastAsia="仿宋"/>
                <w:sz w:val="21"/>
              </w:rPr>
              <w:t>4</w:t>
            </w:r>
            <w:r>
              <w:rPr>
                <w:rFonts w:ascii="仿宋" w:hAnsi="仿宋" w:cs="仿宋" w:eastAsia="仿宋"/>
                <w:sz w:val="21"/>
              </w:rPr>
              <w:t>.</w:t>
            </w:r>
            <w:r>
              <w:rPr>
                <w:rFonts w:ascii="仿宋" w:hAnsi="仿宋" w:cs="仿宋" w:eastAsia="仿宋"/>
                <w:sz w:val="21"/>
              </w:rPr>
              <w:t>交货长度：成盘长度原则上以</w:t>
            </w:r>
            <w:r>
              <w:rPr>
                <w:rFonts w:ascii="仿宋" w:hAnsi="仿宋" w:cs="仿宋" w:eastAsia="仿宋"/>
                <w:sz w:val="21"/>
              </w:rPr>
              <w:t>500～700米为模数，每个规格只能缠绕在一个电缆轴上，必须确定每根电缆的完整性，电缆不得有中间头。具体由中标单位与厂商协商确定。</w:t>
            </w:r>
          </w:p>
          <w:p>
            <w:pPr>
              <w:pStyle w:val="null3"/>
              <w:ind w:firstLine="420"/>
              <w:jc w:val="both"/>
            </w:pPr>
            <w:r>
              <w:rPr>
                <w:rFonts w:ascii="仿宋" w:hAnsi="仿宋" w:cs="仿宋" w:eastAsia="仿宋"/>
                <w:sz w:val="21"/>
              </w:rPr>
              <w:t>5</w:t>
            </w:r>
            <w:r>
              <w:rPr>
                <w:rFonts w:ascii="仿宋" w:hAnsi="仿宋" w:cs="仿宋" w:eastAsia="仿宋"/>
                <w:sz w:val="21"/>
              </w:rPr>
              <w:t>.</w:t>
            </w:r>
            <w:r>
              <w:rPr>
                <w:rFonts w:ascii="仿宋" w:hAnsi="仿宋" w:cs="仿宋" w:eastAsia="仿宋"/>
                <w:sz w:val="21"/>
              </w:rPr>
              <w:t>成品电缆标志</w:t>
            </w:r>
            <w:r>
              <w:rPr>
                <w:rFonts w:ascii="仿宋" w:hAnsi="仿宋" w:cs="仿宋" w:eastAsia="仿宋"/>
                <w:sz w:val="21"/>
              </w:rPr>
              <w:t>:成品电缆地外护套表面应连续凸印或印刷厂名、型号、电压、导体截面、制造年份和计米长度标志，不得连续500mm内无标志。</w:t>
            </w:r>
          </w:p>
          <w:p>
            <w:pPr>
              <w:pStyle w:val="null3"/>
              <w:ind w:firstLine="420"/>
              <w:jc w:val="both"/>
            </w:pPr>
            <w:r>
              <w:rPr>
                <w:rFonts w:ascii="仿宋" w:hAnsi="仿宋" w:cs="仿宋" w:eastAsia="仿宋"/>
                <w:sz w:val="21"/>
              </w:rPr>
              <w:t>6</w:t>
            </w:r>
            <w:r>
              <w:rPr>
                <w:rFonts w:ascii="仿宋" w:hAnsi="仿宋" w:cs="仿宋" w:eastAsia="仿宋"/>
                <w:sz w:val="21"/>
              </w:rPr>
              <w:t>.</w:t>
            </w:r>
            <w:r>
              <w:rPr>
                <w:rFonts w:ascii="仿宋" w:hAnsi="仿宋" w:cs="仿宋" w:eastAsia="仿宋"/>
                <w:sz w:val="21"/>
              </w:rPr>
              <w:t>导体：导体表面应光洁、无油污、无损伤屏蔽及绝缘的毛刺、锐边、无凸起或断裂的单线。导体应为圆形并绞合，紧压系数不小于</w:t>
            </w:r>
            <w:r>
              <w:rPr>
                <w:rFonts w:ascii="仿宋" w:hAnsi="仿宋" w:cs="仿宋" w:eastAsia="仿宋"/>
                <w:sz w:val="21"/>
              </w:rPr>
              <w:t>0.9。铜导线材料为无养圆铜杆。</w:t>
            </w:r>
          </w:p>
          <w:p>
            <w:pPr>
              <w:pStyle w:val="null3"/>
              <w:ind w:firstLine="420"/>
              <w:jc w:val="both"/>
            </w:pPr>
            <w:r>
              <w:rPr>
                <w:rFonts w:ascii="仿宋" w:hAnsi="仿宋" w:cs="仿宋" w:eastAsia="仿宋"/>
                <w:sz w:val="21"/>
              </w:rPr>
              <w:t>7.供应商应提供与本工程采购电力电缆配套使用的专用附属附件，以保证供货的完整性。如与电缆规格匹配的冷、热缩管、线鼻等附件附料。</w:t>
            </w:r>
          </w:p>
          <w:p>
            <w:pPr>
              <w:pStyle w:val="null3"/>
              <w:ind w:firstLine="420"/>
              <w:jc w:val="both"/>
            </w:pPr>
            <w:r>
              <w:rPr>
                <w:rFonts w:ascii="仿宋" w:hAnsi="仿宋" w:cs="仿宋" w:eastAsia="仿宋"/>
                <w:sz w:val="21"/>
              </w:rPr>
              <w:t>8</w:t>
            </w:r>
            <w:r>
              <w:rPr>
                <w:rFonts w:ascii="仿宋" w:hAnsi="仿宋" w:cs="仿宋" w:eastAsia="仿宋"/>
                <w:sz w:val="21"/>
              </w:rPr>
              <w:t>.</w:t>
            </w:r>
            <w:r>
              <w:rPr>
                <w:rFonts w:ascii="仿宋" w:hAnsi="仿宋" w:cs="仿宋" w:eastAsia="仿宋"/>
                <w:sz w:val="21"/>
              </w:rPr>
              <w:t>电缆敷设主要以直埋、电缆沟敷设、桥架敷设为主。地下敷设时电缆局部可能完全浸于水中。电缆敷设方式为机械牵引敷设或人工敷设。</w:t>
            </w:r>
          </w:p>
          <w:p>
            <w:pPr>
              <w:pStyle w:val="null3"/>
              <w:ind w:firstLine="420"/>
              <w:jc w:val="both"/>
            </w:pPr>
            <w:r>
              <w:rPr>
                <w:rFonts w:ascii="仿宋" w:hAnsi="仿宋" w:cs="仿宋" w:eastAsia="仿宋"/>
                <w:sz w:val="21"/>
              </w:rPr>
              <w:t>9</w:t>
            </w:r>
            <w:r>
              <w:rPr>
                <w:rFonts w:ascii="仿宋" w:hAnsi="仿宋" w:cs="仿宋" w:eastAsia="仿宋"/>
                <w:sz w:val="21"/>
              </w:rPr>
              <w:t>.</w:t>
            </w:r>
            <w:r>
              <w:rPr>
                <w:rFonts w:ascii="仿宋" w:hAnsi="仿宋" w:cs="仿宋" w:eastAsia="仿宋"/>
                <w:sz w:val="21"/>
              </w:rPr>
              <w:t>电力电缆敷设电缆时，电缆允许敷设最低温度在敷设前</w:t>
            </w:r>
            <w:r>
              <w:rPr>
                <w:rFonts w:ascii="仿宋" w:hAnsi="仿宋" w:cs="仿宋" w:eastAsia="仿宋"/>
                <w:sz w:val="21"/>
              </w:rPr>
              <w:t>24 h 内的平均温度以及敷设现场的温度不低于0℃；厂家如有特殊要求请详细说明。</w:t>
            </w:r>
          </w:p>
          <w:p>
            <w:pPr>
              <w:pStyle w:val="null3"/>
              <w:ind w:left="840"/>
              <w:jc w:val="both"/>
            </w:pPr>
            <w:r>
              <w:rPr>
                <w:rFonts w:ascii="仿宋" w:hAnsi="仿宋" w:cs="仿宋" w:eastAsia="仿宋"/>
                <w:b/>
                <w:sz w:val="21"/>
              </w:rPr>
              <w:t>（</w:t>
            </w:r>
            <w:r>
              <w:rPr>
                <w:rFonts w:ascii="仿宋" w:hAnsi="仿宋" w:cs="仿宋" w:eastAsia="仿宋"/>
                <w:b/>
                <w:sz w:val="21"/>
              </w:rPr>
              <w:t>三</w:t>
            </w:r>
            <w:r>
              <w:rPr>
                <w:rFonts w:ascii="仿宋" w:hAnsi="仿宋" w:cs="仿宋" w:eastAsia="仿宋"/>
                <w:b/>
                <w:sz w:val="21"/>
              </w:rPr>
              <w:t>）配电箱要求</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配电箱的所有技术指标必须符合</w:t>
            </w:r>
            <w:r>
              <w:rPr>
                <w:rFonts w:ascii="仿宋" w:hAnsi="仿宋" w:cs="仿宋" w:eastAsia="仿宋"/>
                <w:sz w:val="21"/>
              </w:rPr>
              <w:t>相关</w:t>
            </w:r>
            <w:r>
              <w:rPr>
                <w:rFonts w:ascii="仿宋" w:hAnsi="仿宋" w:cs="仿宋" w:eastAsia="仿宋"/>
                <w:sz w:val="21"/>
              </w:rPr>
              <w:t>规范及设计要求。配电箱要求采用符合国家标准的冷轧钢板。照明配电箱宽度大于等于</w:t>
            </w:r>
            <w:r>
              <w:rPr>
                <w:rFonts w:ascii="仿宋" w:hAnsi="仿宋" w:cs="仿宋" w:eastAsia="仿宋"/>
                <w:sz w:val="21"/>
              </w:rPr>
              <w:t>600㎜的用2.0厚冷轧钢板，小于600㎜的用1.5㎜厚冷轧钢板制做。二层底板需用2㎜厚冷轧板。</w:t>
            </w:r>
          </w:p>
          <w:p>
            <w:pPr>
              <w:pStyle w:val="null3"/>
              <w:ind w:firstLine="42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配电箱采用按锁，配电箱全部为通用锁。每把锁配两把钥匙。</w:t>
            </w:r>
          </w:p>
          <w:p>
            <w:pPr>
              <w:pStyle w:val="null3"/>
              <w:ind w:firstLine="420"/>
              <w:jc w:val="both"/>
            </w:pPr>
            <w:r>
              <w:rPr>
                <w:rFonts w:ascii="仿宋" w:hAnsi="仿宋" w:cs="仿宋" w:eastAsia="仿宋"/>
                <w:sz w:val="21"/>
              </w:rPr>
              <w:t>3</w:t>
            </w:r>
            <w:r>
              <w:rPr>
                <w:rFonts w:ascii="仿宋" w:hAnsi="仿宋" w:cs="仿宋" w:eastAsia="仿宋"/>
                <w:sz w:val="21"/>
              </w:rPr>
              <w:t>.</w:t>
            </w:r>
            <w:r>
              <w:rPr>
                <w:rFonts w:ascii="仿宋" w:hAnsi="仿宋" w:cs="仿宋" w:eastAsia="仿宋"/>
                <w:sz w:val="21"/>
              </w:rPr>
              <w:t>配电箱内地排、零排，必须有预留压线位置，接地螺栓不小于</w:t>
            </w:r>
            <w:r>
              <w:rPr>
                <w:rFonts w:ascii="仿宋" w:hAnsi="仿宋" w:cs="仿宋" w:eastAsia="仿宋"/>
                <w:sz w:val="21"/>
              </w:rPr>
              <w:t>M10。</w:t>
            </w:r>
          </w:p>
          <w:p>
            <w:pPr>
              <w:pStyle w:val="null3"/>
              <w:ind w:firstLine="420"/>
              <w:jc w:val="both"/>
            </w:pPr>
            <w:r>
              <w:rPr>
                <w:rFonts w:ascii="仿宋" w:hAnsi="仿宋" w:cs="仿宋" w:eastAsia="仿宋"/>
                <w:sz w:val="21"/>
              </w:rPr>
              <w:t>4</w:t>
            </w:r>
            <w:r>
              <w:rPr>
                <w:rFonts w:ascii="仿宋" w:hAnsi="仿宋" w:cs="仿宋" w:eastAsia="仿宋"/>
                <w:sz w:val="21"/>
              </w:rPr>
              <w:t>.</w:t>
            </w:r>
            <w:r>
              <w:rPr>
                <w:rFonts w:ascii="仿宋" w:hAnsi="仿宋" w:cs="仿宋" w:eastAsia="仿宋"/>
                <w:sz w:val="21"/>
              </w:rPr>
              <w:t>配电箱内的电器、仪表等需进行检测及电气耐压实验。</w:t>
            </w:r>
          </w:p>
          <w:p>
            <w:pPr>
              <w:pStyle w:val="null3"/>
              <w:ind w:firstLine="420"/>
              <w:jc w:val="both"/>
            </w:pPr>
            <w:r>
              <w:rPr>
                <w:rFonts w:ascii="仿宋" w:hAnsi="仿宋" w:cs="仿宋" w:eastAsia="仿宋"/>
                <w:sz w:val="21"/>
              </w:rPr>
              <w:t>5</w:t>
            </w:r>
            <w:r>
              <w:rPr>
                <w:rFonts w:ascii="仿宋" w:hAnsi="仿宋" w:cs="仿宋" w:eastAsia="仿宋"/>
                <w:sz w:val="21"/>
              </w:rPr>
              <w:t>.</w:t>
            </w:r>
            <w:r>
              <w:rPr>
                <w:rFonts w:ascii="仿宋" w:hAnsi="仿宋" w:cs="仿宋" w:eastAsia="仿宋"/>
                <w:sz w:val="21"/>
              </w:rPr>
              <w:t>提供配电箱的结构、安装、调试、运行、维护、检修操作和全部附件的完整说明和技术数据。以及配电箱内主要元器件如断路器及其操动机构、互感器、计量装置等的完整资料。</w:t>
            </w:r>
          </w:p>
          <w:p>
            <w:pPr>
              <w:pStyle w:val="null3"/>
              <w:ind w:firstLine="420"/>
              <w:jc w:val="both"/>
            </w:pPr>
            <w:r>
              <w:rPr>
                <w:rFonts w:ascii="仿宋" w:hAnsi="仿宋" w:cs="仿宋" w:eastAsia="仿宋"/>
                <w:sz w:val="21"/>
              </w:rPr>
              <w:t>6</w:t>
            </w:r>
            <w:r>
              <w:rPr>
                <w:rFonts w:ascii="仿宋" w:hAnsi="仿宋" w:cs="仿宋" w:eastAsia="仿宋"/>
                <w:sz w:val="21"/>
              </w:rPr>
              <w:t>.</w:t>
            </w:r>
            <w:r>
              <w:rPr>
                <w:rFonts w:ascii="仿宋" w:hAnsi="仿宋" w:cs="仿宋" w:eastAsia="仿宋"/>
                <w:sz w:val="21"/>
              </w:rPr>
              <w:t>配电箱上的电器、仪表应符合电器、仪表排列间距要求。</w:t>
            </w:r>
          </w:p>
          <w:p>
            <w:pPr>
              <w:pStyle w:val="null3"/>
              <w:ind w:firstLine="420"/>
              <w:jc w:val="both"/>
            </w:pPr>
            <w:r>
              <w:rPr>
                <w:rFonts w:ascii="仿宋" w:hAnsi="仿宋" w:cs="仿宋" w:eastAsia="仿宋"/>
                <w:sz w:val="21"/>
              </w:rPr>
              <w:t>7</w:t>
            </w:r>
            <w:r>
              <w:rPr>
                <w:rFonts w:ascii="仿宋" w:hAnsi="仿宋" w:cs="仿宋" w:eastAsia="仿宋"/>
                <w:sz w:val="21"/>
              </w:rPr>
              <w:t>.</w:t>
            </w:r>
            <w:r>
              <w:rPr>
                <w:rFonts w:ascii="仿宋" w:hAnsi="仿宋" w:cs="仿宋" w:eastAsia="仿宋"/>
                <w:sz w:val="21"/>
              </w:rPr>
              <w:t>全部紧固件均采用镀锌件。</w:t>
            </w:r>
          </w:p>
          <w:p>
            <w:pPr>
              <w:pStyle w:val="null3"/>
              <w:ind w:firstLine="420"/>
              <w:jc w:val="both"/>
            </w:pPr>
            <w:r>
              <w:rPr>
                <w:rFonts w:ascii="仿宋" w:hAnsi="仿宋" w:cs="仿宋" w:eastAsia="仿宋"/>
                <w:sz w:val="21"/>
              </w:rPr>
              <w:t>8</w:t>
            </w:r>
            <w:r>
              <w:rPr>
                <w:rFonts w:ascii="仿宋" w:hAnsi="仿宋" w:cs="仿宋" w:eastAsia="仿宋"/>
                <w:sz w:val="21"/>
              </w:rPr>
              <w:t>.</w:t>
            </w:r>
            <w:r>
              <w:rPr>
                <w:rFonts w:ascii="仿宋" w:hAnsi="仿宋" w:cs="仿宋" w:eastAsia="仿宋"/>
                <w:sz w:val="21"/>
              </w:rPr>
              <w:t>二次配线均采用黑色线，并加套管编序。</w:t>
            </w:r>
          </w:p>
          <w:p>
            <w:pPr>
              <w:pStyle w:val="null3"/>
              <w:ind w:firstLine="420"/>
              <w:jc w:val="both"/>
            </w:pPr>
            <w:r>
              <w:rPr>
                <w:rFonts w:ascii="仿宋" w:hAnsi="仿宋" w:cs="仿宋" w:eastAsia="仿宋"/>
                <w:sz w:val="21"/>
              </w:rPr>
              <w:t>9</w:t>
            </w:r>
            <w:r>
              <w:rPr>
                <w:rFonts w:ascii="仿宋" w:hAnsi="仿宋" w:cs="仿宋" w:eastAsia="仿宋"/>
                <w:sz w:val="21"/>
              </w:rPr>
              <w:t>.</w:t>
            </w:r>
            <w:r>
              <w:rPr>
                <w:rFonts w:ascii="仿宋" w:hAnsi="仿宋" w:cs="仿宋" w:eastAsia="仿宋"/>
                <w:sz w:val="21"/>
              </w:rPr>
              <w:t>分层配电箱接线应考虑干线进出。</w:t>
            </w:r>
          </w:p>
          <w:p>
            <w:pPr>
              <w:pStyle w:val="null3"/>
              <w:ind w:firstLine="420"/>
              <w:jc w:val="both"/>
            </w:pPr>
            <w:r>
              <w:rPr>
                <w:rFonts w:ascii="仿宋" w:hAnsi="仿宋" w:cs="仿宋" w:eastAsia="仿宋"/>
                <w:sz w:val="21"/>
              </w:rPr>
              <w:t>10</w:t>
            </w:r>
            <w:r>
              <w:rPr>
                <w:rFonts w:ascii="仿宋" w:hAnsi="仿宋" w:cs="仿宋" w:eastAsia="仿宋"/>
                <w:sz w:val="21"/>
              </w:rPr>
              <w:t>.</w:t>
            </w:r>
            <w:r>
              <w:rPr>
                <w:rFonts w:ascii="仿宋" w:hAnsi="仿宋" w:cs="仿宋" w:eastAsia="仿宋"/>
                <w:sz w:val="21"/>
              </w:rPr>
              <w:t>配电箱内的配线须按设计图纸相序分色。</w:t>
            </w:r>
          </w:p>
          <w:p>
            <w:pPr>
              <w:pStyle w:val="null3"/>
              <w:ind w:firstLine="420"/>
              <w:jc w:val="both"/>
            </w:pPr>
            <w:r>
              <w:rPr>
                <w:rFonts w:ascii="仿宋" w:hAnsi="仿宋" w:cs="仿宋" w:eastAsia="仿宋"/>
                <w:sz w:val="21"/>
              </w:rPr>
              <w:t>11</w:t>
            </w:r>
            <w:r>
              <w:rPr>
                <w:rFonts w:ascii="仿宋" w:hAnsi="仿宋" w:cs="仿宋" w:eastAsia="仿宋"/>
                <w:sz w:val="21"/>
              </w:rPr>
              <w:t>.</w:t>
            </w:r>
            <w:r>
              <w:rPr>
                <w:rFonts w:ascii="仿宋" w:hAnsi="仿宋" w:cs="仿宋" w:eastAsia="仿宋"/>
                <w:sz w:val="21"/>
              </w:rPr>
              <w:t>配电箱内的</w:t>
            </w:r>
            <w:r>
              <w:rPr>
                <w:rFonts w:ascii="仿宋" w:hAnsi="仿宋" w:cs="仿宋" w:eastAsia="仿宋"/>
                <w:sz w:val="21"/>
              </w:rPr>
              <w:t>PE线不得串接，与活动部件连接的必须采用铜质涮锡软纺织线。截面应符合规范要求。</w:t>
            </w:r>
          </w:p>
          <w:p>
            <w:pPr>
              <w:pStyle w:val="null3"/>
              <w:ind w:firstLine="420"/>
              <w:jc w:val="both"/>
            </w:pPr>
            <w:r>
              <w:rPr>
                <w:rFonts w:ascii="仿宋" w:hAnsi="仿宋" w:cs="仿宋" w:eastAsia="仿宋"/>
                <w:sz w:val="21"/>
              </w:rPr>
              <w:t>12</w:t>
            </w:r>
            <w:r>
              <w:rPr>
                <w:rFonts w:ascii="仿宋" w:hAnsi="仿宋" w:cs="仿宋" w:eastAsia="仿宋"/>
                <w:sz w:val="21"/>
              </w:rPr>
              <w:t>.</w:t>
            </w:r>
            <w:r>
              <w:rPr>
                <w:rFonts w:ascii="仿宋" w:hAnsi="仿宋" w:cs="仿宋" w:eastAsia="仿宋"/>
                <w:sz w:val="21"/>
              </w:rPr>
              <w:t>不等截面的两根导线严禁压在一个端子上。</w:t>
            </w:r>
          </w:p>
          <w:p>
            <w:pPr>
              <w:pStyle w:val="null3"/>
              <w:ind w:firstLine="420"/>
              <w:jc w:val="both"/>
            </w:pPr>
            <w:r>
              <w:rPr>
                <w:rFonts w:ascii="仿宋" w:hAnsi="仿宋" w:cs="仿宋" w:eastAsia="仿宋"/>
                <w:sz w:val="21"/>
              </w:rPr>
              <w:t>1</w:t>
            </w:r>
            <w:r>
              <w:rPr>
                <w:rFonts w:ascii="仿宋" w:hAnsi="仿宋" w:cs="仿宋" w:eastAsia="仿宋"/>
                <w:sz w:val="21"/>
              </w:rPr>
              <w:t>3</w:t>
            </w:r>
            <w:r>
              <w:rPr>
                <w:rFonts w:ascii="仿宋" w:hAnsi="仿宋" w:cs="仿宋" w:eastAsia="仿宋"/>
                <w:sz w:val="21"/>
              </w:rPr>
              <w:t>.室内</w:t>
            </w:r>
            <w:r>
              <w:rPr>
                <w:rFonts w:ascii="仿宋" w:hAnsi="仿宋" w:cs="仿宋" w:eastAsia="仿宋"/>
                <w:sz w:val="21"/>
              </w:rPr>
              <w:t>配电箱防护等级不小于</w:t>
            </w:r>
            <w:r>
              <w:rPr>
                <w:rFonts w:ascii="仿宋" w:hAnsi="仿宋" w:cs="仿宋" w:eastAsia="仿宋"/>
                <w:sz w:val="21"/>
              </w:rPr>
              <w:t>IP33。</w:t>
            </w:r>
          </w:p>
          <w:p>
            <w:pPr>
              <w:pStyle w:val="null3"/>
              <w:jc w:val="both"/>
            </w:pPr>
            <w:r>
              <w:rPr>
                <w:rFonts w:ascii="仿宋" w:hAnsi="仿宋" w:cs="仿宋" w:eastAsia="仿宋"/>
                <w:b/>
                <w:color w:val="000000"/>
                <w:sz w:val="21"/>
              </w:rPr>
              <w:t>（</w:t>
            </w:r>
            <w:r>
              <w:rPr>
                <w:rFonts w:ascii="仿宋" w:hAnsi="仿宋" w:cs="仿宋" w:eastAsia="仿宋"/>
                <w:b/>
                <w:color w:val="000000"/>
                <w:sz w:val="21"/>
              </w:rPr>
              <w:t>四</w:t>
            </w:r>
            <w:r>
              <w:rPr>
                <w:rFonts w:ascii="仿宋" w:hAnsi="仿宋" w:cs="仿宋" w:eastAsia="仿宋"/>
                <w:b/>
                <w:color w:val="000000"/>
                <w:sz w:val="21"/>
              </w:rPr>
              <w:t>）桥架要求</w:t>
            </w:r>
          </w:p>
          <w:p>
            <w:pPr>
              <w:pStyle w:val="null3"/>
              <w:ind w:firstLine="420"/>
              <w:jc w:val="both"/>
            </w:pPr>
            <w:r>
              <w:rPr>
                <w:rFonts w:ascii="仿宋" w:hAnsi="仿宋" w:cs="仿宋" w:eastAsia="仿宋"/>
                <w:sz w:val="21"/>
              </w:rPr>
              <w:t>本工程电缆桥架采用钢制槽式桥架（</w:t>
            </w:r>
            <w:r>
              <w:rPr>
                <w:rFonts w:ascii="仿宋" w:hAnsi="仿宋" w:cs="仿宋" w:eastAsia="仿宋"/>
                <w:sz w:val="21"/>
              </w:rPr>
              <w:t>CT）。</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桥架表面要进行镀锌防腐处理。锌层表面应光滑均匀，致密。不得有起皮、气泡、花斑、局部未镀、划伤等缺陷。</w:t>
            </w:r>
          </w:p>
          <w:p>
            <w:pPr>
              <w:pStyle w:val="null3"/>
              <w:ind w:firstLine="42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桥架宽度</w:t>
            </w:r>
            <w:r>
              <w:rPr>
                <w:rFonts w:ascii="仿宋" w:hAnsi="仿宋" w:cs="仿宋" w:eastAsia="仿宋"/>
                <w:sz w:val="21"/>
              </w:rPr>
              <w:t>B＜100mm时，板厚不得小于1㎜；100≤B＜150时，板厚不得小于1.2㎜；150≤B＜400时，板厚不得小于1.5㎜。</w:t>
            </w:r>
          </w:p>
          <w:p>
            <w:pPr>
              <w:pStyle w:val="null3"/>
              <w:ind w:firstLine="420"/>
              <w:jc w:val="both"/>
            </w:pPr>
            <w:r>
              <w:rPr>
                <w:rFonts w:ascii="仿宋" w:hAnsi="仿宋" w:cs="仿宋" w:eastAsia="仿宋"/>
                <w:sz w:val="21"/>
              </w:rPr>
              <w:t>3</w:t>
            </w:r>
            <w:r>
              <w:rPr>
                <w:rFonts w:ascii="仿宋" w:hAnsi="仿宋" w:cs="仿宋" w:eastAsia="仿宋"/>
                <w:sz w:val="21"/>
              </w:rPr>
              <w:t>.</w:t>
            </w:r>
            <w:r>
              <w:rPr>
                <w:rFonts w:ascii="仿宋" w:hAnsi="仿宋" w:cs="仿宋" w:eastAsia="仿宋"/>
                <w:sz w:val="21"/>
              </w:rPr>
              <w:t>电缆桥架及支架全长应不少于</w:t>
            </w:r>
            <w:r>
              <w:rPr>
                <w:rFonts w:ascii="仿宋" w:hAnsi="仿宋" w:cs="仿宋" w:eastAsia="仿宋"/>
                <w:sz w:val="21"/>
              </w:rPr>
              <w:t>2处与接地干线相连接，接地线不得小4mm2。</w:t>
            </w:r>
          </w:p>
          <w:p>
            <w:pPr>
              <w:pStyle w:val="null3"/>
              <w:ind w:firstLine="420"/>
              <w:jc w:val="both"/>
            </w:pPr>
            <w:r>
              <w:rPr>
                <w:rFonts w:ascii="仿宋" w:hAnsi="仿宋" w:cs="仿宋" w:eastAsia="仿宋"/>
                <w:sz w:val="21"/>
              </w:rPr>
              <w:t>4</w:t>
            </w:r>
            <w:r>
              <w:rPr>
                <w:rFonts w:ascii="仿宋" w:hAnsi="仿宋" w:cs="仿宋" w:eastAsia="仿宋"/>
                <w:sz w:val="21"/>
              </w:rPr>
              <w:t>.</w:t>
            </w:r>
            <w:r>
              <w:rPr>
                <w:rFonts w:ascii="仿宋" w:hAnsi="仿宋" w:cs="仿宋" w:eastAsia="仿宋"/>
                <w:sz w:val="21"/>
              </w:rPr>
              <w:t>电缆桥架处如有防火要求的场所，应采取防火隔离措施。</w:t>
            </w:r>
          </w:p>
          <w:p>
            <w:pPr>
              <w:pStyle w:val="null3"/>
              <w:ind w:firstLine="420"/>
              <w:jc w:val="both"/>
            </w:pPr>
            <w:r>
              <w:rPr>
                <w:rFonts w:ascii="仿宋" w:hAnsi="仿宋" w:cs="仿宋" w:eastAsia="仿宋"/>
                <w:sz w:val="21"/>
              </w:rPr>
              <w:t>5</w:t>
            </w:r>
            <w:r>
              <w:rPr>
                <w:rFonts w:ascii="仿宋" w:hAnsi="仿宋" w:cs="仿宋" w:eastAsia="仿宋"/>
                <w:sz w:val="21"/>
              </w:rPr>
              <w:t>.</w:t>
            </w:r>
            <w:r>
              <w:rPr>
                <w:rFonts w:ascii="仿宋" w:hAnsi="仿宋" w:cs="仿宋" w:eastAsia="仿宋"/>
                <w:sz w:val="21"/>
              </w:rPr>
              <w:t>电缆桥架规格型号必须符合设计要求，附件齐全；桥架与配件、附件和紧固件各种型钢均应采用镀锌标准件。</w:t>
            </w:r>
          </w:p>
          <w:p>
            <w:pPr>
              <w:pStyle w:val="null3"/>
              <w:ind w:firstLine="420"/>
              <w:jc w:val="both"/>
            </w:pPr>
            <w:r>
              <w:rPr>
                <w:rFonts w:ascii="仿宋" w:hAnsi="仿宋" w:cs="仿宋" w:eastAsia="仿宋"/>
                <w:sz w:val="21"/>
              </w:rPr>
              <w:t>6</w:t>
            </w:r>
            <w:r>
              <w:rPr>
                <w:rFonts w:ascii="仿宋" w:hAnsi="仿宋" w:cs="仿宋" w:eastAsia="仿宋"/>
                <w:sz w:val="21"/>
              </w:rPr>
              <w:t>.</w:t>
            </w:r>
            <w:r>
              <w:rPr>
                <w:rFonts w:ascii="仿宋" w:hAnsi="仿宋" w:cs="仿宋" w:eastAsia="仿宋"/>
                <w:sz w:val="21"/>
              </w:rPr>
              <w:t>各种规格电缆桥架的直线段、弯通、桥架附件及支、吊架等有产品合格证，桥架内处应光滑平整，无棱刺，不应有扭曲变形现象。</w:t>
            </w:r>
          </w:p>
          <w:p>
            <w:pPr>
              <w:pStyle w:val="null3"/>
              <w:ind w:firstLine="420"/>
              <w:jc w:val="both"/>
            </w:pPr>
            <w:r>
              <w:rPr>
                <w:rFonts w:ascii="仿宋" w:hAnsi="仿宋" w:cs="仿宋" w:eastAsia="仿宋"/>
                <w:sz w:val="21"/>
              </w:rPr>
              <w:t>7.及时清理施工现场垃圾。</w:t>
            </w:r>
          </w:p>
          <w:p>
            <w:pPr>
              <w:pStyle w:val="null3"/>
              <w:jc w:val="both"/>
            </w:pPr>
            <w:r>
              <w:rPr>
                <w:rFonts w:ascii="仿宋" w:hAnsi="仿宋" w:cs="仿宋" w:eastAsia="仿宋"/>
                <w:b/>
                <w:sz w:val="21"/>
              </w:rPr>
              <w:t>（</w:t>
            </w:r>
            <w:r>
              <w:rPr>
                <w:rFonts w:ascii="仿宋" w:hAnsi="仿宋" w:cs="仿宋" w:eastAsia="仿宋"/>
                <w:b/>
                <w:sz w:val="21"/>
              </w:rPr>
              <w:t>五</w:t>
            </w:r>
            <w:r>
              <w:rPr>
                <w:rFonts w:ascii="仿宋" w:hAnsi="仿宋" w:cs="仿宋" w:eastAsia="仿宋"/>
                <w:b/>
                <w:sz w:val="21"/>
              </w:rPr>
              <w:t>）以下内容为对本工程的最基本要求，包括但不限于：</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供应商项目负责人是安全生产第一责任人，供应商应建立健全安全生产责任制度和安全教育培训、安全生产检查和安全生产操作规程等各项规章制度；向施工作业人员提供符合相关标准的劳动安全防护用品（具），为施工人员缴纳意外伤害保险。</w:t>
            </w:r>
          </w:p>
          <w:p>
            <w:pPr>
              <w:pStyle w:val="null3"/>
              <w:ind w:firstLine="42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供应商应根据工程特点和周边各种管线管网、相邻建筑物以及绿化等其他设施等编制工程安全防护措施方案。该方案经供应商技术负责人签字批准送建设单位审核后方可施工。</w:t>
            </w:r>
          </w:p>
          <w:p>
            <w:pPr>
              <w:pStyle w:val="null3"/>
              <w:ind w:firstLine="420"/>
              <w:jc w:val="both"/>
            </w:pPr>
            <w:r>
              <w:rPr>
                <w:rFonts w:ascii="仿宋" w:hAnsi="仿宋" w:cs="仿宋" w:eastAsia="仿宋"/>
                <w:sz w:val="21"/>
              </w:rPr>
              <w:t>3</w:t>
            </w:r>
            <w:r>
              <w:rPr>
                <w:rFonts w:ascii="仿宋" w:hAnsi="仿宋" w:cs="仿宋" w:eastAsia="仿宋"/>
                <w:sz w:val="21"/>
              </w:rPr>
              <w:t>.</w:t>
            </w:r>
            <w:r>
              <w:rPr>
                <w:rFonts w:ascii="仿宋" w:hAnsi="仿宋" w:cs="仿宋" w:eastAsia="仿宋"/>
                <w:sz w:val="21"/>
              </w:rPr>
              <w:t>供应商在施工现场应建立项目部，并按规定配备专职安全员。现场专职安全员必须持有安全生产考核合格证。</w:t>
            </w:r>
          </w:p>
          <w:p>
            <w:pPr>
              <w:pStyle w:val="null3"/>
              <w:ind w:firstLine="420"/>
              <w:jc w:val="both"/>
            </w:pPr>
            <w:r>
              <w:rPr>
                <w:rFonts w:ascii="仿宋" w:hAnsi="仿宋" w:cs="仿宋" w:eastAsia="仿宋"/>
                <w:sz w:val="21"/>
              </w:rPr>
              <w:t>4</w:t>
            </w:r>
            <w:r>
              <w:rPr>
                <w:rFonts w:ascii="仿宋" w:hAnsi="仿宋" w:cs="仿宋" w:eastAsia="仿宋"/>
                <w:sz w:val="21"/>
              </w:rPr>
              <w:t>.</w:t>
            </w:r>
            <w:r>
              <w:rPr>
                <w:rFonts w:ascii="仿宋" w:hAnsi="仿宋" w:cs="仿宋" w:eastAsia="仿宋"/>
                <w:sz w:val="21"/>
              </w:rPr>
              <w:t>关键部位作业人员必须经专业安全技术培训后方可上岗。必要时施工前供应商对施工作业人员进行安全技术交底，派出技术人员到现场指导，专职安全员在现场监督安全管理。另外供应商必须制定安全事故应急救援方案。</w:t>
            </w:r>
          </w:p>
          <w:p>
            <w:pPr>
              <w:pStyle w:val="null3"/>
              <w:ind w:firstLine="420"/>
              <w:jc w:val="both"/>
            </w:pPr>
            <w:r>
              <w:rPr>
                <w:rFonts w:ascii="仿宋" w:hAnsi="仿宋" w:cs="仿宋" w:eastAsia="仿宋"/>
                <w:sz w:val="21"/>
              </w:rPr>
              <w:t>5</w:t>
            </w:r>
            <w:r>
              <w:rPr>
                <w:rFonts w:ascii="仿宋" w:hAnsi="仿宋" w:cs="仿宋" w:eastAsia="仿宋"/>
                <w:sz w:val="21"/>
              </w:rPr>
              <w:t>.</w:t>
            </w:r>
            <w:r>
              <w:rPr>
                <w:rFonts w:ascii="仿宋" w:hAnsi="仿宋" w:cs="仿宋" w:eastAsia="仿宋"/>
                <w:sz w:val="21"/>
              </w:rPr>
              <w:t>拆除时不得野蛮施工、不得对附近建筑物、路灯、规划外的树木等造成损害。</w:t>
            </w:r>
          </w:p>
          <w:p>
            <w:pPr>
              <w:pStyle w:val="null3"/>
              <w:jc w:val="both"/>
            </w:pPr>
            <w:r>
              <w:rPr>
                <w:rFonts w:ascii="仿宋" w:hAnsi="仿宋" w:cs="仿宋" w:eastAsia="仿宋"/>
                <w:sz w:val="21"/>
              </w:rPr>
              <w:t xml:space="preserve">    6</w:t>
            </w:r>
            <w:r>
              <w:rPr>
                <w:rFonts w:ascii="仿宋" w:hAnsi="仿宋" w:cs="仿宋" w:eastAsia="仿宋"/>
                <w:sz w:val="21"/>
              </w:rPr>
              <w:t>.</w:t>
            </w:r>
            <w:r>
              <w:rPr>
                <w:rFonts w:ascii="仿宋" w:hAnsi="仿宋" w:cs="仿宋" w:eastAsia="仿宋"/>
                <w:sz w:val="21"/>
              </w:rPr>
              <w:t>供应商对工程的周边环境和施工区域内的环境卫生负责。</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pPr>
      <w:r>
        <w:rPr/>
        <w:t>采购包2：</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项目管理要求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4.施工的建筑垃圾应清运至有关部门指定的地点，做到工完场清，不留死角。</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（1）本项目不统一组织踏勘，如有供应商需要，可自行联系：包1：陈老师 15102994973 包2：畅老师 17792610675 ；（2）请供应商在缴纳保证金时务必注明所参与项目的项目编号和包号，否则，因款项用途不明导致报价无效等后果由供应商自行承担； 请各供应商在磋商响应文件提交截止时间前3日，按磋商文件的要求向代理机构递交磋商保证金，磋商响应文件提交截止时间之后递交的磋商保证金将被拒绝。（3）工期：包1：20日历天；包2：20日历天。（4）质保期：包1：两年；包2：两年。（5）付款方式：包1：此工程支付预付款，合同签订之日起10日内支付合同总价款的40%；工程施工完毕，经甲方验收合格后，10日内支付合同总价款的80%；经工程审计结算审核后10日内，扣除1%的水电费，余款一次性付清。办理付款时，乙方应提供增值税专用发票。包2：此工程支付预付款，合同签订之日起10日内支付合同总价款的40%；工程施工完毕，经甲方验收合格后，10日内支付合同总价款的80%；经工程审计结算审核后10日内，扣除1%的水电费，余款一次性付清。办理付款时，乙方应提供增值税专用发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供应商需在项目电子化交易系统中按要求填写《响应函》完成承诺和提供相关证明材料。</w:t>
            </w:r>
          </w:p>
        </w:tc>
        <w:tc>
          <w:tcPr>
            <w:tcW w:type="dxa" w:w="1661"/>
          </w:tcPr>
          <w:p>
            <w:pPr>
              <w:pStyle w:val="null3"/>
            </w:pPr>
            <w:r>
              <w:rPr/>
              <w:t>响应文件封面 资格条件格式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2022年度或2023年度审计报告（成立时间至首次提交磋商响应文件截止时间不足一年的可提供成立后任意时段的资产负债表)，或磋商响应文件提交截止时间前6个月内（2023年11月1日后）其基本账户银行出具的资信证明（附开户许可证或基本银行证明以证明该户为基本户），或信用担保机构出具的投标担保函（以上三种形式的资料提供任何一种即可)；其他组织和自然人提供银行出具的资信证明或财务报表。</w:t>
            </w:r>
          </w:p>
        </w:tc>
        <w:tc>
          <w:tcPr>
            <w:tcW w:type="dxa" w:w="1661"/>
          </w:tcPr>
          <w:p>
            <w:pPr>
              <w:pStyle w:val="null3"/>
            </w:pPr>
            <w:r>
              <w:rPr/>
              <w:t>资格条件格式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供应商需在项目电子化交易系统中按要求填写《响应函》完成承诺和提供相关证明材料。</w:t>
            </w:r>
          </w:p>
        </w:tc>
        <w:tc>
          <w:tcPr>
            <w:tcW w:type="dxa" w:w="1661"/>
          </w:tcPr>
          <w:p>
            <w:pPr>
              <w:pStyle w:val="null3"/>
            </w:pPr>
            <w:r>
              <w:rPr/>
              <w:t>响应文件封面 资格条件格式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2022年度或2023年度审计报告（成立时间至首次提交磋商响应文件截止时间不足一年的可提供成立后任意时段的资产负债表)，或磋商响应文件提交截止时间前6个月内（2023年11月1日后）其基本账户银行出具的资信证明（附开户许可证或基本银行证明以证明该户为基本户），或信用担保机构出具的投标担保函（以上三种形式的资料提供任何一种即可)；其他组织和自然人提供银行出具的资信证明或财务报表。</w:t>
            </w:r>
          </w:p>
        </w:tc>
        <w:tc>
          <w:tcPr>
            <w:tcW w:type="dxa" w:w="1661"/>
          </w:tcPr>
          <w:p>
            <w:pPr>
              <w:pStyle w:val="null3"/>
            </w:pPr>
            <w:r>
              <w:rPr/>
              <w:t>资格条件格式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法定代表人/负责人授权书</w:t>
            </w:r>
          </w:p>
        </w:tc>
        <w:tc>
          <w:tcPr>
            <w:tcW w:type="dxa" w:w="3322"/>
          </w:tcPr>
          <w:p>
            <w:pPr>
              <w:pStyle w:val="null3"/>
            </w:pPr>
            <w:r>
              <w:rPr/>
              <w:t>法定代表人/负责人直接参加的，须上传《法定代表人/负责人身份证明》；法定代表人/负责人授权代表参加的，须上传《法定代表人/负责人授权书》，并进行电子签章。</w:t>
            </w:r>
          </w:p>
        </w:tc>
        <w:tc>
          <w:tcPr>
            <w:tcW w:type="dxa" w:w="1661"/>
          </w:tcPr>
          <w:p>
            <w:pPr>
              <w:pStyle w:val="null3"/>
            </w:pPr>
            <w:r>
              <w:rPr/>
              <w:t>法定代表人身份证明格式和授权委托书格式</w:t>
            </w:r>
          </w:p>
        </w:tc>
      </w:tr>
      <w:tr>
        <w:tc>
          <w:tcPr>
            <w:tcW w:type="dxa" w:w="831"/>
          </w:tcPr>
          <w:p>
            <w:pPr>
              <w:pStyle w:val="null3"/>
            </w:pPr>
            <w:r>
              <w:rPr/>
              <w:t>2</w:t>
            </w:r>
          </w:p>
        </w:tc>
        <w:tc>
          <w:tcPr>
            <w:tcW w:type="dxa" w:w="2492"/>
          </w:tcPr>
          <w:p>
            <w:pPr>
              <w:pStyle w:val="null3"/>
            </w:pPr>
            <w:r>
              <w:rPr/>
              <w:t>特定资格要求</w:t>
            </w:r>
          </w:p>
        </w:tc>
        <w:tc>
          <w:tcPr>
            <w:tcW w:type="dxa" w:w="3322"/>
          </w:tcPr>
          <w:p>
            <w:pPr>
              <w:pStyle w:val="null3"/>
            </w:pPr>
            <w:r>
              <w:rPr/>
              <w:t>1.供应商应具有建筑机电安装工程专业承包资质三级（含三级）以上或电力工程施工总承包三级（含三级）以上资质或建筑工程施工总承包三级（含三级）以上资质，以及合法有效的安全生产许可证，并在人员、设备、资金等方面具备相应施工能力且无不良记录； 2.参加本项目的供应商拟派项目经理具备合法有效的机电工程专业二级及以上注册建造师资格和安全生产考核合格证（B证）且未担任其他在施工程项目的项目经理； 3.本项目不接受联合体投标。</w:t>
            </w:r>
          </w:p>
        </w:tc>
        <w:tc>
          <w:tcPr>
            <w:tcW w:type="dxa" w:w="1661"/>
          </w:tcPr>
          <w:p>
            <w:pPr>
              <w:pStyle w:val="null3"/>
            </w:pPr>
            <w:r>
              <w:rPr/>
              <w:t>项目管理机构组成表 资格条件格式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法定代表人/负责人授权书</w:t>
            </w:r>
          </w:p>
        </w:tc>
        <w:tc>
          <w:tcPr>
            <w:tcW w:type="dxa" w:w="3322"/>
          </w:tcPr>
          <w:p>
            <w:pPr>
              <w:pStyle w:val="null3"/>
            </w:pPr>
            <w:r>
              <w:rPr/>
              <w:t>法定代表人/负责人直接参加的，须上传《法定代表人/负责人身份证明》；法定代表人/负责人授权代表参加的，须上传《法定代表人/负责人授权书》，并进行电子签章。</w:t>
            </w:r>
          </w:p>
        </w:tc>
        <w:tc>
          <w:tcPr>
            <w:tcW w:type="dxa" w:w="1661"/>
          </w:tcPr>
          <w:p>
            <w:pPr>
              <w:pStyle w:val="null3"/>
            </w:pPr>
            <w:r>
              <w:rPr/>
              <w:t>法定代表人身份证明格式和授权委托书格式</w:t>
            </w:r>
          </w:p>
        </w:tc>
      </w:tr>
      <w:tr>
        <w:tc>
          <w:tcPr>
            <w:tcW w:type="dxa" w:w="831"/>
          </w:tcPr>
          <w:p>
            <w:pPr>
              <w:pStyle w:val="null3"/>
            </w:pPr>
            <w:r>
              <w:rPr/>
              <w:t>2</w:t>
            </w:r>
          </w:p>
        </w:tc>
        <w:tc>
          <w:tcPr>
            <w:tcW w:type="dxa" w:w="2492"/>
          </w:tcPr>
          <w:p>
            <w:pPr>
              <w:pStyle w:val="null3"/>
            </w:pPr>
            <w:r>
              <w:rPr/>
              <w:t>特定资格要求</w:t>
            </w:r>
          </w:p>
        </w:tc>
        <w:tc>
          <w:tcPr>
            <w:tcW w:type="dxa" w:w="3322"/>
          </w:tcPr>
          <w:p>
            <w:pPr>
              <w:pStyle w:val="null3"/>
            </w:pPr>
            <w:r>
              <w:rPr/>
              <w:t>1.供应商应具有建筑机电安装工程专业承包资质三级（含三级）以上或电力工程施工总承包三级（含三级）以上资质或建筑工程施工总承包三级（含三级）以上资质，以及合法有效的安全生产许可证，并在人员、设备、资金等方面具备相应施工能力且无不良记录； 2.参加本项目的供应商拟派项目经理具备合法有效的机电工程专业二级及以上注册建造师资格和安全生产考核合格证（B证）且未担任其他在施工程项目的项目经理； 3.本项目不接受联合体投标。</w:t>
            </w:r>
          </w:p>
        </w:tc>
        <w:tc>
          <w:tcPr>
            <w:tcW w:type="dxa" w:w="1661"/>
          </w:tcPr>
          <w:p>
            <w:pPr>
              <w:pStyle w:val="null3"/>
            </w:pPr>
            <w:r>
              <w:rPr/>
              <w:t>项目管理机构组成表 资格条件格式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磋商响应文件依据磋商文件要求签字和盖章。 注：按磋商文件格式要求加盖了供应商公章或有法定代表人或其授权代表签字或加盖人名章均有效。</w:t>
            </w:r>
          </w:p>
        </w:tc>
        <w:tc>
          <w:tcPr>
            <w:tcW w:type="dxa" w:w="1661"/>
          </w:tcPr>
          <w:p>
            <w:pPr>
              <w:pStyle w:val="null3"/>
            </w:pPr>
            <w:r>
              <w:rPr/>
              <w:t>响应文件格式 已标价工程量清单 磋商保证金 中小企业声明函 业绩 资格条件格式 强制优先采购产品承诺函 响应文件封面 项目管理机构组成表 残疾人福利性单位声明函 报价函 标的清单 响应函 法定代表人身份证明格式和授权委托书格式 监狱企业的证明文件</w:t>
            </w:r>
          </w:p>
        </w:tc>
      </w:tr>
      <w:tr>
        <w:tc>
          <w:tcPr>
            <w:tcW w:type="dxa" w:w="831"/>
          </w:tcPr>
          <w:p>
            <w:pPr>
              <w:pStyle w:val="null3"/>
            </w:pPr>
            <w:r>
              <w:rPr/>
              <w:t>3</w:t>
            </w:r>
          </w:p>
        </w:tc>
        <w:tc>
          <w:tcPr>
            <w:tcW w:type="dxa" w:w="2492"/>
          </w:tcPr>
          <w:p>
            <w:pPr>
              <w:pStyle w:val="null3"/>
            </w:pPr>
            <w:r>
              <w:rPr/>
              <w:t>磋商保证金</w:t>
            </w:r>
          </w:p>
        </w:tc>
        <w:tc>
          <w:tcPr>
            <w:tcW w:type="dxa" w:w="3322"/>
          </w:tcPr>
          <w:p>
            <w:pPr>
              <w:pStyle w:val="null3"/>
            </w:pPr>
            <w:r>
              <w:rPr/>
              <w:t>磋商保证金符合第二章供应商须知要求</w:t>
            </w:r>
          </w:p>
        </w:tc>
        <w:tc>
          <w:tcPr>
            <w:tcW w:type="dxa" w:w="1661"/>
          </w:tcPr>
          <w:p>
            <w:pPr>
              <w:pStyle w:val="null3"/>
            </w:pPr>
            <w:r>
              <w:rPr/>
              <w:t>磋商保证金</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符合采购文件关于质保期的要求</w:t>
            </w:r>
          </w:p>
        </w:tc>
        <w:tc>
          <w:tcPr>
            <w:tcW w:type="dxa" w:w="1661"/>
          </w:tcPr>
          <w:p>
            <w:pPr>
              <w:pStyle w:val="null3"/>
            </w:pPr>
            <w:r>
              <w:rPr/>
              <w:t>响应文件格式</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符合采购文件关于工期的要求</w:t>
            </w:r>
          </w:p>
        </w:tc>
        <w:tc>
          <w:tcPr>
            <w:tcW w:type="dxa" w:w="1661"/>
          </w:tcPr>
          <w:p>
            <w:pPr>
              <w:pStyle w:val="null3"/>
            </w:pPr>
            <w:r>
              <w:rPr/>
              <w:t>响应文件格式 报价函 响应函</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符合采购文件关于付款方式的要求</w:t>
            </w:r>
          </w:p>
        </w:tc>
        <w:tc>
          <w:tcPr>
            <w:tcW w:type="dxa" w:w="1661"/>
          </w:tcPr>
          <w:p>
            <w:pPr>
              <w:pStyle w:val="null3"/>
            </w:pPr>
            <w:r>
              <w:rPr/>
              <w:t>响应文件格式</w:t>
            </w:r>
          </w:p>
        </w:tc>
      </w:tr>
      <w:tr>
        <w:tc>
          <w:tcPr>
            <w:tcW w:type="dxa" w:w="831"/>
          </w:tcPr>
          <w:p>
            <w:pPr>
              <w:pStyle w:val="null3"/>
            </w:pPr>
            <w:r>
              <w:rPr/>
              <w:t>7</w:t>
            </w:r>
          </w:p>
        </w:tc>
        <w:tc>
          <w:tcPr>
            <w:tcW w:type="dxa" w:w="2492"/>
          </w:tcPr>
          <w:p>
            <w:pPr>
              <w:pStyle w:val="null3"/>
            </w:pPr>
            <w:r>
              <w:rPr/>
              <w:t>磋商响应文件有效期</w:t>
            </w:r>
          </w:p>
        </w:tc>
        <w:tc>
          <w:tcPr>
            <w:tcW w:type="dxa" w:w="3322"/>
          </w:tcPr>
          <w:p>
            <w:pPr>
              <w:pStyle w:val="null3"/>
            </w:pPr>
            <w:r>
              <w:rPr/>
              <w:t>磋商响应文件有效期是否合格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其他情形</w:t>
            </w:r>
          </w:p>
        </w:tc>
        <w:tc>
          <w:tcPr>
            <w:tcW w:type="dxa" w:w="3322"/>
          </w:tcPr>
          <w:p>
            <w:pPr>
              <w:pStyle w:val="null3"/>
            </w:pPr>
            <w:r>
              <w:rPr/>
              <w:t>采购文件规定不允许出现的其他情形</w:t>
            </w:r>
          </w:p>
        </w:tc>
        <w:tc>
          <w:tcPr>
            <w:tcW w:type="dxa" w:w="1661"/>
          </w:tcPr>
          <w:p>
            <w:pPr>
              <w:pStyle w:val="null3"/>
            </w:pPr>
            <w:r>
              <w:rPr/>
              <w:t>响应文件格式 已标价工程量清单 磋商保证金 中小企业声明函 业绩 资格条件格式 强制优先采购产品承诺函 响应文件封面 项目管理机构组成表 残疾人福利性单位声明函 报价函 标的清单 响应函 法定代表人身份证明格式和授权委托书格式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磋商响应文件依据磋商文件要求签字和盖章。 注：按磋商文件格式要求加盖了供应商公章或有法定代表人或其授权代表签字或加盖人名章均有效。</w:t>
            </w:r>
          </w:p>
        </w:tc>
        <w:tc>
          <w:tcPr>
            <w:tcW w:type="dxa" w:w="1661"/>
          </w:tcPr>
          <w:p>
            <w:pPr>
              <w:pStyle w:val="null3"/>
            </w:pPr>
            <w:r>
              <w:rPr/>
              <w:t>响应文件格式 已标价工程量清单 磋商保证金 中小企业声明函 业绩 资格条件格式 强制优先采购产品承诺函 响应文件封面 项目管理机构组成表 残疾人福利性单位声明函 报价函 标的清单 响应函 法定代表人身份证明格式和授权委托书格式 监狱企业的证明文件</w:t>
            </w:r>
          </w:p>
        </w:tc>
      </w:tr>
      <w:tr>
        <w:tc>
          <w:tcPr>
            <w:tcW w:type="dxa" w:w="831"/>
          </w:tcPr>
          <w:p>
            <w:pPr>
              <w:pStyle w:val="null3"/>
            </w:pPr>
            <w:r>
              <w:rPr/>
              <w:t>3</w:t>
            </w:r>
          </w:p>
        </w:tc>
        <w:tc>
          <w:tcPr>
            <w:tcW w:type="dxa" w:w="2492"/>
          </w:tcPr>
          <w:p>
            <w:pPr>
              <w:pStyle w:val="null3"/>
            </w:pPr>
            <w:r>
              <w:rPr/>
              <w:t>磋商保证金</w:t>
            </w:r>
          </w:p>
        </w:tc>
        <w:tc>
          <w:tcPr>
            <w:tcW w:type="dxa" w:w="3322"/>
          </w:tcPr>
          <w:p>
            <w:pPr>
              <w:pStyle w:val="null3"/>
            </w:pPr>
            <w:r>
              <w:rPr/>
              <w:t>磋商保证金符合第二章供应商须知要求</w:t>
            </w:r>
          </w:p>
        </w:tc>
        <w:tc>
          <w:tcPr>
            <w:tcW w:type="dxa" w:w="1661"/>
          </w:tcPr>
          <w:p>
            <w:pPr>
              <w:pStyle w:val="null3"/>
            </w:pPr>
            <w:r>
              <w:rPr/>
              <w:t>磋商保证金</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符合采购文件关于质保期的要求</w:t>
            </w:r>
          </w:p>
        </w:tc>
        <w:tc>
          <w:tcPr>
            <w:tcW w:type="dxa" w:w="1661"/>
          </w:tcPr>
          <w:p>
            <w:pPr>
              <w:pStyle w:val="null3"/>
            </w:pPr>
            <w:r>
              <w:rPr/>
              <w:t>响应文件格式</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符合采购文件关于工期的要求</w:t>
            </w:r>
          </w:p>
        </w:tc>
        <w:tc>
          <w:tcPr>
            <w:tcW w:type="dxa" w:w="1661"/>
          </w:tcPr>
          <w:p>
            <w:pPr>
              <w:pStyle w:val="null3"/>
            </w:pPr>
            <w:r>
              <w:rPr/>
              <w:t>响应文件格式 报价函 响应函</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符合采购文件关于付款方式的要求</w:t>
            </w:r>
          </w:p>
        </w:tc>
        <w:tc>
          <w:tcPr>
            <w:tcW w:type="dxa" w:w="1661"/>
          </w:tcPr>
          <w:p>
            <w:pPr>
              <w:pStyle w:val="null3"/>
            </w:pPr>
            <w:r>
              <w:rPr/>
              <w:t>响应文件格式</w:t>
            </w:r>
          </w:p>
        </w:tc>
      </w:tr>
      <w:tr>
        <w:tc>
          <w:tcPr>
            <w:tcW w:type="dxa" w:w="831"/>
          </w:tcPr>
          <w:p>
            <w:pPr>
              <w:pStyle w:val="null3"/>
            </w:pPr>
            <w:r>
              <w:rPr/>
              <w:t>7</w:t>
            </w:r>
          </w:p>
        </w:tc>
        <w:tc>
          <w:tcPr>
            <w:tcW w:type="dxa" w:w="2492"/>
          </w:tcPr>
          <w:p>
            <w:pPr>
              <w:pStyle w:val="null3"/>
            </w:pPr>
            <w:r>
              <w:rPr/>
              <w:t>磋商响应文件有效期</w:t>
            </w:r>
          </w:p>
        </w:tc>
        <w:tc>
          <w:tcPr>
            <w:tcW w:type="dxa" w:w="3322"/>
          </w:tcPr>
          <w:p>
            <w:pPr>
              <w:pStyle w:val="null3"/>
            </w:pPr>
            <w:r>
              <w:rPr/>
              <w:t>磋商响应文件有效期是否合格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其他情形</w:t>
            </w:r>
          </w:p>
        </w:tc>
        <w:tc>
          <w:tcPr>
            <w:tcW w:type="dxa" w:w="3322"/>
          </w:tcPr>
          <w:p>
            <w:pPr>
              <w:pStyle w:val="null3"/>
            </w:pPr>
            <w:r>
              <w:rPr/>
              <w:t>采购文件规定不允许出现的其他情形</w:t>
            </w:r>
          </w:p>
        </w:tc>
        <w:tc>
          <w:tcPr>
            <w:tcW w:type="dxa" w:w="1661"/>
          </w:tcPr>
          <w:p>
            <w:pPr>
              <w:pStyle w:val="null3"/>
            </w:pPr>
            <w:r>
              <w:rPr/>
              <w:t>响应文件格式 已标价工程量清单 磋商保证金 中小企业声明函 业绩 资格条件格式 强制优先采购产品承诺函 响应文件封面 项目管理机构组成表 残疾人福利性单位声明函 报价函 标的清单 响应函 法定代表人身份证明格式和授权委托书格式 监狱企业的证明文件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供应商可以同时参与两个包的磋商采购，但只能获得其中一个包的成交资格，如果同一家供应商同时在包1和包2的排名第一，优先推荐为包2的成交候选供应商，包1不再推荐。</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供应商可以同时参与两个包的磋商采购，但只能获得其中一个包的成交资格，如果同一家供应商同时在包1和包2的排名第一，优先推荐为包2的成交候选供应商，包1不再推荐。</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强制优先采购产品承诺函</w:t>
            </w:r>
          </w:p>
          <w:p>
            <w:pPr>
              <w:pStyle w:val="null3"/>
            </w:pPr>
            <w:r>
              <w:rPr/>
              <w:t>项目管理机构组成表</w:t>
            </w:r>
          </w:p>
          <w:p>
            <w:pPr>
              <w:pStyle w:val="null3"/>
            </w:pPr>
            <w:r>
              <w:rPr/>
              <w:t>响应文件格式</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内容完整、计划合理得4分；内容基本完整、计划比较合理得2分；内容不够完整、计划欠合理得1分；未提供不计分。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施工进度表或施工网络图纸</w:t>
            </w:r>
          </w:p>
        </w:tc>
        <w:tc>
          <w:tcPr>
            <w:tcW w:type="dxa" w:w="2492"/>
          </w:tcPr>
          <w:p>
            <w:pPr>
              <w:pStyle w:val="null3"/>
            </w:pPr>
            <w:r>
              <w:rPr/>
              <w:t>详细表明本项目涉及的空调安装电力改造全流程实施的时间节点和时间进度安排，详细、合理、可行性强得4分；相对详细、比较合理、有可行性得2分；安排不详细但不影响具体项目实施得1分，未提供不计分。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施工总平面布置图、现场临时设施布置</w:t>
            </w:r>
          </w:p>
        </w:tc>
        <w:tc>
          <w:tcPr>
            <w:tcW w:type="dxa" w:w="2492"/>
          </w:tcPr>
          <w:p>
            <w:pPr>
              <w:pStyle w:val="null3"/>
            </w:pPr>
            <w:r>
              <w:rPr/>
              <w:t>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劳动力安排计划</w:t>
            </w:r>
          </w:p>
        </w:tc>
        <w:tc>
          <w:tcPr>
            <w:tcW w:type="dxa" w:w="2492"/>
          </w:tcPr>
          <w:p>
            <w:pPr>
              <w:pStyle w:val="null3"/>
            </w:pPr>
            <w:r>
              <w:rPr/>
              <w:t>除项目经理、技术负责人以外，其他团队人员搭配合理，充分满足项目需求，具有较强的可行性、科学性、合理性得8分；搭配基本满足项目需求，可行性、科学性及合理性一般，得5分；搭配不合理，难以满足项目需求，可行性、合理性较差得2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项目管理机构组成表</w:t>
            </w:r>
          </w:p>
          <w:p>
            <w:pPr>
              <w:pStyle w:val="null3"/>
            </w:pPr>
            <w:r>
              <w:rPr/>
              <w:t>响应文件格式</w:t>
            </w:r>
          </w:p>
        </w:tc>
      </w:tr>
      <w:tr>
        <w:tc>
          <w:tcPr>
            <w:tcW w:type="dxa" w:w="831"/>
            <w:vMerge/>
          </w:tcPr>
          <w:p/>
        </w:tc>
        <w:tc>
          <w:tcPr>
            <w:tcW w:type="dxa" w:w="1661"/>
          </w:tcPr>
          <w:p>
            <w:pPr>
              <w:pStyle w:val="null3"/>
            </w:pPr>
            <w:r>
              <w:rPr/>
              <w:t>拟派技术负责人</w:t>
            </w:r>
          </w:p>
        </w:tc>
        <w:tc>
          <w:tcPr>
            <w:tcW w:type="dxa" w:w="2492"/>
          </w:tcPr>
          <w:p>
            <w:pPr>
              <w:pStyle w:val="null3"/>
            </w:pPr>
            <w:r>
              <w:rPr/>
              <w:t>（1）具备机电工程专业建造师资格的，一级的得4分；二级的得2分；其他不得分。 （2）近三年（2021年01月01日至首次磋商响应文件提交截止时间）内担任过与本项目类似工程项目技术负责人业绩，每提供一份业绩得加2分，累计不超过6分。 注：提供上述有关证书复印件并加盖公章以及在磋商截止日前6个月（不含磋商当月）内任意一个月在响应供应商单位缴纳的社保证明并加盖公章。否则不得分。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项目管理机构组成表</w:t>
            </w:r>
          </w:p>
          <w:p>
            <w:pPr>
              <w:pStyle w:val="null3"/>
            </w:pPr>
            <w:r>
              <w:rPr/>
              <w:t>响应文件格式</w:t>
            </w:r>
          </w:p>
        </w:tc>
      </w:tr>
      <w:tr>
        <w:tc>
          <w:tcPr>
            <w:tcW w:type="dxa" w:w="831"/>
            <w:vMerge/>
          </w:tcPr>
          <w:p/>
        </w:tc>
        <w:tc>
          <w:tcPr>
            <w:tcW w:type="dxa" w:w="1661"/>
          </w:tcPr>
          <w:p>
            <w:pPr>
              <w:pStyle w:val="null3"/>
            </w:pPr>
            <w:r>
              <w:rPr/>
              <w:t>主要材料</w:t>
            </w:r>
          </w:p>
        </w:tc>
        <w:tc>
          <w:tcPr>
            <w:tcW w:type="dxa" w:w="2492"/>
          </w:tcPr>
          <w:p>
            <w:pPr>
              <w:pStyle w:val="null3"/>
            </w:pPr>
            <w:r>
              <w:rPr/>
              <w:t>根据供应商提供的所投主要材料（线缆）产品选型的合理性、质量保证、环保性能等（内容包括但不限于材料名称、品牌、规格、材质及主材检测报告、技术参数性能证明材料等资料）进行评分：提供主材及清单内容完整齐全，技术参数性能完全满足采购人要求得6分；提供主材及清单内容基本齐全，技术参数性能基本满足采购人要求得3分；未提供质量认证报告或相关证明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业绩</w:t>
            </w:r>
          </w:p>
        </w:tc>
        <w:tc>
          <w:tcPr>
            <w:tcW w:type="dxa" w:w="2492"/>
          </w:tcPr>
          <w:p>
            <w:pPr>
              <w:pStyle w:val="null3"/>
            </w:pPr>
            <w:r>
              <w:rPr/>
              <w:t>供应商须提供近三年（2021年01月01日至首次磋商响应文件提交截止时间）类似业绩证明材料。除满足资格条件外，每具备一项上述业绩得2分，最高得8分。证明材料不全的不予赋分。 注：业绩所属期限以合同签订日期为准。供应商提供合同复印件或中标通知书复印件证明业绩有效）</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价格分统一采用低价优先法计算，即满足磋商文件要求且最后报价最低的供应商的价格为磋商基准价，其价格分为满分。其他供应商的价格分统一按照下列公式计算： 磋商报价得分=（磋商基准价/最后磋商报价）×价格分 注：1.计算分数时四舍五入取小数点后两位； 2.落实政府采购政策：参见供应商须知前附表。</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强制优先采购产品承诺函</w:t>
            </w:r>
          </w:p>
          <w:p>
            <w:pPr>
              <w:pStyle w:val="null3"/>
            </w:pPr>
            <w:r>
              <w:rPr/>
              <w:t>项目管理机构组成表</w:t>
            </w:r>
          </w:p>
          <w:p>
            <w:pPr>
              <w:pStyle w:val="null3"/>
            </w:pPr>
            <w:r>
              <w:rPr/>
              <w:t>响应文件格式</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措施明确、合理，计划完备、可行性强，得4分；措施基本完备、有较强可行性，得2分；措施可行性、合理性一般，得1分；未提供不计分。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内容完整、计划合理得4分；内容基本完整、计划比较合理得2分；内容不够完整、计划欠合理得1分；未提供不计分。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施工进度表或施工网络图纸</w:t>
            </w:r>
          </w:p>
        </w:tc>
        <w:tc>
          <w:tcPr>
            <w:tcW w:type="dxa" w:w="2492"/>
          </w:tcPr>
          <w:p>
            <w:pPr>
              <w:pStyle w:val="null3"/>
            </w:pPr>
            <w:r>
              <w:rPr/>
              <w:t>详细表明本项目涉及的空调安装电力改造全流程实施的时间节点和时间进度安排，详细、合理、可行性强得4分；相对详细、比较合理、有可行性得2分；安排不详细但不影响具体项目实施得1分，未提供不计分。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施工总平面布置图、现场临时设施布置</w:t>
            </w:r>
          </w:p>
        </w:tc>
        <w:tc>
          <w:tcPr>
            <w:tcW w:type="dxa" w:w="2492"/>
          </w:tcPr>
          <w:p>
            <w:pPr>
              <w:pStyle w:val="null3"/>
            </w:pPr>
            <w:r>
              <w:rPr/>
              <w:t>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项目管理机构组成表</w:t>
            </w:r>
          </w:p>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劳动力安排计划</w:t>
            </w:r>
          </w:p>
        </w:tc>
        <w:tc>
          <w:tcPr>
            <w:tcW w:type="dxa" w:w="2492"/>
          </w:tcPr>
          <w:p>
            <w:pPr>
              <w:pStyle w:val="null3"/>
            </w:pPr>
            <w:r>
              <w:rPr/>
              <w:t>除项目经理、技术负责人以外，其他团队人员搭配合理，充分满足项目需求，具有较强的可行性、科学性、合理性得8分；搭配基本满足项目需求，可行性、科学性及合理性一般，得5分；搭配不合理，难以满足项目需求，可行性、合理性较差得2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项目管理机构组成表</w:t>
            </w:r>
          </w:p>
          <w:p>
            <w:pPr>
              <w:pStyle w:val="null3"/>
            </w:pPr>
            <w:r>
              <w:rPr/>
              <w:t>响应文件格式</w:t>
            </w:r>
          </w:p>
        </w:tc>
      </w:tr>
      <w:tr>
        <w:tc>
          <w:tcPr>
            <w:tcW w:type="dxa" w:w="831"/>
            <w:vMerge/>
          </w:tcPr>
          <w:p/>
        </w:tc>
        <w:tc>
          <w:tcPr>
            <w:tcW w:type="dxa" w:w="1661"/>
          </w:tcPr>
          <w:p>
            <w:pPr>
              <w:pStyle w:val="null3"/>
            </w:pPr>
            <w:r>
              <w:rPr/>
              <w:t>拟派技术负责人</w:t>
            </w:r>
          </w:p>
        </w:tc>
        <w:tc>
          <w:tcPr>
            <w:tcW w:type="dxa" w:w="2492"/>
          </w:tcPr>
          <w:p>
            <w:pPr>
              <w:pStyle w:val="null3"/>
            </w:pPr>
            <w:r>
              <w:rPr/>
              <w:t>（1）具备机电工程专业建造师资格的，一级的得4分；二级的得2分；其他不得分。 （2）近三年（2021年01月01日至首次磋商响应文件提交截止时间）内担任过与本项目类似工程项目技术负责人业绩，每提供一份业绩得加2分，累计不超过6分。 注：提供上述有关证书复印件并加盖公章以及在磋商截止日前6个月（不含磋商当月）内任意一个月在响应供应商单位缴纳的社保证明并加盖公章。否则不得分。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项目管理机构组成表</w:t>
            </w:r>
          </w:p>
          <w:p>
            <w:pPr>
              <w:pStyle w:val="null3"/>
            </w:pPr>
            <w:r>
              <w:rPr/>
              <w:t>响应文件格式</w:t>
            </w:r>
          </w:p>
        </w:tc>
      </w:tr>
      <w:tr>
        <w:tc>
          <w:tcPr>
            <w:tcW w:type="dxa" w:w="831"/>
            <w:vMerge/>
          </w:tcPr>
          <w:p/>
        </w:tc>
        <w:tc>
          <w:tcPr>
            <w:tcW w:type="dxa" w:w="1661"/>
          </w:tcPr>
          <w:p>
            <w:pPr>
              <w:pStyle w:val="null3"/>
            </w:pPr>
            <w:r>
              <w:rPr/>
              <w:t>主要材料</w:t>
            </w:r>
          </w:p>
        </w:tc>
        <w:tc>
          <w:tcPr>
            <w:tcW w:type="dxa" w:w="2492"/>
          </w:tcPr>
          <w:p>
            <w:pPr>
              <w:pStyle w:val="null3"/>
            </w:pPr>
            <w:r>
              <w:rPr/>
              <w:t>根据供应商提供的所投主要材料（线缆）产品选型的合理性、质量保证、环保性能等（内容包括但不限于材料名称、品牌、规格、材质及主材检测报告、技术参数性能证明材料等资料）进行评分：提供主材及清单内容完整齐全，技术参数性能完全满足采购人要求得6分；提供主材及清单内容基本齐全，技术参数性能基本满足采购人要求得3分；未提供质量认证报告或相关证明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强制优先采购产品承诺函</w:t>
            </w:r>
          </w:p>
          <w:p>
            <w:pPr>
              <w:pStyle w:val="null3"/>
            </w:pPr>
            <w:r>
              <w:rPr/>
              <w:t>响应文件格式</w:t>
            </w:r>
          </w:p>
        </w:tc>
      </w:tr>
      <w:tr>
        <w:tc>
          <w:tcPr>
            <w:tcW w:type="dxa" w:w="831"/>
            <w:vMerge/>
          </w:tcPr>
          <w:p/>
        </w:tc>
        <w:tc>
          <w:tcPr>
            <w:tcW w:type="dxa" w:w="1661"/>
          </w:tcPr>
          <w:p>
            <w:pPr>
              <w:pStyle w:val="null3"/>
            </w:pPr>
            <w:r>
              <w:rPr/>
              <w:t>业绩</w:t>
            </w:r>
          </w:p>
        </w:tc>
        <w:tc>
          <w:tcPr>
            <w:tcW w:type="dxa" w:w="2492"/>
          </w:tcPr>
          <w:p>
            <w:pPr>
              <w:pStyle w:val="null3"/>
            </w:pPr>
            <w:r>
              <w:rPr/>
              <w:t>供应商须提供近三年（2021年01月01日至首次磋商响应文件提交截止时间）类似业绩证明材料。除满足资格条件外，每具备一项上述业绩得2分，最高得8分。证明材料不全的不予赋分。 注：业绩所属期限以合同签订日期为准。供应商提供合同复印件或中标通知书复印件证明业绩有效）</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价格分统一采用低价优先法计算，即满足磋商文件要求且最后报价最低的供应商的价格为磋商基准价，其价格分为满分。其他供应商的价格分统一按照下列公式计算： 磋商报价得分=（磋商基准价/最后磋商报价）×价格分 注：1.计算分数时四舍五入取小数点后两位； 2.落实政府采购政策：参见供应商须知前附表。</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详见附件：磋商保证金</w:t>
      </w:r>
    </w:p>
    <w:p>
      <w:pPr>
        <w:pStyle w:val="null3"/>
        <w:ind w:firstLine="960"/>
      </w:pPr>
      <w:r>
        <w:rPr/>
        <w:t>详见附件：法定代表人身份证明格式和授权委托书格式</w:t>
      </w:r>
    </w:p>
    <w:p>
      <w:pPr>
        <w:pStyle w:val="null3"/>
        <w:ind w:firstLine="960"/>
      </w:pPr>
      <w:r>
        <w:rPr/>
        <w:t>详见附件：响应文件格式</w:t>
      </w:r>
    </w:p>
    <w:p>
      <w:pPr>
        <w:pStyle w:val="null3"/>
        <w:ind w:firstLine="960"/>
      </w:pPr>
      <w:r>
        <w:rPr/>
        <w:t>详见附件：业绩</w:t>
      </w:r>
    </w:p>
    <w:p>
      <w:pPr>
        <w:pStyle w:val="null3"/>
        <w:ind w:firstLine="960"/>
      </w:pPr>
      <w:r>
        <w:rPr/>
        <w:t>详见附件：资格条件格式</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详见附件：磋商保证金</w:t>
      </w:r>
    </w:p>
    <w:p>
      <w:pPr>
        <w:pStyle w:val="null3"/>
        <w:ind w:firstLine="960"/>
      </w:pPr>
      <w:r>
        <w:rPr/>
        <w:t>详见附件：法定代表人身份证明格式和授权委托书格式</w:t>
      </w:r>
    </w:p>
    <w:p>
      <w:pPr>
        <w:pStyle w:val="null3"/>
        <w:ind w:firstLine="960"/>
      </w:pPr>
      <w:r>
        <w:rPr/>
        <w:t>详见附件：响应文件格式</w:t>
      </w:r>
    </w:p>
    <w:p>
      <w:pPr>
        <w:pStyle w:val="null3"/>
        <w:ind w:firstLine="960"/>
      </w:pPr>
      <w:r>
        <w:rPr/>
        <w:t>详见附件：业绩</w:t>
      </w:r>
    </w:p>
    <w:p>
      <w:pPr>
        <w:pStyle w:val="null3"/>
        <w:ind w:firstLine="960"/>
      </w:pPr>
      <w:r>
        <w:rPr/>
        <w:t>详见附件：资格条件格式</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