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2024年全年手机用户旅行者数据服务</w:t>
      </w:r>
    </w:p>
    <w:p>
      <w:pPr>
        <w:pStyle w:val="null3"/>
        <w:jc w:val="center"/>
        <w:outlineLvl w:val="2"/>
      </w:pPr>
      <w:r>
        <w:rPr>
          <w:b/>
          <w:sz w:val="28"/>
        </w:rPr>
        <w:t>采购项目编号：</w:t>
      </w:r>
      <w:r>
        <w:rPr>
          <w:b/>
          <w:sz w:val="28"/>
        </w:rPr>
        <w:t>ZX2024-04-51</w:t>
      </w:r>
      <w:r>
        <w:br/>
      </w:r>
      <w:r>
        <w:br/>
      </w:r>
      <w:r>
        <w:br/>
      </w:r>
    </w:p>
    <w:p>
      <w:pPr>
        <w:pStyle w:val="null3"/>
        <w:jc w:val="center"/>
        <w:outlineLvl w:val="2"/>
      </w:pPr>
      <w:r>
        <w:rPr>
          <w:b/>
          <w:sz w:val="28"/>
        </w:rPr>
        <w:t>陕西省文化和旅游数据中心</w:t>
      </w:r>
    </w:p>
    <w:p>
      <w:pPr>
        <w:pStyle w:val="null3"/>
        <w:jc w:val="center"/>
        <w:outlineLvl w:val="2"/>
      </w:pPr>
      <w:r>
        <w:rPr>
          <w:b/>
          <w:sz w:val="28"/>
        </w:rPr>
        <w:t>陕西正信招标有限公司</w:t>
      </w:r>
      <w:r>
        <w:rPr>
          <w:b/>
          <w:sz w:val="28"/>
        </w:rPr>
        <w:t>共同编制</w:t>
      </w:r>
    </w:p>
    <w:p>
      <w:pPr>
        <w:pStyle w:val="null3"/>
        <w:jc w:val="center"/>
        <w:outlineLvl w:val="2"/>
      </w:pPr>
      <w:r>
        <w:rPr>
          <w:b/>
          <w:sz w:val="28"/>
        </w:rPr>
        <w:t>2024年04月28日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陕西正信招标有限公司</w:t>
      </w:r>
      <w:r>
        <w:rPr/>
        <w:t>（以下简称“代理机构”）受</w:t>
      </w:r>
      <w:r>
        <w:rPr/>
        <w:t>陕西省文化和旅游数据中心</w:t>
      </w:r>
      <w:r>
        <w:rPr/>
        <w:t>委托，拟对</w:t>
      </w:r>
      <w:r>
        <w:rPr/>
        <w:t>2024年全年手机用户旅行者数据服务</w:t>
      </w:r>
      <w:r>
        <w:rPr/>
        <w:t>采用竞争性磋商采购方式进行采购，兹邀请供应商参加本项目的竞争性磋商。</w:t>
      </w:r>
    </w:p>
    <w:p>
      <w:pPr>
        <w:pStyle w:val="null3"/>
        <w:outlineLvl w:val="2"/>
      </w:pPr>
      <w:r>
        <w:rPr>
          <w:b/>
          <w:sz w:val="28"/>
        </w:rPr>
        <w:t>一、项目编号：</w:t>
      </w:r>
      <w:r>
        <w:rPr>
          <w:b/>
          <w:sz w:val="28"/>
        </w:rPr>
        <w:t>ZX2024-04-51</w:t>
      </w:r>
    </w:p>
    <w:p>
      <w:pPr>
        <w:pStyle w:val="null3"/>
        <w:outlineLvl w:val="2"/>
      </w:pPr>
      <w:r>
        <w:rPr>
          <w:b/>
          <w:sz w:val="28"/>
        </w:rPr>
        <w:t>二、项目名称：</w:t>
      </w:r>
      <w:r>
        <w:rPr>
          <w:b/>
          <w:sz w:val="28"/>
        </w:rPr>
        <w:t>2024年全年手机用户旅行者数据服务</w:t>
      </w:r>
    </w:p>
    <w:p>
      <w:pPr>
        <w:pStyle w:val="null3"/>
        <w:outlineLvl w:val="2"/>
      </w:pPr>
      <w:r>
        <w:rPr>
          <w:b/>
          <w:sz w:val="28"/>
        </w:rPr>
        <w:t>三、磋商项目简介</w:t>
      </w:r>
    </w:p>
    <w:p>
      <w:pPr>
        <w:pStyle w:val="null3"/>
        <w:ind w:firstLine="480"/>
      </w:pPr>
      <w:r>
        <w:rPr/>
        <w:t>手机用户旅行者数据服务是陕西省文旅产业运行监测与应急指挥平台客流监测系统的重要数据来源，为陕西省日常客流监测、分析提供了数据依据。为保障平台的正常运行，计划采购2024年手机用户旅行者数据服务项目。</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1、法定代表人授权委托书：法定代表人授权委托书：法定代表人参加磋商的，须出示身份证；法定代表人授权他人参加磋商的，须提供法定代表人授权委托书及被授权人身份证</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陕西省文化和旅游数据中心</w:t>
      </w:r>
    </w:p>
    <w:p>
      <w:pPr>
        <w:pStyle w:val="null3"/>
      </w:pPr>
      <w:r>
        <w:rPr/>
        <w:t xml:space="preserve"> 地址： </w:t>
      </w:r>
      <w:r>
        <w:rPr/>
        <w:t>西安市新城区西一路197号</w:t>
      </w:r>
    </w:p>
    <w:p>
      <w:pPr>
        <w:pStyle w:val="null3"/>
      </w:pPr>
      <w:r>
        <w:rPr/>
        <w:t xml:space="preserve"> 邮编： </w:t>
      </w:r>
      <w:r>
        <w:rPr/>
        <w:t>710000</w:t>
      </w:r>
    </w:p>
    <w:p>
      <w:pPr>
        <w:pStyle w:val="null3"/>
      </w:pPr>
      <w:r>
        <w:rPr/>
        <w:t xml:space="preserve"> 联系人： </w:t>
      </w:r>
      <w:r>
        <w:rPr/>
        <w:t>董老师</w:t>
      </w:r>
    </w:p>
    <w:p>
      <w:pPr>
        <w:pStyle w:val="null3"/>
      </w:pPr>
      <w:r>
        <w:rPr/>
        <w:t xml:space="preserve"> 联系电话： </w:t>
      </w:r>
      <w:r>
        <w:rPr/>
        <w:t xml:space="preserve"> 029-87272391</w:t>
      </w:r>
    </w:p>
    <w:p>
      <w:pPr>
        <w:pStyle w:val="null3"/>
        <w:outlineLvl w:val="3"/>
      </w:pPr>
      <w:r>
        <w:rPr>
          <w:b/>
          <w:sz w:val="24"/>
        </w:rPr>
        <w:t>代理机构：</w:t>
      </w:r>
      <w:r>
        <w:rPr>
          <w:b/>
          <w:sz w:val="24"/>
        </w:rPr>
        <w:t>陕西正信招标有限公司</w:t>
      </w:r>
    </w:p>
    <w:p>
      <w:pPr>
        <w:pStyle w:val="null3"/>
      </w:pPr>
      <w:r>
        <w:rPr/>
        <w:t xml:space="preserve"> 地址： </w:t>
      </w:r>
      <w:r>
        <w:rPr/>
        <w:t>西安市红缨路南口6号均明拍卖广场4层</w:t>
      </w:r>
    </w:p>
    <w:p>
      <w:pPr>
        <w:pStyle w:val="null3"/>
      </w:pPr>
      <w:r>
        <w:rPr/>
        <w:t xml:space="preserve"> 邮编： </w:t>
      </w:r>
      <w:r>
        <w:rPr/>
        <w:t>710000</w:t>
      </w:r>
    </w:p>
    <w:p>
      <w:pPr>
        <w:pStyle w:val="null3"/>
      </w:pPr>
      <w:r>
        <w:rPr/>
        <w:t xml:space="preserve"> 联系人： </w:t>
      </w:r>
      <w:r>
        <w:rPr/>
        <w:t>张爽 胡传伟 王宇轩 蔡丹 王琦</w:t>
      </w:r>
    </w:p>
    <w:p>
      <w:pPr>
        <w:pStyle w:val="null3"/>
      </w:pPr>
      <w:r>
        <w:rPr/>
        <w:t xml:space="preserve"> 联系电话： </w:t>
      </w:r>
      <w:r>
        <w:rPr/>
        <w:t>029-88411508转8023</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采购包1：940,000.00元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采购包1保证金金额：18,004.51元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代理服务费收费标准：1、参照国家计委计价格[2002]1980号及发改办价格[2003]857号通知规定，由成交供应商支付代理服务费。 2、支付方式：成交供应商应在领取通知书的同时，支付本项目代理服务费。收款账户如下： 收款单位：陕西正信招标有限公司 开户银行：中国银行股份有限公司西安四府街支行 银行账号：102460065607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陕西省文化和旅游数据中心</w:t>
      </w:r>
      <w:r>
        <w:rPr/>
        <w:t>和</w:t>
      </w:r>
      <w:r>
        <w:rPr/>
        <w:t>陕西正信招标有限公司</w:t>
      </w:r>
      <w:r>
        <w:rPr/>
        <w:t>享有。对磋商文件中供应商参加本次政府采购活动应当具备的条件，磋商项目技术、服务、商务及其他要求，评审细则及标准由</w:t>
      </w:r>
      <w:r>
        <w:rPr/>
        <w:t>陕西省文化和旅游数据中心</w:t>
      </w:r>
      <w:r>
        <w:rPr/>
        <w:t>负责解释。除上述磋商文件内容，其他内容由</w:t>
      </w:r>
      <w:r>
        <w:rPr/>
        <w:t>陕西正信招标有限公司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陕西省文化和旅游数据中心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按照磋商文件、成交供应商响应文件和合同约定执行</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联系人：胡传伟 张爽</w:t>
      </w:r>
    </w:p>
    <w:p>
      <w:pPr>
        <w:pStyle w:val="null3"/>
      </w:pPr>
      <w:r>
        <w:rPr/>
        <w:t>联系电话：029-88411508转8023（649455437@qq.com）</w:t>
      </w:r>
    </w:p>
    <w:p>
      <w:pPr>
        <w:pStyle w:val="null3"/>
      </w:pPr>
      <w:r>
        <w:rPr/>
        <w:t>地址：西安市红缨路南口6号均明拍卖广场4层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手机用户旅行者数据服务是省文旅产业运行监测与应急指挥平台客流监测系统的重要数据来源，为我省日常客流监测、分析提供了数据依据。为保障平台的正常运行，计划采购2024年手机用户旅行者数据服务项目。数据服务内容包括：除香港、澳门和台湾以外的31个省、自治区和直辖市，进入陕西的手机用户旅行者，分别有全年全省手机用户旅行者总量、各地市手机用户旅行者总量、客源地分析、旅游天数、旅游半径、夜游情况、全省平均游览城市数等统计要求，同时，为陕西省文旅产业运行监测与应急指挥平台提供信令数据接口对接服务（此部分内容所产生的额外费用需包含在本次磋商报价中），数据服务周期为1年，包括节假日。</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940,000.00</w:t>
      </w:r>
    </w:p>
    <w:p>
      <w:pPr>
        <w:pStyle w:val="null3"/>
      </w:pPr>
      <w:r>
        <w:rPr/>
        <w:t>采购包最高限价（元）: 940,000.00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2024年全年手机用户旅行者数据服务</w:t>
            </w:r>
          </w:p>
        </w:tc>
        <w:tc>
          <w:tcPr>
            <w:tcW w:type="dxa" w:w="831"/>
          </w:tcPr>
          <w:p>
            <w:pPr>
              <w:pStyle w:val="null3"/>
              <w:jc w:val="right"/>
            </w:pPr>
            <w:r>
              <w:rPr/>
              <w:t>1.00</w:t>
            </w:r>
          </w:p>
        </w:tc>
        <w:tc>
          <w:tcPr>
            <w:tcW w:type="dxa" w:w="831"/>
          </w:tcPr>
          <w:p>
            <w:pPr>
              <w:pStyle w:val="null3"/>
              <w:jc w:val="right"/>
            </w:pPr>
            <w:r>
              <w:rPr/>
              <w:t>940,000.00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标的名称：2024年全年手机用户旅行者数据服务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60" w:after="60"/>
              <w:jc w:val="both"/>
              <w:outlineLvl w:val="0"/>
            </w:pPr>
            <w:r>
              <w:rPr>
                <w:rFonts w:ascii="宋体" w:hAnsi="宋体" w:cs="宋体" w:eastAsia="宋体"/>
                <w:b/>
                <w:sz w:val="18"/>
              </w:rPr>
              <w:t>一、项目内容</w:t>
            </w:r>
          </w:p>
          <w:p>
            <w:pPr>
              <w:pStyle w:val="null3"/>
              <w:ind w:firstLine="360"/>
              <w:jc w:val="both"/>
            </w:pPr>
            <w:r>
              <w:rPr>
                <w:rFonts w:ascii="宋体" w:hAnsi="宋体" w:cs="宋体" w:eastAsia="宋体"/>
                <w:sz w:val="18"/>
              </w:rPr>
              <w:t>手机用户旅行者数据服务是省文旅产业运行监测与应急指挥平台客流监测系统的重要数据来源，为我省日常客流监测、分析提供了数据依据。为保障平台的正常运行，计划采购</w:t>
            </w:r>
            <w:r>
              <w:rPr>
                <w:rFonts w:ascii="宋体" w:hAnsi="宋体" w:cs="宋体" w:eastAsia="宋体"/>
                <w:sz w:val="18"/>
              </w:rPr>
              <w:t>2024年手机用户旅行者数据服务项目。数据服务内容包括：除香港、澳门和台湾以外的31个省、自治区和直辖市，进入陕西的手机用户旅行者，分别有</w:t>
            </w:r>
            <w:r>
              <w:rPr>
                <w:rFonts w:ascii="宋体" w:hAnsi="宋体" w:cs="宋体" w:eastAsia="宋体"/>
                <w:sz w:val="18"/>
              </w:rPr>
              <w:t>全年</w:t>
            </w:r>
            <w:r>
              <w:rPr>
                <w:rFonts w:ascii="宋体" w:hAnsi="宋体" w:cs="宋体" w:eastAsia="宋体"/>
                <w:sz w:val="18"/>
              </w:rPr>
              <w:t>全省手机用户旅行者总量、各地市手机用户旅行者总量、客源地分析、旅游天数、旅游半径、夜游情况、全省平均游览城市数等统计要求</w:t>
            </w:r>
            <w:r>
              <w:rPr>
                <w:rFonts w:ascii="宋体" w:hAnsi="宋体" w:cs="宋体" w:eastAsia="宋体"/>
                <w:sz w:val="18"/>
              </w:rPr>
              <w:t>，</w:t>
            </w:r>
            <w:r>
              <w:rPr>
                <w:rFonts w:ascii="宋体" w:hAnsi="宋体" w:cs="宋体" w:eastAsia="宋体"/>
                <w:sz w:val="18"/>
              </w:rPr>
              <w:t>同时，为陕西省文旅产业运行监测与应急指挥平台提供信令数据接口对接服务（此部分内容所产生的额外费用需包含在本次磋商报价中），数据服务周期为</w:t>
            </w:r>
            <w:r>
              <w:rPr>
                <w:rFonts w:ascii="宋体" w:hAnsi="宋体" w:cs="宋体" w:eastAsia="宋体"/>
                <w:sz w:val="18"/>
              </w:rPr>
              <w:t>1年，包括节假日。</w:t>
            </w:r>
          </w:p>
          <w:p>
            <w:pPr>
              <w:pStyle w:val="null3"/>
              <w:jc w:val="both"/>
            </w:pPr>
            <w:r>
              <w:rPr>
                <w:rFonts w:ascii="宋体" w:hAnsi="宋体" w:cs="宋体" w:eastAsia="宋体"/>
                <w:sz w:val="18"/>
              </w:rPr>
              <w:t>二、数据服务要求及更新频率</w:t>
            </w:r>
            <w:r>
              <w:rPr>
                <w:rFonts w:ascii="宋体" w:hAnsi="宋体" w:cs="宋体" w:eastAsia="宋体"/>
                <w:sz w:val="18"/>
              </w:rPr>
              <w:t xml:space="preserve">  </w:t>
            </w:r>
          </w:p>
          <w:p>
            <w:pPr>
              <w:pStyle w:val="null3"/>
              <w:ind w:firstLine="360"/>
              <w:jc w:val="both"/>
            </w:pPr>
            <w:r>
              <w:rPr>
                <w:rFonts w:ascii="宋体" w:hAnsi="宋体" w:cs="宋体" w:eastAsia="宋体"/>
                <w:sz w:val="18"/>
              </w:rPr>
              <w:t>提供陕西</w:t>
            </w:r>
            <w:r>
              <w:rPr>
                <w:rFonts w:ascii="宋体" w:hAnsi="宋体" w:cs="宋体" w:eastAsia="宋体"/>
                <w:sz w:val="18"/>
              </w:rPr>
              <w:t>2024年全省手机用户旅行者总量、12个地市手机用户旅行者总量、手机用户旅行者-客源地分析、手机用户旅行者-旅游天数、手机用户旅行者-旅游半径、手机用户旅行者-夜游情况、全省手机用户旅行者出游平均游览的城市数等数据服务，数据服务时间为2024年06月10日至2025年06月09日。具体数据维度、更新频率、更新时间见下表。</w:t>
            </w:r>
          </w:p>
          <w:tbl>
            <w:tblPr>
              <w:tblInd w:type="dxa" w:w="135"/>
              <w:tblBorders>
                <w:top w:val="none" w:color="000000" w:sz="4"/>
                <w:left w:val="none" w:color="000000" w:sz="4"/>
                <w:bottom w:val="none" w:color="000000" w:sz="4"/>
                <w:right w:val="none" w:color="000000" w:sz="4"/>
                <w:insideH w:val="none"/>
                <w:insideV w:val="none"/>
              </w:tblBorders>
            </w:tblPr>
            <w:tblGrid>
              <w:gridCol w:w="218"/>
              <w:gridCol w:w="551"/>
              <w:gridCol w:w="373"/>
              <w:gridCol w:w="550"/>
              <w:gridCol w:w="860"/>
            </w:tblGrid>
            <w:tr>
              <w:tc>
                <w:tcPr>
                  <w:tcW w:type="dxa" w:w="218"/>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宋体" w:hAnsi="宋体" w:cs="宋体" w:eastAsia="宋体"/>
                      <w:b/>
                      <w:sz w:val="18"/>
                    </w:rPr>
                    <w:t>序号</w:t>
                  </w:r>
                </w:p>
              </w:tc>
              <w:tc>
                <w:tcPr>
                  <w:tcW w:type="dxa" w:w="551"/>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宋体" w:hAnsi="宋体" w:cs="宋体" w:eastAsia="宋体"/>
                      <w:b/>
                      <w:sz w:val="18"/>
                    </w:rPr>
                    <w:t>数据维度</w:t>
                  </w:r>
                </w:p>
              </w:tc>
              <w:tc>
                <w:tcPr>
                  <w:tcW w:type="dxa" w:w="373"/>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宋体" w:hAnsi="宋体" w:cs="宋体" w:eastAsia="宋体"/>
                      <w:b/>
                      <w:sz w:val="18"/>
                    </w:rPr>
                    <w:t>更新频率</w:t>
                  </w:r>
                </w:p>
              </w:tc>
              <w:tc>
                <w:tcPr>
                  <w:tcW w:type="dxa" w:w="550"/>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宋体" w:hAnsi="宋体" w:cs="宋体" w:eastAsia="宋体"/>
                      <w:b/>
                      <w:sz w:val="18"/>
                    </w:rPr>
                    <w:t>更新时间</w:t>
                  </w:r>
                </w:p>
              </w:tc>
              <w:tc>
                <w:tcPr>
                  <w:tcW w:type="dxa" w:w="860"/>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宋体" w:hAnsi="宋体" w:cs="宋体" w:eastAsia="宋体"/>
                      <w:b/>
                      <w:sz w:val="18"/>
                    </w:rPr>
                    <w:t>备注</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全省手机用户旅行者总量</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每小时</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每小时</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前一个小时陕西省手机用户旅行者总量</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12个地市手机用户旅行者总量</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每小时</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每小时</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前一个小时各市手机用户旅行者总量</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全省手机用户旅行者总量</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每日</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次日</w:t>
                  </w:r>
                  <w:r>
                    <w:rPr>
                      <w:rFonts w:ascii="宋体" w:hAnsi="宋体" w:cs="宋体" w:eastAsia="宋体"/>
                      <w:sz w:val="18"/>
                    </w:rPr>
                    <w:t>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每日陕西省手机用户旅行者总量</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12个</w:t>
                  </w:r>
                  <w:r>
                    <w:rPr>
                      <w:rFonts w:ascii="宋体" w:hAnsi="宋体" w:cs="宋体" w:eastAsia="宋体"/>
                      <w:sz w:val="18"/>
                    </w:rPr>
                    <w:t>地市手机用户旅行者总量</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每日</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次日</w:t>
                  </w:r>
                  <w:r>
                    <w:rPr>
                      <w:rFonts w:ascii="宋体" w:hAnsi="宋体" w:cs="宋体" w:eastAsia="宋体"/>
                      <w:sz w:val="18"/>
                    </w:rPr>
                    <w:t>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每日各市手机用户旅行者总量</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-客源地分析</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每日</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次日</w:t>
                  </w:r>
                  <w:r>
                    <w:rPr>
                      <w:rFonts w:ascii="宋体" w:hAnsi="宋体" w:cs="宋体" w:eastAsia="宋体"/>
                      <w:sz w:val="18"/>
                    </w:rPr>
                    <w:t>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每日来陕手机用户旅行者客源地分布情况</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-旅游半径</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每日</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次日</w:t>
                  </w:r>
                  <w:r>
                    <w:rPr>
                      <w:rFonts w:ascii="宋体" w:hAnsi="宋体" w:cs="宋体" w:eastAsia="宋体"/>
                      <w:sz w:val="18"/>
                    </w:rPr>
                    <w:t>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每日来陕手机用户旅行者旅游半径情况</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全省手机用户旅行者总量</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每周</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次周</w:t>
                  </w:r>
                  <w:r>
                    <w:rPr>
                      <w:rFonts w:ascii="宋体" w:hAnsi="宋体" w:cs="宋体" w:eastAsia="宋体"/>
                      <w:sz w:val="18"/>
                    </w:rPr>
                    <w:t>1日7:00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每周陕西省手机用户旅行者总量（去重、汇总）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12个</w:t>
                  </w:r>
                  <w:r>
                    <w:rPr>
                      <w:rFonts w:ascii="宋体" w:hAnsi="宋体" w:cs="宋体" w:eastAsia="宋体"/>
                      <w:sz w:val="18"/>
                    </w:rPr>
                    <w:t>地市手机用户旅行者总量</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每周</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次周</w:t>
                  </w:r>
                  <w:r>
                    <w:rPr>
                      <w:rFonts w:ascii="宋体" w:hAnsi="宋体" w:cs="宋体" w:eastAsia="宋体"/>
                      <w:sz w:val="18"/>
                    </w:rPr>
                    <w:t>1日7:00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每周各市手机用户旅行者总量（去重、汇总）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-客源地分析</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每周</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次周</w:t>
                  </w:r>
                  <w:r>
                    <w:rPr>
                      <w:rFonts w:ascii="宋体" w:hAnsi="宋体" w:cs="宋体" w:eastAsia="宋体"/>
                      <w:sz w:val="18"/>
                    </w:rPr>
                    <w:t>1日7:00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每周来陕手机用户旅行者客源地分布情况（去重、汇总）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-旅游天数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每周</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次周</w:t>
                  </w:r>
                  <w:r>
                    <w:rPr>
                      <w:rFonts w:ascii="宋体" w:hAnsi="宋体" w:cs="宋体" w:eastAsia="宋体"/>
                      <w:sz w:val="18"/>
                    </w:rPr>
                    <w:t>1日7:00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每周来陕手机用户旅行者旅游天数情况（去重、汇总）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-旅游半径</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每周</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次周</w:t>
                  </w:r>
                  <w:r>
                    <w:rPr>
                      <w:rFonts w:ascii="宋体" w:hAnsi="宋体" w:cs="宋体" w:eastAsia="宋体"/>
                      <w:sz w:val="18"/>
                    </w:rPr>
                    <w:t>1日7:00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每周来陕手机用户旅行者旅游半径情况（去重、汇总）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-夜游情况</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每周</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次周</w:t>
                  </w:r>
                  <w:r>
                    <w:rPr>
                      <w:rFonts w:ascii="宋体" w:hAnsi="宋体" w:cs="宋体" w:eastAsia="宋体"/>
                      <w:sz w:val="18"/>
                    </w:rPr>
                    <w:t>1日7:00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每周来陕手机用户旅行者夜游情况（去重、汇总）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全省平均游览城市数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每周</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次周</w:t>
                  </w:r>
                  <w:r>
                    <w:rPr>
                      <w:rFonts w:ascii="宋体" w:hAnsi="宋体" w:cs="宋体" w:eastAsia="宋体"/>
                      <w:sz w:val="18"/>
                    </w:rPr>
                    <w:t>1日7:00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每周全省手机用户旅行者出游平均游览的城市数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全省手机用户旅行者总量</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每月</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次月</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每月陕西省手机用户旅行者总量（去重、汇总）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12个</w:t>
                  </w:r>
                  <w:r>
                    <w:rPr>
                      <w:rFonts w:ascii="宋体" w:hAnsi="宋体" w:cs="宋体" w:eastAsia="宋体"/>
                      <w:sz w:val="18"/>
                    </w:rPr>
                    <w:t>地市手机用户旅行者总量</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每月</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次月</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每月各市手机用户旅行者总量（去重、汇总）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-客源地分析</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每月</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次月</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每月来陕手机用户旅行者客源地分布情况（去重、汇总）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-旅游天数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每月</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次月</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每月来陕手机用户旅行者旅游天数情况（去重、汇总）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-旅游半径</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每月</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次月</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每月来陕手机用户旅行者旅游半径情况（去重、汇总）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-夜游情况</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每月</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次月</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每月来陕手机用户旅行者夜游情况（去重、汇总）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全省平均游览城市数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每月</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次月</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w:t>
                  </w:r>
                  <w:r>
                    <w:rPr>
                      <w:rFonts w:ascii="宋体" w:hAnsi="宋体" w:cs="宋体" w:eastAsia="宋体"/>
                      <w:sz w:val="18"/>
                    </w:rPr>
                    <w:t>月</w:t>
                  </w:r>
                  <w:r>
                    <w:rPr>
                      <w:rFonts w:ascii="宋体" w:hAnsi="宋体" w:cs="宋体" w:eastAsia="宋体"/>
                      <w:sz w:val="18"/>
                    </w:rPr>
                    <w:t>全省手机用户旅行者出游平均游览的城市数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全省手机用户旅行者总量</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每季</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本季度最后一月的</w:t>
                  </w:r>
                  <w:r>
                    <w:rPr>
                      <w:rFonts w:ascii="宋体" w:hAnsi="宋体" w:cs="宋体" w:eastAsia="宋体"/>
                      <w:sz w:val="18"/>
                    </w:rPr>
                    <w:t>20号预测；</w:t>
                  </w:r>
                  <w:r>
                    <w:rPr>
                      <w:rFonts w:ascii="宋体" w:hAnsi="宋体" w:cs="宋体" w:eastAsia="宋体"/>
                      <w:sz w:val="18"/>
                    </w:rPr>
                    <w:t>次季</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每季度陕西省手机用户旅行者总量（去重、汇总）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12个</w:t>
                  </w:r>
                  <w:r>
                    <w:rPr>
                      <w:rFonts w:ascii="宋体" w:hAnsi="宋体" w:cs="宋体" w:eastAsia="宋体"/>
                      <w:sz w:val="18"/>
                    </w:rPr>
                    <w:t>地市手机用户旅行者总量</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每季</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本季度最后一月的</w:t>
                  </w:r>
                  <w:r>
                    <w:rPr>
                      <w:rFonts w:ascii="宋体" w:hAnsi="宋体" w:cs="宋体" w:eastAsia="宋体"/>
                      <w:sz w:val="18"/>
                    </w:rPr>
                    <w:t>20号预测；次季2日7:00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每季度各市手机用户旅行者总量（去重、汇总）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-客源地分析</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每季</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次季</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每季度来陕手机用户旅行者客源地分布情况（去重、汇总）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-旅游天数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每季</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次季</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每季度来陕手机用户旅行者旅游天数情况（去重、汇总）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-旅游半径</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每季</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次季</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每季度来陕手机用户旅行者旅游半径情况（去重、汇总）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-夜游情况</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每季</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次季</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每季度来陕手机用户旅行者夜游情况（去重、汇总）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全省平均游览城市数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每季</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w:t>
                  </w:r>
                  <w:r>
                    <w:rPr>
                      <w:rFonts w:ascii="宋体" w:hAnsi="宋体" w:cs="宋体" w:eastAsia="宋体"/>
                      <w:sz w:val="18"/>
                    </w:rPr>
                    <w:t>季</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每季全省手机用户旅行者出游平均游览的城市数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全省手机用户旅行者总量</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每半年</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半年最后一月的</w:t>
                  </w:r>
                  <w:r>
                    <w:rPr>
                      <w:rFonts w:ascii="宋体" w:hAnsi="宋体" w:cs="宋体" w:eastAsia="宋体"/>
                      <w:sz w:val="18"/>
                    </w:rPr>
                    <w:t>20号预测；半年后2日7:00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每半年陕西省手机用户旅行者总量（去重、汇总）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12个</w:t>
                  </w:r>
                  <w:r>
                    <w:rPr>
                      <w:rFonts w:ascii="宋体" w:hAnsi="宋体" w:cs="宋体" w:eastAsia="宋体"/>
                      <w:sz w:val="18"/>
                    </w:rPr>
                    <w:t>地市手机用户旅行者总量</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每半年</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半年最后一月的</w:t>
                  </w:r>
                  <w:r>
                    <w:rPr>
                      <w:rFonts w:ascii="宋体" w:hAnsi="宋体" w:cs="宋体" w:eastAsia="宋体"/>
                      <w:sz w:val="18"/>
                    </w:rPr>
                    <w:t>20号预测；半年后2日7:00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每半年各市手机用户旅行者总量（去重、汇总）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-客源地分析</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每半年</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半年后</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每半年来陕手机用户旅行者客源地分布情况（去重、汇总）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31</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-旅游天数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每半年</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半年后</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每半年来陕手机用户旅行者旅游天数情况（去重、汇总）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-旅游半径</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每半年</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半年后</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每半年来陕手机用户旅行者旅游半径情况（去重、汇总）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33</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-夜游情况</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每半年</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半年后</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每半年来陕手机用户旅行者夜游情况（去重、汇总）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34</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全省平均游览城市数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每半年</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半年后</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每</w:t>
                  </w:r>
                  <w:r>
                    <w:rPr>
                      <w:rFonts w:ascii="宋体" w:hAnsi="宋体" w:cs="宋体" w:eastAsia="宋体"/>
                      <w:sz w:val="18"/>
                    </w:rPr>
                    <w:t>半年</w:t>
                  </w:r>
                  <w:r>
                    <w:rPr>
                      <w:rFonts w:ascii="宋体" w:hAnsi="宋体" w:cs="宋体" w:eastAsia="宋体"/>
                      <w:sz w:val="18"/>
                    </w:rPr>
                    <w:t>全省手机用户旅行者出游平均游览的城市数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全省手机用户旅行者总量</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全年</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全年最后一月的</w:t>
                  </w:r>
                  <w:r>
                    <w:rPr>
                      <w:rFonts w:ascii="宋体" w:hAnsi="宋体" w:cs="宋体" w:eastAsia="宋体"/>
                      <w:sz w:val="18"/>
                    </w:rPr>
                    <w:t>20号预测；次年2日7:00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全年陕西省手机用户旅行者总量（去重、汇总）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36</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12个</w:t>
                  </w:r>
                  <w:r>
                    <w:rPr>
                      <w:rFonts w:ascii="宋体" w:hAnsi="宋体" w:cs="宋体" w:eastAsia="宋体"/>
                      <w:sz w:val="18"/>
                    </w:rPr>
                    <w:t>地市手机用户旅行者总量</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全年</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全年最后一月的</w:t>
                  </w:r>
                  <w:r>
                    <w:rPr>
                      <w:rFonts w:ascii="宋体" w:hAnsi="宋体" w:cs="宋体" w:eastAsia="宋体"/>
                      <w:sz w:val="18"/>
                    </w:rPr>
                    <w:t>20号预测；次年2日7:00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全年各市手机用户旅行者总量（去重、汇总）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-客源地分析</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全年</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次年</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全年来陕手机用户旅行者客源地分布情况（去重、汇总）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38</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-旅游天数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全年</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次年</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全年来陕手机用户旅行者旅游天数情况（去重、汇总）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-旅游半径</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全年</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次年</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全年来陕手机用户旅行者旅游半径情况（去重、汇总）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-夜游情况</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全年</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次年</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全年来陕手机用户旅行者夜游情况（去重、汇总）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41</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全省平均游览城市数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全年</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次年</w:t>
                  </w:r>
                  <w:r>
                    <w:rPr>
                      <w:rFonts w:ascii="宋体" w:hAnsi="宋体" w:cs="宋体" w:eastAsia="宋体"/>
                      <w:sz w:val="18"/>
                    </w:rPr>
                    <w:t>2日7:00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全年全省手机用户旅行者出游平均游览的城市数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42</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全省手机用户旅行者总量</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节假日</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假日最后一天的</w:t>
                  </w:r>
                  <w:r>
                    <w:rPr>
                      <w:rFonts w:ascii="宋体" w:hAnsi="宋体" w:cs="宋体" w:eastAsia="宋体"/>
                      <w:sz w:val="18"/>
                    </w:rPr>
                    <w:t>8:00 预测;假日后第一个工作日17:00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7个节假日陕西省手机用户旅行者总量（去重、汇总）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43</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12个</w:t>
                  </w:r>
                  <w:r>
                    <w:rPr>
                      <w:rFonts w:ascii="宋体" w:hAnsi="宋体" w:cs="宋体" w:eastAsia="宋体"/>
                      <w:sz w:val="18"/>
                    </w:rPr>
                    <w:t>地市手机用户旅行者总量</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节假日</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假日最后一天的</w:t>
                  </w:r>
                  <w:r>
                    <w:rPr>
                      <w:rFonts w:ascii="宋体" w:hAnsi="宋体" w:cs="宋体" w:eastAsia="宋体"/>
                      <w:sz w:val="18"/>
                    </w:rPr>
                    <w:t>8:00 预测;假日后第一个工作日17:00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7个节假日各市手机用户旅行者总量（去重、汇总）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44</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-客源地分析</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节假日</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假日最后一天的</w:t>
                  </w:r>
                  <w:r>
                    <w:rPr>
                      <w:rFonts w:ascii="宋体" w:hAnsi="宋体" w:cs="宋体" w:eastAsia="宋体"/>
                      <w:sz w:val="18"/>
                    </w:rPr>
                    <w:t>8:00 预测;假日后第一个工作日17:00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7个节假日来陕手机用户旅行者客源地分布情况（去重、汇总）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-旅游天数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节假日</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假日最后一天的</w:t>
                  </w:r>
                  <w:r>
                    <w:rPr>
                      <w:rFonts w:ascii="宋体" w:hAnsi="宋体" w:cs="宋体" w:eastAsia="宋体"/>
                      <w:sz w:val="18"/>
                    </w:rPr>
                    <w:t>8:00 预测;假日后第一个工作日17:00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7个节假日来陕手机用户旅行者旅游天数情况（去重、汇总）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46</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-旅游半径</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节假日</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假日最后一天的</w:t>
                  </w:r>
                  <w:r>
                    <w:rPr>
                      <w:rFonts w:ascii="宋体" w:hAnsi="宋体" w:cs="宋体" w:eastAsia="宋体"/>
                      <w:sz w:val="18"/>
                    </w:rPr>
                    <w:t>8:00 预测;假日后第一个工作日17:00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7个节假日来陕手机用户旅行者旅游半径情况（去重、汇总）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47</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手机用户旅行者画像</w:t>
                  </w:r>
                  <w:r>
                    <w:rPr>
                      <w:rFonts w:ascii="宋体" w:hAnsi="宋体" w:cs="宋体" w:eastAsia="宋体"/>
                      <w:sz w:val="18"/>
                    </w:rPr>
                    <w:t>-夜游情况</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节假日</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假日最后一天的</w:t>
                  </w:r>
                  <w:r>
                    <w:rPr>
                      <w:rFonts w:ascii="宋体" w:hAnsi="宋体" w:cs="宋体" w:eastAsia="宋体"/>
                      <w:sz w:val="18"/>
                    </w:rPr>
                    <w:t>8:00 预测;假日后第一个工作日17:00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7个节假日来陕手机用户旅行者夜游情况（去重、汇总）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48</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全省平均游览城市数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节假日</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假日最后一天的</w:t>
                  </w:r>
                  <w:r>
                    <w:rPr>
                      <w:rFonts w:ascii="宋体" w:hAnsi="宋体" w:cs="宋体" w:eastAsia="宋体"/>
                      <w:sz w:val="18"/>
                    </w:rPr>
                    <w:t>8:00 预测;假日后第一个工作日17:00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7个节假日的全省手机用户旅行者出游平均游览的城市数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49</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数据接口运维</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日常、节假日</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数据、接口日常运维及数据算法研究完善</w:t>
                  </w:r>
                </w:p>
              </w:tc>
            </w:tr>
          </w:tbl>
          <w:p>
            <w:pPr>
              <w:pStyle w:val="null3"/>
              <w:spacing w:before="60" w:after="60"/>
              <w:jc w:val="both"/>
              <w:outlineLvl w:val="0"/>
            </w:pPr>
            <w:r>
              <w:rPr>
                <w:rFonts w:ascii="宋体" w:hAnsi="宋体" w:cs="宋体" w:eastAsia="宋体"/>
                <w:b/>
                <w:sz w:val="18"/>
              </w:rPr>
              <w:t>三、数据服务方式</w:t>
            </w:r>
          </w:p>
          <w:p>
            <w:pPr>
              <w:pStyle w:val="null3"/>
              <w:spacing w:before="60" w:after="60"/>
              <w:jc w:val="both"/>
              <w:outlineLvl w:val="0"/>
            </w:pPr>
            <w:r>
              <w:rPr>
                <w:rFonts w:ascii="宋体" w:hAnsi="宋体" w:cs="宋体" w:eastAsia="宋体"/>
                <w:b/>
                <w:sz w:val="18"/>
              </w:rPr>
              <w:t>基于</w:t>
            </w:r>
            <w:r>
              <w:rPr>
                <w:rFonts w:ascii="宋体" w:hAnsi="宋体" w:cs="宋体" w:eastAsia="宋体"/>
                <w:b/>
                <w:sz w:val="18"/>
              </w:rPr>
              <w:t>http、web services等通用数据交换接口，采用JSON作为数据交换格式开发旅游数据接口，所用数据实现与陕西省文旅产业运行监测与应急指挥平台无缝对接。此外，每周、每月、每季度、每半年、全年、节假日数据还应以excel表格形式提供。</w:t>
            </w:r>
            <w:r>
              <w:rPr>
                <w:rFonts w:ascii="宋体" w:hAnsi="宋体" w:cs="宋体" w:eastAsia="宋体"/>
                <w:b/>
                <w:sz w:val="18"/>
              </w:rPr>
              <w:t>同时，数据服务供应商应在甲方指导下提升完善相应数据算法，提升数据服务质量。</w:t>
            </w:r>
          </w:p>
          <w:p>
            <w:pPr>
              <w:pStyle w:val="null3"/>
              <w:spacing w:before="60" w:after="60"/>
              <w:jc w:val="both"/>
              <w:outlineLvl w:val="0"/>
            </w:pPr>
            <w:r>
              <w:rPr>
                <w:rFonts w:ascii="宋体" w:hAnsi="宋体" w:cs="宋体" w:eastAsia="宋体"/>
                <w:b/>
                <w:sz w:val="18"/>
              </w:rPr>
              <w:t>四、售后服务要求</w:t>
            </w:r>
          </w:p>
          <w:p>
            <w:pPr>
              <w:pStyle w:val="null3"/>
              <w:spacing w:before="60" w:after="60"/>
              <w:jc w:val="both"/>
              <w:outlineLvl w:val="0"/>
            </w:pPr>
            <w:r>
              <w:rPr>
                <w:rFonts w:ascii="宋体" w:hAnsi="宋体" w:cs="宋体" w:eastAsia="宋体"/>
                <w:b/>
                <w:sz w:val="18"/>
              </w:rPr>
              <w:t>1.为本项目配备日常维护工程师、专属客户经理，提供专项服务。</w:t>
            </w:r>
          </w:p>
          <w:p>
            <w:pPr>
              <w:pStyle w:val="null3"/>
              <w:spacing w:before="60" w:after="60"/>
              <w:jc w:val="both"/>
              <w:outlineLvl w:val="0"/>
            </w:pPr>
            <w:r>
              <w:rPr>
                <w:rFonts w:ascii="宋体" w:hAnsi="宋体" w:cs="宋体" w:eastAsia="宋体"/>
                <w:b/>
                <w:sz w:val="18"/>
              </w:rPr>
              <w:t>2.如数据服务工程中，应及时解决数据服务中遇到的问题，提供快速、优质响应服务，确保15分钟内给予故障申告响应回复，30分钟内解决。</w:t>
            </w:r>
          </w:p>
          <w:p>
            <w:pPr>
              <w:pStyle w:val="null3"/>
              <w:spacing w:before="60" w:after="60"/>
              <w:jc w:val="both"/>
              <w:outlineLvl w:val="0"/>
            </w:pPr>
            <w:r>
              <w:rPr>
                <w:rFonts w:ascii="宋体" w:hAnsi="宋体" w:cs="宋体" w:eastAsia="宋体"/>
                <w:b/>
                <w:sz w:val="18"/>
              </w:rPr>
              <w:t>3.提供7×24 的热线服务。</w:t>
            </w:r>
          </w:p>
        </w:tc>
      </w:tr>
    </w:tbl>
    <w:p>
      <w:pPr>
        <w:pStyle w:val="null3"/>
        <w:outlineLvl w:val="2"/>
      </w:pPr>
      <w:r>
        <w:rPr>
          <w:b/>
          <w:sz w:val="28"/>
        </w:rPr>
        <w:t>3.2.3人员配置要求</w:t>
      </w:r>
    </w:p>
    <w:p>
      <w:pPr>
        <w:pStyle w:val="null3"/>
      </w:pPr>
      <w:r>
        <w:rPr/>
        <w:t>采购包1：</w:t>
      </w:r>
    </w:p>
    <w:p>
      <w:pPr>
        <w:pStyle w:val="null3"/>
      </w:pPr>
      <w:r>
        <w:rPr/>
        <w:t>详见技术参数与性能指标</w:t>
      </w:r>
    </w:p>
    <w:p>
      <w:pPr>
        <w:pStyle w:val="null3"/>
        <w:outlineLvl w:val="2"/>
      </w:pPr>
      <w:r>
        <w:rPr>
          <w:b/>
          <w:sz w:val="28"/>
        </w:rPr>
        <w:t>3.2.4设施设备要求</w:t>
      </w:r>
    </w:p>
    <w:p>
      <w:pPr>
        <w:pStyle w:val="null3"/>
      </w:pPr>
      <w:r>
        <w:rPr/>
        <w:t>采购包1：</w:t>
      </w:r>
    </w:p>
    <w:p>
      <w:pPr>
        <w:pStyle w:val="null3"/>
      </w:pPr>
      <w:r>
        <w:rPr/>
        <w:t>详见技术参数与性能指标</w:t>
      </w:r>
    </w:p>
    <w:p>
      <w:pPr>
        <w:pStyle w:val="null3"/>
        <w:outlineLvl w:val="2"/>
      </w:pPr>
      <w:r>
        <w:rPr>
          <w:b/>
          <w:sz w:val="28"/>
        </w:rPr>
        <w:t>3.2.5其他要求</w:t>
      </w:r>
    </w:p>
    <w:p>
      <w:pPr>
        <w:pStyle w:val="null3"/>
      </w:pPr>
      <w:r>
        <w:rPr/>
        <w:t>采购包1：</w:t>
      </w:r>
    </w:p>
    <w:p>
      <w:pPr>
        <w:pStyle w:val="null3"/>
      </w:pPr>
      <w:r>
        <w:rPr/>
        <w:t>详见技术参数与性能指标</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服务期一年：2024年06月10日至2025年06月09日。（包括节假日）</w:t>
      </w:r>
    </w:p>
    <w:p>
      <w:pPr>
        <w:pStyle w:val="null3"/>
        <w:outlineLvl w:val="3"/>
      </w:pPr>
      <w:r>
        <w:rPr>
          <w:b/>
          <w:sz w:val="24"/>
        </w:rPr>
        <w:t>3.3.2服务地点</w:t>
      </w:r>
    </w:p>
    <w:p>
      <w:pPr>
        <w:pStyle w:val="null3"/>
      </w:pPr>
      <w:r>
        <w:rPr/>
        <w:t>采购包1：</w:t>
      </w:r>
    </w:p>
    <w:p>
      <w:pPr>
        <w:pStyle w:val="null3"/>
      </w:pPr>
      <w:r>
        <w:rPr/>
        <w:t>陕西省文化和旅游数据中心指定地点</w:t>
      </w:r>
    </w:p>
    <w:p>
      <w:pPr>
        <w:pStyle w:val="null3"/>
        <w:outlineLvl w:val="3"/>
      </w:pPr>
      <w:r>
        <w:rPr>
          <w:b/>
          <w:sz w:val="24"/>
        </w:rPr>
        <w:t>3.3.3考核（验收）标准和方法</w:t>
      </w:r>
    </w:p>
    <w:p>
      <w:pPr>
        <w:pStyle w:val="null3"/>
      </w:pPr>
      <w:r>
        <w:rPr/>
        <w:t>采购包1：</w:t>
      </w:r>
    </w:p>
    <w:p>
      <w:pPr>
        <w:pStyle w:val="null3"/>
      </w:pPr>
      <w:r>
        <w:rPr/>
        <w:t>根据磋商文件、磋商响应文件、合同及国家相关标准</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w:t>
      </w:r>
      <w:r>
        <w:rPr/>
        <w:t xml:space="preserve"> ，达到付款条件起 </w:t>
      </w:r>
      <w:r>
        <w:rPr/>
        <w:t>20</w:t>
      </w:r>
      <w:r>
        <w:rPr/>
        <w:t xml:space="preserve"> 日内，支付合同总金额的 </w:t>
      </w:r>
      <w:r>
        <w:rPr/>
        <w:t>80.00</w:t>
      </w:r>
      <w:r>
        <w:rPr/>
        <w:t>%。</w:t>
      </w:r>
    </w:p>
    <w:p>
      <w:pPr>
        <w:pStyle w:val="null3"/>
      </w:pPr>
      <w:r>
        <w:rPr/>
        <w:t>采购包1：</w:t>
      </w:r>
      <w:r>
        <w:rPr/>
        <w:t xml:space="preserve"> 付款条件说明： </w:t>
      </w:r>
      <w:r>
        <w:rPr/>
        <w:t>合同到期验收合格后</w:t>
      </w:r>
      <w:r>
        <w:rPr/>
        <w:t xml:space="preserve"> ，达到付款条件起 </w:t>
      </w:r>
      <w:r>
        <w:rPr/>
        <w:t>20</w:t>
      </w:r>
      <w:r>
        <w:rPr/>
        <w:t xml:space="preserve"> 日内，支付合同总金额的 </w:t>
      </w:r>
      <w:r>
        <w:rPr/>
        <w:t>20.00</w:t>
      </w:r>
      <w:r>
        <w:rPr/>
        <w:t>%。</w:t>
      </w:r>
    </w:p>
    <w:p>
      <w:pPr>
        <w:pStyle w:val="null3"/>
        <w:outlineLvl w:val="3"/>
      </w:pPr>
      <w:r>
        <w:rPr>
          <w:b/>
          <w:sz w:val="24"/>
        </w:rPr>
        <w:t>3.3.6违约责任及解决争议的方法</w:t>
      </w:r>
    </w:p>
    <w:p>
      <w:pPr>
        <w:pStyle w:val="null3"/>
      </w:pPr>
      <w:r>
        <w:rPr/>
        <w:t>采购包1：</w:t>
      </w:r>
    </w:p>
    <w:p>
      <w:pPr>
        <w:pStyle w:val="null3"/>
      </w:pPr>
      <w:r>
        <w:rPr/>
        <w:t>按照合同约定执行</w:t>
      </w:r>
    </w:p>
    <w:p>
      <w:pPr>
        <w:pStyle w:val="null3"/>
        <w:outlineLvl w:val="2"/>
      </w:pPr>
      <w:r>
        <w:rPr>
          <w:b/>
          <w:sz w:val="28"/>
        </w:rPr>
        <w:t>3.4其他要求</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线下递交文件时间：详见本项目磋商公告提交响应文件截止时间；线下递交文件地点：陕西省西安市碑林区红缨路南口6号均明拍卖广场3层 。2、磋商保证金注意事项：（1）磋商保证金须从供应商户名支付，如从个人户名或非供应商户名支付，将被拒绝，视为自动放弃投标权利（该个人是供应商的情形除外）；以保函形式交纳磋商保证金的，供应商应在磋商截止时间前将保函扫描成清晰的PDF文件，发送至邮箱2559647209@qq.com（邮件命名：项目编号），并将保函原件单独递交至代理机构财务；供应商应在响应文件中附保函复印件。保函必须由具有开具投标保函资格的单位开具；若供应商违约，开具保函单位承担连带责任； （2）磋商保证金的提交金额、时间不满足磋商文件要求的，响应无效； （3）磋商保证金以采购代理机构到账凭证为准，供应商无需更换交纳凭证，由采购代理机构统一提供。 （4）未按指定账户提交的，我公司将退回，供应商须在文件递交截止时间前按照指定账户再次提交。</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法人提供自2023年4月1日以来至少一个月的纳税证明或完税证明，纳税证明或完税证明上应有代收机构或税务机关的公章或业务专用章；其他组织和自然人提供自2023年4月1日以来至少一个月缴纳税收的凭据；依法免税的或者依法不需缴税的供应商应提供相关文件证明 ③提供自2023年4月1日以来至少一个月已缴纳的社会保障资金的证明（社会保障资金缴存单据或社保机构开具的社会保险参保缴费情况证明等）；依法不需要缴纳社会保障资金的投标人应提供相关文件证明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⑤参加本次政府采购活动前3年内在经营活动中没有重大违纪，以及未被列入失信被执行人、重大税收违法案件当事人名单、政府采购严重违法失信行为记录名单的书面声明。注：1、 以上②- ③项，提供“陕西省政府采购供应商信用承诺书”的，可不再提供其他证明文件。2、供应商需在项目电子化交易系统中按要求上传相应证明文件并进行电子签章。</w:t>
            </w:r>
          </w:p>
        </w:tc>
        <w:tc>
          <w:tcPr>
            <w:tcW w:type="dxa" w:w="1661"/>
          </w:tcPr>
          <w:p>
            <w:pPr>
              <w:pStyle w:val="null3"/>
            </w:pPr>
            <w:r>
              <w:rPr/>
              <w:t>3资格证明文件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2022年度或2023年度审计报告（成立时间至提交投标文件截止时间不足一年的可提供成立后任意时段的资产负债表），或提交自2023年10月1日以来银行出具的资信证明，或信用担保机构出具的投标担保函（以上三种形式的资料提供任何一种即可）；其他组织和自然人提供银行出具的资信证明或财务报表 。注：1、提供“陕西省政府采购供应商信用承诺书”的，可不再提供其他证明文件。2、供应商需在项目电子化交易系统中按要求上传相应证明文件并进行电子签章。</w:t>
            </w:r>
          </w:p>
        </w:tc>
        <w:tc>
          <w:tcPr>
            <w:tcW w:type="dxa" w:w="1661"/>
          </w:tcPr>
          <w:p>
            <w:pPr>
              <w:pStyle w:val="null3"/>
            </w:pPr>
            <w:r>
              <w:rPr/>
              <w:t>3资格证明文件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3资格证明文件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法定代表人授权委托书：法定代表人参加磋商的，须出示身份证；法定代表人授权他人参加磋商的，须提供法定代表人授权委托书及被授权人身份证</w:t>
            </w:r>
          </w:p>
        </w:tc>
        <w:tc>
          <w:tcPr>
            <w:tcW w:type="dxa" w:w="1661"/>
          </w:tcPr>
          <w:p>
            <w:pPr>
              <w:pStyle w:val="null3"/>
            </w:pPr>
            <w:r>
              <w:rPr/>
              <w:t>3资格证明文件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其他内容</w:t>
            </w:r>
          </w:p>
        </w:tc>
        <w:tc>
          <w:tcPr>
            <w:tcW w:type="dxa" w:w="3322"/>
          </w:tcPr>
          <w:p>
            <w:pPr>
              <w:pStyle w:val="null3"/>
            </w:pPr>
            <w:r>
              <w:rPr/>
              <w:t>有下列情形之一的，应在符合性审查时按照无效磋商处理： (1)磋商响应文件未按照磋商文件规定要求签署、盖章的； (2)不满足本磋商文件中“服务期限、服务地点、采购资金的支付方式及约定”的实质性条款要求的； (3)文件有效期不足的或无有效期的； (4)报价超过磋商文件中规定的预算金额或最高限价的； (5)法律、法规和磋商文件规定的其他无效情形。</w:t>
            </w:r>
          </w:p>
        </w:tc>
        <w:tc>
          <w:tcPr>
            <w:tcW w:type="dxa" w:w="1661"/>
          </w:tcPr>
          <w:p>
            <w:pPr>
              <w:pStyle w:val="null3"/>
            </w:pPr>
            <w:r>
              <w:rPr/>
              <w:t>响应文件封面 1分项价格表 5服务响应偏离表 标的清单 报价表 4承诺书 2商务部分偏离表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项目需求理解</w:t>
            </w:r>
          </w:p>
        </w:tc>
        <w:tc>
          <w:tcPr>
            <w:tcW w:type="dxa" w:w="2492"/>
          </w:tcPr>
          <w:p>
            <w:pPr>
              <w:pStyle w:val="null3"/>
            </w:pPr>
            <w:r>
              <w:rPr/>
              <w:t>供应商围绕本项目的服务目标、服务内容、服务范围，阐述本项目整体服务需求理解。 满足磋商文件要求，无瑕疵：6分； 方案内容存在1处瑕疵：4分； 方案内容存在2处瑕疵：2分；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6项目需求理解</w:t>
            </w:r>
          </w:p>
        </w:tc>
      </w:tr>
      <w:tr>
        <w:tc>
          <w:tcPr>
            <w:tcW w:type="dxa" w:w="831"/>
            <w:vMerge/>
          </w:tcPr>
          <w:p/>
        </w:tc>
        <w:tc>
          <w:tcPr>
            <w:tcW w:type="dxa" w:w="1661"/>
          </w:tcPr>
          <w:p>
            <w:pPr>
              <w:pStyle w:val="null3"/>
            </w:pPr>
            <w:r>
              <w:rPr/>
              <w:t>算法模型</w:t>
            </w:r>
          </w:p>
        </w:tc>
        <w:tc>
          <w:tcPr>
            <w:tcW w:type="dxa" w:w="2492"/>
          </w:tcPr>
          <w:p>
            <w:pPr>
              <w:pStyle w:val="null3"/>
            </w:pPr>
            <w:r>
              <w:rPr/>
              <w:t>供应商需对旅游统计调查制度有深刻理解，服务内容所涉及算法模型设计合理、逻辑清晰，符合假日旅游统计调查制度相关的基本概念和原则。 满足磋商文件要求，无瑕疵：15分； 方案内容存在1处瑕疵：11分； 方案内容存在2处瑕疵：7分； 方案内容存在3处瑕疵：3分； 未提供方案或内容存在4处及以上瑕疵：0分。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7算法模型</w:t>
            </w:r>
          </w:p>
        </w:tc>
      </w:tr>
      <w:tr>
        <w:tc>
          <w:tcPr>
            <w:tcW w:type="dxa" w:w="831"/>
            <w:vMerge/>
          </w:tcPr>
          <w:p/>
        </w:tc>
        <w:tc>
          <w:tcPr>
            <w:tcW w:type="dxa" w:w="1661"/>
          </w:tcPr>
          <w:p>
            <w:pPr>
              <w:pStyle w:val="null3"/>
            </w:pPr>
            <w:r>
              <w:rPr/>
              <w:t>设计方案</w:t>
            </w:r>
          </w:p>
        </w:tc>
        <w:tc>
          <w:tcPr>
            <w:tcW w:type="dxa" w:w="2492"/>
          </w:tcPr>
          <w:p>
            <w:pPr>
              <w:pStyle w:val="null3"/>
            </w:pPr>
            <w:r>
              <w:rPr/>
              <w:t>供应商针对数据服务内容统计要求、更新频率以及时间、数据生成以及展示等方面，围绕设计思路、设计内容、数据维度展示等方面提供整体设计方案。设计方案层次清楚，结构合理，功能直观。 满足磋商文件要求，无瑕疵：10分； 方案内容存在1处瑕疵：7分； 方案内容存在2处瑕疵：4分；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8设计方案</w:t>
            </w:r>
          </w:p>
        </w:tc>
      </w:tr>
      <w:tr>
        <w:tc>
          <w:tcPr>
            <w:tcW w:type="dxa" w:w="831"/>
            <w:vMerge/>
          </w:tcPr>
          <w:p/>
        </w:tc>
        <w:tc>
          <w:tcPr>
            <w:tcW w:type="dxa" w:w="1661"/>
          </w:tcPr>
          <w:p>
            <w:pPr>
              <w:pStyle w:val="null3"/>
            </w:pPr>
            <w:r>
              <w:rPr/>
              <w:t>数据对接方案</w:t>
            </w:r>
          </w:p>
        </w:tc>
        <w:tc>
          <w:tcPr>
            <w:tcW w:type="dxa" w:w="2492"/>
          </w:tcPr>
          <w:p>
            <w:pPr>
              <w:pStyle w:val="null3"/>
            </w:pPr>
            <w:r>
              <w:rPr/>
              <w:t>供应商需基于采购需求的数据服务方式提供切实可行的数据对接方案，实现与陕西省文旅产业运行监测与应急指挥平台无缝对接。 满足磋商文件要求，无瑕疵：6分； 方案内容存在1处瑕疵：4分； 方案内容存在2处瑕疵：2分；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9数据对接方案</w:t>
            </w:r>
          </w:p>
        </w:tc>
      </w:tr>
      <w:tr>
        <w:tc>
          <w:tcPr>
            <w:tcW w:type="dxa" w:w="831"/>
            <w:vMerge/>
          </w:tcPr>
          <w:p/>
        </w:tc>
        <w:tc>
          <w:tcPr>
            <w:tcW w:type="dxa" w:w="1661"/>
          </w:tcPr>
          <w:p>
            <w:pPr>
              <w:pStyle w:val="null3"/>
            </w:pPr>
            <w:r>
              <w:rPr/>
              <w:t>保障措施</w:t>
            </w:r>
          </w:p>
        </w:tc>
        <w:tc>
          <w:tcPr>
            <w:tcW w:type="dxa" w:w="2492"/>
          </w:tcPr>
          <w:p>
            <w:pPr>
              <w:pStyle w:val="null3"/>
            </w:pPr>
            <w:r>
              <w:rPr/>
              <w:t>供应商针对本项目数据的隐私保护、系统性能的稳定、数据质量监控提供具体可行的保障措施，保证项目运行平稳高效、安全可靠。 满足磋商文件要求，无瑕疵：10分； 方案内容存在1处瑕疵：7分； 方案内容存在2处瑕疵：4分；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10保障措施</w:t>
            </w:r>
          </w:p>
        </w:tc>
      </w:tr>
      <w:tr>
        <w:tc>
          <w:tcPr>
            <w:tcW w:type="dxa" w:w="831"/>
            <w:vMerge/>
          </w:tcPr>
          <w:p/>
        </w:tc>
        <w:tc>
          <w:tcPr>
            <w:tcW w:type="dxa" w:w="1661"/>
          </w:tcPr>
          <w:p>
            <w:pPr>
              <w:pStyle w:val="null3"/>
            </w:pPr>
            <w:r>
              <w:rPr/>
              <w:t>组织实施方案</w:t>
            </w:r>
          </w:p>
        </w:tc>
        <w:tc>
          <w:tcPr>
            <w:tcW w:type="dxa" w:w="2492"/>
          </w:tcPr>
          <w:p>
            <w:pPr>
              <w:pStyle w:val="null3"/>
            </w:pPr>
            <w:r>
              <w:rPr/>
              <w:t>供应商针对本项目提供整体实施方案，包括项目组织管理、进度监控、项目风险管理、应急响应措施等方面。 满足磋商文件要求，无瑕疵：9分； 方案内容存在1处瑕疵：6分； 方案内容存在2处瑕疵：3分；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11组织实施方案</w:t>
            </w:r>
          </w:p>
        </w:tc>
      </w:tr>
      <w:tr>
        <w:tc>
          <w:tcPr>
            <w:tcW w:type="dxa" w:w="831"/>
            <w:vMerge/>
          </w:tcPr>
          <w:p/>
        </w:tc>
        <w:tc>
          <w:tcPr>
            <w:tcW w:type="dxa" w:w="1661"/>
          </w:tcPr>
          <w:p>
            <w:pPr>
              <w:pStyle w:val="null3"/>
            </w:pPr>
            <w:r>
              <w:rPr/>
              <w:t>数据报送方案</w:t>
            </w:r>
          </w:p>
        </w:tc>
        <w:tc>
          <w:tcPr>
            <w:tcW w:type="dxa" w:w="2492"/>
          </w:tcPr>
          <w:p>
            <w:pPr>
              <w:pStyle w:val="null3"/>
            </w:pPr>
            <w:r>
              <w:rPr/>
              <w:t>供应商针对本项目实施过程提供阶段性的数据成果报送，数据报送应符合采购需求并确保数据的完整性、准确性、清晰度。 满足磋商文件要求，无瑕疵：6分； 方案内容存在1处瑕疵：4分； 方案内容存在2处瑕疵：2分；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12数据报送方案</w:t>
            </w:r>
          </w:p>
        </w:tc>
      </w:tr>
      <w:tr>
        <w:tc>
          <w:tcPr>
            <w:tcW w:type="dxa" w:w="831"/>
            <w:vMerge/>
          </w:tcPr>
          <w:p/>
        </w:tc>
        <w:tc>
          <w:tcPr>
            <w:tcW w:type="dxa" w:w="1661"/>
          </w:tcPr>
          <w:p>
            <w:pPr>
              <w:pStyle w:val="null3"/>
            </w:pPr>
            <w:r>
              <w:rPr/>
              <w:t>数据合法来源证明文件</w:t>
            </w:r>
          </w:p>
        </w:tc>
        <w:tc>
          <w:tcPr>
            <w:tcW w:type="dxa" w:w="2492"/>
          </w:tcPr>
          <w:p>
            <w:pPr>
              <w:pStyle w:val="null3"/>
            </w:pPr>
            <w:r>
              <w:rPr/>
              <w:t>提供运营商原始信令数据合法来源证明文件，得4分，没有不得分。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13数据合法来源证明文件</w:t>
            </w:r>
          </w:p>
        </w:tc>
      </w:tr>
      <w:tr>
        <w:tc>
          <w:tcPr>
            <w:tcW w:type="dxa" w:w="831"/>
            <w:vMerge/>
          </w:tcPr>
          <w:p/>
        </w:tc>
        <w:tc>
          <w:tcPr>
            <w:tcW w:type="dxa" w:w="1661"/>
          </w:tcPr>
          <w:p>
            <w:pPr>
              <w:pStyle w:val="null3"/>
            </w:pPr>
            <w:r>
              <w:rPr/>
              <w:t>业绩</w:t>
            </w:r>
          </w:p>
        </w:tc>
        <w:tc>
          <w:tcPr>
            <w:tcW w:type="dxa" w:w="2492"/>
          </w:tcPr>
          <w:p>
            <w:pPr>
              <w:pStyle w:val="null3"/>
            </w:pPr>
            <w:r>
              <w:rPr/>
              <w:t>提供供应商 2021年1 月1 日至今同类项目合同（以合同签订日期为准），每提供一份有效合同计1分，总计 5分。 未提供合同或合同不符合要求不计分。 注：合同复印件至少包括合同封面、甲乙双方名称及盖章、服务内容。否则不予认定。</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14业绩</w:t>
            </w:r>
          </w:p>
        </w:tc>
      </w:tr>
      <w:tr>
        <w:tc>
          <w:tcPr>
            <w:tcW w:type="dxa" w:w="831"/>
            <w:vMerge/>
          </w:tcPr>
          <w:p/>
        </w:tc>
        <w:tc>
          <w:tcPr>
            <w:tcW w:type="dxa" w:w="1661"/>
          </w:tcPr>
          <w:p>
            <w:pPr>
              <w:pStyle w:val="null3"/>
            </w:pPr>
            <w:r>
              <w:rPr/>
              <w:t>项目负责人</w:t>
            </w:r>
          </w:p>
        </w:tc>
        <w:tc>
          <w:tcPr>
            <w:tcW w:type="dxa" w:w="2492"/>
          </w:tcPr>
          <w:p>
            <w:pPr>
              <w:pStyle w:val="null3"/>
            </w:pPr>
            <w:r>
              <w:rPr/>
              <w:t>项目负责人具有信息系统项目管理师(高级)，同时具有3年以上行业经验得3分（提供相关资格证书复印件） 注：需提供项目负责人近半年内任意1个月在本单位缴纳的社保证明，否则不予认定。</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15项目负责人</w:t>
            </w:r>
          </w:p>
        </w:tc>
      </w:tr>
      <w:tr>
        <w:tc>
          <w:tcPr>
            <w:tcW w:type="dxa" w:w="831"/>
            <w:vMerge/>
          </w:tcPr>
          <w:p/>
        </w:tc>
        <w:tc>
          <w:tcPr>
            <w:tcW w:type="dxa" w:w="1661"/>
          </w:tcPr>
          <w:p>
            <w:pPr>
              <w:pStyle w:val="null3"/>
            </w:pPr>
            <w:r>
              <w:rPr/>
              <w:t>专家团队</w:t>
            </w:r>
          </w:p>
        </w:tc>
        <w:tc>
          <w:tcPr>
            <w:tcW w:type="dxa" w:w="2492"/>
          </w:tcPr>
          <w:p>
            <w:pPr>
              <w:pStyle w:val="null3"/>
            </w:pPr>
            <w:r>
              <w:rPr/>
              <w:t>供应商具有信息化规划的专家团队不少于4人，提供专家资格证书（教授或高工）、身份证复印件等证明材料，每提供1个得1分，满分4分。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16专家团队</w:t>
            </w:r>
          </w:p>
        </w:tc>
      </w:tr>
      <w:tr>
        <w:tc>
          <w:tcPr>
            <w:tcW w:type="dxa" w:w="831"/>
            <w:vMerge/>
          </w:tcPr>
          <w:p/>
        </w:tc>
        <w:tc>
          <w:tcPr>
            <w:tcW w:type="dxa" w:w="1661"/>
          </w:tcPr>
          <w:p>
            <w:pPr>
              <w:pStyle w:val="null3"/>
            </w:pPr>
            <w:r>
              <w:rPr/>
              <w:t>项目团队</w:t>
            </w:r>
          </w:p>
        </w:tc>
        <w:tc>
          <w:tcPr>
            <w:tcW w:type="dxa" w:w="2492"/>
          </w:tcPr>
          <w:p>
            <w:pPr>
              <w:pStyle w:val="null3"/>
            </w:pPr>
            <w:r>
              <w:rPr/>
              <w:t>1、提供项目团队人员的软件开发工程师及软件测评工程师证书，每提供一个得1分，满分2分；提供相关资格证书复印件。 2、提供项目团队的人员配备、职责划分。人员安排合理，职责划分明确计3分；人员安排基本合理计2分；人员计划安排不当、职责划分模糊计1分。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17项目团队</w:t>
            </w:r>
          </w:p>
        </w:tc>
      </w:tr>
      <w:tr>
        <w:tc>
          <w:tcPr>
            <w:tcW w:type="dxa" w:w="831"/>
            <w:vMerge/>
          </w:tcPr>
          <w:p/>
        </w:tc>
        <w:tc>
          <w:tcPr>
            <w:tcW w:type="dxa" w:w="1661"/>
          </w:tcPr>
          <w:p>
            <w:pPr>
              <w:pStyle w:val="null3"/>
            </w:pPr>
            <w:r>
              <w:rPr/>
              <w:t>售后维护</w:t>
            </w:r>
          </w:p>
        </w:tc>
        <w:tc>
          <w:tcPr>
            <w:tcW w:type="dxa" w:w="2492"/>
          </w:tcPr>
          <w:p>
            <w:pPr>
              <w:pStyle w:val="null3"/>
            </w:pPr>
            <w:r>
              <w:rPr/>
              <w:t>针对项目有完整、可行、合理的售后服务管理体系，明确售后服务专项人员、用户问题反馈渠道及流程、故障响应时间、到场时间，各类问题解决时间。 满足磋商文件要求，无瑕疵：5分； 方案内容存在1处瑕疵：3分； 方案内容存在2处瑕疵：1分；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18售后维护</w:t>
            </w:r>
          </w:p>
        </w:tc>
      </w:tr>
      <w:tr>
        <w:tc>
          <w:tcPr>
            <w:tcW w:type="dxa" w:w="831"/>
            <w:vMerge/>
          </w:tcPr>
          <w:p/>
        </w:tc>
        <w:tc>
          <w:tcPr>
            <w:tcW w:type="dxa" w:w="1661"/>
          </w:tcPr>
          <w:p>
            <w:pPr>
              <w:pStyle w:val="null3"/>
            </w:pPr>
            <w:r>
              <w:rPr/>
              <w:t>增值服务</w:t>
            </w:r>
          </w:p>
        </w:tc>
        <w:tc>
          <w:tcPr>
            <w:tcW w:type="dxa" w:w="2492"/>
          </w:tcPr>
          <w:p>
            <w:pPr>
              <w:pStyle w:val="null3"/>
            </w:pPr>
            <w:r>
              <w:rPr/>
              <w:t>每提供一项可落地的，对采购项目有实质性提升的增值服务加1分，最高2分。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19增值服务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价格分统一采用低价优先法计算，即满足磋商文件要求且磋商价格最低的磋商报价为评标基准价，其价格分为满分。其他供应商的价格分统一按照下列公式计算： 价格分=(评标基准价／磋商报价)×报价分值 注：计算分数时四舍五入取小数点后两位；</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详见附件：1分项价格表</w:t>
      </w:r>
    </w:p>
    <w:p>
      <w:pPr>
        <w:pStyle w:val="null3"/>
        <w:ind w:firstLine="960"/>
      </w:pPr>
      <w:r>
        <w:rPr/>
        <w:t>详见附件：2商务部分偏离表</w:t>
      </w:r>
    </w:p>
    <w:p>
      <w:pPr>
        <w:pStyle w:val="null3"/>
        <w:ind w:firstLine="960"/>
      </w:pPr>
      <w:r>
        <w:rPr/>
        <w:t>详见附件：3资格证明文件</w:t>
      </w:r>
    </w:p>
    <w:p>
      <w:pPr>
        <w:pStyle w:val="null3"/>
        <w:ind w:firstLine="960"/>
      </w:pPr>
      <w:r>
        <w:rPr/>
        <w:t>详见附件：4承诺书</w:t>
      </w:r>
    </w:p>
    <w:p>
      <w:pPr>
        <w:pStyle w:val="null3"/>
        <w:ind w:firstLine="960"/>
      </w:pPr>
      <w:r>
        <w:rPr/>
        <w:t>详见附件：5服务响应偏离表</w:t>
      </w:r>
    </w:p>
    <w:p>
      <w:pPr>
        <w:pStyle w:val="null3"/>
        <w:ind w:firstLine="960"/>
      </w:pPr>
      <w:r>
        <w:rPr/>
        <w:t>详见附件：6项目需求理解</w:t>
      </w:r>
    </w:p>
    <w:p>
      <w:pPr>
        <w:pStyle w:val="null3"/>
        <w:ind w:firstLine="960"/>
      </w:pPr>
      <w:r>
        <w:rPr/>
        <w:t>详见附件：7算法模型</w:t>
      </w:r>
    </w:p>
    <w:p>
      <w:pPr>
        <w:pStyle w:val="null3"/>
        <w:ind w:firstLine="960"/>
      </w:pPr>
      <w:r>
        <w:rPr/>
        <w:t>详见附件：8设计方案</w:t>
      </w:r>
    </w:p>
    <w:p>
      <w:pPr>
        <w:pStyle w:val="null3"/>
        <w:ind w:firstLine="960"/>
      </w:pPr>
      <w:r>
        <w:rPr/>
        <w:t>详见附件：9数据对接方案</w:t>
      </w:r>
    </w:p>
    <w:p>
      <w:pPr>
        <w:pStyle w:val="null3"/>
        <w:ind w:firstLine="960"/>
      </w:pPr>
      <w:r>
        <w:rPr/>
        <w:t>详见附件：10保障措施</w:t>
      </w:r>
    </w:p>
    <w:p>
      <w:pPr>
        <w:pStyle w:val="null3"/>
        <w:ind w:firstLine="960"/>
      </w:pPr>
      <w:r>
        <w:rPr/>
        <w:t>详见附件：11组织实施方案</w:t>
      </w:r>
    </w:p>
    <w:p>
      <w:pPr>
        <w:pStyle w:val="null3"/>
        <w:ind w:firstLine="960"/>
      </w:pPr>
      <w:r>
        <w:rPr/>
        <w:t>详见附件：12数据报送方案</w:t>
      </w:r>
    </w:p>
    <w:p>
      <w:pPr>
        <w:pStyle w:val="null3"/>
        <w:ind w:firstLine="960"/>
      </w:pPr>
      <w:r>
        <w:rPr/>
        <w:t>详见附件：13数据合法来源证明文件</w:t>
      </w:r>
    </w:p>
    <w:p>
      <w:pPr>
        <w:pStyle w:val="null3"/>
        <w:ind w:firstLine="960"/>
      </w:pPr>
      <w:r>
        <w:rPr/>
        <w:t>详见附件：14业绩</w:t>
      </w:r>
    </w:p>
    <w:p>
      <w:pPr>
        <w:pStyle w:val="null3"/>
        <w:ind w:firstLine="960"/>
      </w:pPr>
      <w:r>
        <w:rPr/>
        <w:t>详见附件：15项目负责人</w:t>
      </w:r>
    </w:p>
    <w:p>
      <w:pPr>
        <w:pStyle w:val="null3"/>
        <w:ind w:firstLine="960"/>
      </w:pPr>
      <w:r>
        <w:rPr/>
        <w:t>详见附件：16专家团队</w:t>
      </w:r>
    </w:p>
    <w:p>
      <w:pPr>
        <w:pStyle w:val="null3"/>
        <w:ind w:firstLine="960"/>
      </w:pPr>
      <w:r>
        <w:rPr/>
        <w:t>详见附件：17项目团队</w:t>
      </w:r>
    </w:p>
    <w:p>
      <w:pPr>
        <w:pStyle w:val="null3"/>
        <w:ind w:firstLine="960"/>
      </w:pPr>
      <w:r>
        <w:rPr/>
        <w:t>详见附件：18售后维护</w:t>
      </w:r>
    </w:p>
    <w:p>
      <w:pPr>
        <w:pStyle w:val="null3"/>
        <w:ind w:firstLine="960"/>
      </w:pPr>
      <w:r>
        <w:rPr/>
        <w:t>详见附件：19增值服务</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