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实质性商务部分偏离表</w:t>
      </w:r>
    </w:p>
    <w:p>
      <w:pPr>
        <w:pStyle w:val="3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2516"/>
        <w:gridCol w:w="2685"/>
        <w:gridCol w:w="1446"/>
        <w:gridCol w:w="9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76" w:type="pct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磋商文件的</w:t>
            </w:r>
          </w:p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1575" w:type="pct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响应文件的</w:t>
            </w:r>
          </w:p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848" w:type="pct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566" w:type="pct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476" w:type="pct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476" w:type="pct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476" w:type="pct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476" w:type="pct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476" w:type="pct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pStyle w:val="3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说明：</w:t>
      </w:r>
    </w:p>
    <w:p>
      <w:pPr>
        <w:pStyle w:val="3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1、填写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磋商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文件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“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3.3.1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服务期限、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3.3.2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服务地点、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3.3.4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采购资金的支付方式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3.3.5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支付约定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eastAsia="zh-CN"/>
        </w:rPr>
        <w:t>”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的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内容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。</w:t>
      </w:r>
    </w:p>
    <w:p>
      <w:pPr>
        <w:pStyle w:val="3"/>
        <w:spacing w:line="336" w:lineRule="auto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2、在偏离项，必须注明“正偏离”、“负偏离”或“完全响应”，并予以说明。</w:t>
      </w:r>
    </w:p>
    <w:p>
      <w:pPr>
        <w:pStyle w:val="3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3、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响应文件实际存在偏离，但供应商未在偏离表中注明的，视为负偏离，应当按照磋商文件的规定执行。成交供应商在签订合同时，不得以任何理由进行抗辩。</w:t>
      </w:r>
    </w:p>
    <w:p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4、未按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磋商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文件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  <w:lang w:val="en-US" w:eastAsia="zh-CN"/>
        </w:rPr>
        <w:t>“3.3.1服务期限、3.3.2服务地点、3.3.4采购资金的支付方式、3.3.5支付约定”的内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填写的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，视为“完全响应”。</w:t>
      </w:r>
    </w:p>
    <w:p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</w:p>
    <w:p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________________________</w:t>
      </w:r>
    </w:p>
    <w:p>
      <w:pPr>
        <w:pStyle w:val="3"/>
        <w:ind w:right="160" w:firstLine="560" w:firstLineChars="200"/>
        <w:jc w:val="left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33050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2024-04-22T02:01:51Z</dcterms:created>
  <dc:creator>admin</dc:creator>
  <cp:lastModifiedBy>puppet</cp:lastModifiedBy>
  <dcterms:modified xsi:type="dcterms:W3CDTF">2024-04-22T02:05:05Z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86EC5C3D0B3242D69FA89D092FE609FB_12</vt:lpwstr>
  </property>
</Properties>
</file>