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陕西省生态环境国产化软件替代及业务专网整合项目-生态环境厅非涉密业务专网清理整合及ipv6融合升级项目</w:t>
      </w:r>
    </w:p>
    <w:p>
      <w:pPr>
        <w:pStyle w:val="null3"/>
        <w:jc w:val="center"/>
        <w:outlineLvl w:val="2"/>
      </w:pPr>
      <w:r>
        <w:rPr>
          <w:b/>
          <w:sz w:val="28"/>
        </w:rPr>
        <w:t>采购项目编号：</w:t>
      </w:r>
      <w:r>
        <w:rPr>
          <w:b/>
          <w:sz w:val="28"/>
        </w:rPr>
        <w:t>DQA-202423-ZB</w:t>
      </w:r>
      <w:r>
        <w:br/>
      </w:r>
      <w:r>
        <w:br/>
      </w:r>
      <w:r>
        <w:br/>
      </w:r>
    </w:p>
    <w:p>
      <w:pPr>
        <w:pStyle w:val="null3"/>
        <w:jc w:val="center"/>
        <w:outlineLvl w:val="2"/>
      </w:pPr>
      <w:r>
        <w:rPr>
          <w:b/>
          <w:sz w:val="28"/>
        </w:rPr>
        <w:t>陕西省环境信息中心</w:t>
      </w:r>
    </w:p>
    <w:p>
      <w:pPr>
        <w:pStyle w:val="null3"/>
        <w:jc w:val="center"/>
        <w:outlineLvl w:val="2"/>
      </w:pPr>
      <w:r>
        <w:rPr>
          <w:b/>
          <w:sz w:val="28"/>
        </w:rPr>
        <w:t>陕西德勤招标有限公司</w:t>
      </w:r>
      <w:r>
        <w:rPr>
          <w:b/>
          <w:sz w:val="28"/>
        </w:rPr>
        <w:t>共同编制</w:t>
      </w:r>
    </w:p>
    <w:p>
      <w:pPr>
        <w:pStyle w:val="null3"/>
        <w:jc w:val="center"/>
        <w:outlineLvl w:val="2"/>
      </w:pPr>
      <w:r>
        <w:rPr>
          <w:b/>
          <w:sz w:val="28"/>
        </w:rPr>
        <w:t>2024年04月29日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陕西德勤招标有限公司</w:t>
      </w:r>
      <w:r>
        <w:rPr/>
        <w:t>（以下简称“代理机构”）受</w:t>
      </w:r>
      <w:r>
        <w:rPr/>
        <w:t>陕西省环境信息中心</w:t>
      </w:r>
      <w:r>
        <w:rPr/>
        <w:t>委托，拟对</w:t>
      </w:r>
      <w:r>
        <w:rPr/>
        <w:t>陕西省生态环境国产化软件替代及业务专网整合项目-生态环境厅非涉密业务专网清理整合及ipv6融合升级项目</w:t>
      </w:r>
      <w:r>
        <w:rPr/>
        <w:t>进行国内公开招标，兹邀请符合本次招标要求的供应商参加投标。</w:t>
      </w:r>
    </w:p>
    <w:p>
      <w:pPr>
        <w:pStyle w:val="null3"/>
        <w:outlineLvl w:val="2"/>
      </w:pPr>
      <w:r>
        <w:rPr>
          <w:b/>
          <w:sz w:val="28"/>
        </w:rPr>
        <w:t>一、采购项目编号：</w:t>
      </w:r>
      <w:r>
        <w:rPr>
          <w:b/>
          <w:sz w:val="28"/>
        </w:rPr>
        <w:t>DQA-202423-ZB</w:t>
      </w:r>
    </w:p>
    <w:p>
      <w:pPr>
        <w:pStyle w:val="null3"/>
        <w:outlineLvl w:val="2"/>
      </w:pPr>
      <w:r>
        <w:rPr>
          <w:b/>
          <w:sz w:val="28"/>
        </w:rPr>
        <w:t>二、采购项目名称：</w:t>
      </w:r>
      <w:r>
        <w:rPr>
          <w:b/>
          <w:sz w:val="28"/>
        </w:rPr>
        <w:t>陕西省生态环境国产化软件替代及业务专网整合项目-生态环境厅非涉密业务专网清理整合及ipv6融合升级项目</w:t>
      </w:r>
    </w:p>
    <w:p>
      <w:pPr>
        <w:pStyle w:val="null3"/>
        <w:outlineLvl w:val="2"/>
      </w:pPr>
      <w:r>
        <w:rPr>
          <w:b/>
          <w:sz w:val="28"/>
        </w:rPr>
        <w:t>三、招标项目简介</w:t>
      </w:r>
    </w:p>
    <w:p>
      <w:pPr>
        <w:pStyle w:val="null3"/>
        <w:ind w:firstLine="480"/>
      </w:pPr>
      <w:r>
        <w:rPr/>
        <w:t>本项目旨在按照《陕西省数字政府建设“十四五”规划》和《陕西省数字政府建设2023年工作要点》要求，提升完善非涉密专网清理整合工作中政务外网侧的接入支撑能力和网络智能化服务能力，支撑省政府组成部门非涉密专网向陕西省电子政务外网迁移(撤线穿网)或整合(撤网并入)，为跨层级、跨区域、跨部门的网络互联、数据互通、应用协同提供支撑。</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采购包1（陕西省生态环境国产化软件替代及业务专网整合项目-生态环境厅非涉密业务专网清理整合及ipv6融合升级项目）：属于专门面向小微企业采购。</w:t>
      </w:r>
    </w:p>
    <w:p>
      <w:pPr>
        <w:pStyle w:val="null3"/>
      </w:pPr>
      <w:r>
        <w:rPr/>
        <w:t>采购包2（陕西省生态环境国产化软件替代及业务专网整合项目-生态环境厅非涉密业务专网清理整合及ipv6融合升级项目监理服务）：属于专门面向小微企业采购。</w:t>
      </w:r>
    </w:p>
    <w:p>
      <w:pPr>
        <w:pStyle w:val="null3"/>
        <w:ind w:firstLine="480"/>
      </w:pPr>
      <w:r>
        <w:rPr/>
        <w:t>（三）本项目的特定资格要求：</w:t>
      </w:r>
    </w:p>
    <w:p>
      <w:pPr>
        <w:pStyle w:val="null3"/>
      </w:pPr>
      <w:r>
        <w:rPr/>
        <w:t>采购包1：</w:t>
      </w:r>
    </w:p>
    <w:p>
      <w:pPr>
        <w:pStyle w:val="null3"/>
      </w:pPr>
      <w:r>
        <w:rPr/>
        <w:t>1、营业执照等主体资格证明文件：提供企业营业执照/事业单位法人证书/专业服务机构执业许可证/民办非企业单位登记证书。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pPr>
      <w:r>
        <w:rPr/>
        <w:t>采购包2：</w:t>
      </w:r>
    </w:p>
    <w:p>
      <w:pPr>
        <w:pStyle w:val="null3"/>
      </w:pPr>
      <w:r>
        <w:rPr/>
        <w:t>1、营业执照等主体资格证明文件：提供企业营业执照/事业单位法人证书/专业服务机构执业许可证/民办非企业单位登记证书。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陕西省环境信息中心</w:t>
      </w:r>
    </w:p>
    <w:p>
      <w:pPr>
        <w:pStyle w:val="null3"/>
      </w:pPr>
      <w:r>
        <w:rPr/>
        <w:t xml:space="preserve"> 地址： </w:t>
      </w:r>
      <w:r>
        <w:rPr/>
        <w:t>西影路112号</w:t>
      </w:r>
    </w:p>
    <w:p>
      <w:pPr>
        <w:pStyle w:val="null3"/>
      </w:pPr>
      <w:r>
        <w:rPr/>
        <w:t xml:space="preserve"> 邮编： </w:t>
      </w:r>
      <w:r>
        <w:rPr/>
        <w:t>710000</w:t>
      </w:r>
    </w:p>
    <w:p>
      <w:pPr>
        <w:pStyle w:val="null3"/>
      </w:pPr>
      <w:r>
        <w:rPr/>
        <w:t xml:space="preserve"> 联系人： </w:t>
      </w:r>
      <w:r>
        <w:rPr/>
        <w:t>陕西省环境信息中心(经办)</w:t>
      </w:r>
    </w:p>
    <w:p>
      <w:pPr>
        <w:pStyle w:val="null3"/>
      </w:pPr>
      <w:r>
        <w:rPr/>
        <w:t xml:space="preserve"> 联系电话： </w:t>
      </w:r>
      <w:r>
        <w:rPr/>
        <w:t>029-85429312</w:t>
      </w:r>
    </w:p>
    <w:p>
      <w:pPr>
        <w:pStyle w:val="null3"/>
        <w:outlineLvl w:val="2"/>
      </w:pPr>
      <w:r>
        <w:rPr>
          <w:b/>
          <w:sz w:val="28"/>
        </w:rPr>
        <w:t>代理机构：</w:t>
      </w:r>
      <w:r>
        <w:rPr>
          <w:b/>
          <w:sz w:val="28"/>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710065</w:t>
      </w:r>
    </w:p>
    <w:p>
      <w:pPr>
        <w:pStyle w:val="null3"/>
      </w:pPr>
      <w:r>
        <w:rPr/>
        <w:t xml:space="preserve"> 联系人： </w:t>
      </w:r>
      <w:r>
        <w:rPr/>
        <w:t>贾旭鸣</w:t>
      </w:r>
    </w:p>
    <w:p>
      <w:pPr>
        <w:pStyle w:val="null3"/>
      </w:pPr>
      <w:r>
        <w:rPr/>
        <w:t xml:space="preserve"> 联系电话： </w:t>
      </w:r>
      <w:r>
        <w:rPr/>
        <w:t>029-81169855</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采购包1：1,250,000.00元</w:t>
            </w:r>
          </w:p>
          <w:p>
            <w:pPr>
              <w:pStyle w:val="null3"/>
            </w:pPr>
            <w:r>
              <w:rPr/>
              <w:t>采购包2：50,000.00元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采购包1保证金金额：25,000.00元</w:t>
            </w:r>
          </w:p>
          <w:p>
            <w:pPr>
              <w:pStyle w:val="null3"/>
            </w:pPr>
            <w:r>
              <w:rPr/>
              <w:t>采购包2保证金金额：1,000.00元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代理服务费收费标准：成交金额100万元以下，费率1.5%，成交金额100～500万元，费率1.1%，采购代理服务费收费按差额定率累进法计算。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陕西省环境信息中心</w:t>
      </w:r>
      <w:r>
        <w:rPr/>
        <w:t>和</w:t>
      </w:r>
      <w:r>
        <w:rPr/>
        <w:t>陕西德勤招标有限公司</w:t>
      </w:r>
      <w:r>
        <w:rPr/>
        <w:t>享有。对招标文件中供应商参加本次政府采购活动应当具备的条件，招标项目技术、服务、商务及其他要求，评标细则及标准由</w:t>
      </w:r>
      <w:r>
        <w:rPr/>
        <w:t>陕西省环境信息中心</w:t>
      </w:r>
      <w:r>
        <w:rPr/>
        <w:t>负责解释。除上述招标文件内容，其他内容由</w:t>
      </w:r>
      <w:r>
        <w:rPr/>
        <w:t>陕西德勤招标有限公司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陕西省环境信息中心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联系人：贾旭鸣</w:t>
      </w:r>
    </w:p>
    <w:p>
      <w:pPr>
        <w:pStyle w:val="null3"/>
      </w:pPr>
      <w:r>
        <w:rPr/>
        <w:t>联系电话：029-81169855</w:t>
      </w:r>
    </w:p>
    <w:p>
      <w:pPr>
        <w:pStyle w:val="null3"/>
      </w:pPr>
      <w:r>
        <w:rPr/>
        <w:t>地址：陕西省西安市高新区丈八一路1号汇鑫中心D座2206室</w:t>
      </w:r>
    </w:p>
    <w:p>
      <w:pPr>
        <w:pStyle w:val="null3"/>
      </w:pPr>
      <w:r>
        <w:rPr/>
        <w:t>邮编：710065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本项目旨在按照《陕西省数字政府建设“十四五”规划》和《陕西省数字政府建设2023年工作要点》要求，提升完善非涉密专网清理整合工作中政务外网侧的接入支撑能力和网络智能化服务能力，支撑省政府组成部门非涉密专网向陕西省电子政务外网迁移(撤线穿网)或整合(撤网并入)，为跨层级、跨区域、跨部门的网络互联、数据互通、应用协同提供支撑。</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1,250,000.00</w:t>
      </w:r>
    </w:p>
    <w:p>
      <w:pPr>
        <w:pStyle w:val="null3"/>
      </w:pPr>
      <w:r>
        <w:rPr/>
        <w:t>采购包最高限价（元）: 1,250,000.00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其他运行维护服务</w:t>
            </w:r>
          </w:p>
        </w:tc>
        <w:tc>
          <w:tcPr>
            <w:tcW w:type="dxa" w:w="831"/>
          </w:tcPr>
          <w:p>
            <w:pPr>
              <w:pStyle w:val="null3"/>
              <w:jc w:val="right"/>
            </w:pPr>
            <w:r>
              <w:rPr/>
              <w:t>1.00</w:t>
            </w:r>
          </w:p>
        </w:tc>
        <w:tc>
          <w:tcPr>
            <w:tcW w:type="dxa" w:w="831"/>
          </w:tcPr>
          <w:p>
            <w:pPr>
              <w:pStyle w:val="null3"/>
              <w:jc w:val="right"/>
            </w:pPr>
            <w:r>
              <w:rPr/>
              <w:t>1,250,000.00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其他运行维护服务</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75"/>
              <w:ind w:right="90"/>
            </w:pPr>
            <w:r>
              <w:rPr>
                <w:rFonts w:ascii="simsun" w:hAnsi="simsun" w:cs="simsun" w:eastAsia="simsun"/>
                <w:b/>
                <w:color w:val="000000"/>
                <w:sz w:val="24"/>
              </w:rPr>
              <w:t>项目概述</w:t>
            </w:r>
            <w:r>
              <w:rPr>
                <w:rFonts w:ascii="simsun" w:hAnsi="simsun" w:cs="simsun" w:eastAsia="simsun"/>
                <w:color w:val="000000"/>
                <w:sz w:val="24"/>
              </w:rPr>
              <w:t>：</w:t>
            </w:r>
            <w:r>
              <w:rPr>
                <w:rFonts w:ascii="simsun" w:hAnsi="simsun" w:cs="simsun" w:eastAsia="simsun"/>
                <w:color w:val="000000"/>
                <w:sz w:val="24"/>
              </w:rPr>
              <w:t>本项目迁移(撤线穿网)，指保留部门非涉密专网设备，复用电子政务外网线路，替代并裁撤原非涉密专网纵向运营商线路，使得非涉密专网在电子政务外网中穿透。即非涉密专网的信息系统和业务部署规划仍归属于非涉密专网部门，保持相对独立。</w:t>
            </w:r>
          </w:p>
          <w:p>
            <w:pPr>
              <w:pStyle w:val="null3"/>
              <w:spacing w:before="75"/>
              <w:ind w:right="90" w:firstLine="200"/>
            </w:pPr>
            <w:r>
              <w:rPr>
                <w:rFonts w:ascii="simsun" w:hAnsi="simsun" w:cs="simsun" w:eastAsia="simsun"/>
                <w:color w:val="000000"/>
                <w:sz w:val="24"/>
              </w:rPr>
              <w:t>迁移(撤线穿网)场景下部门非涉密专网的出口设备保留，主要业务系统仍然保留在专网内，重点在撤销非涉密专网所租用的运营商专线，通过静态路由方式将路由引入电子政务外网区，利用电子政务外网作为线路，实现非涉密专网部门各层级网络及业务互通。</w:t>
            </w:r>
          </w:p>
          <w:p>
            <w:pPr>
              <w:pStyle w:val="null3"/>
              <w:spacing w:before="75"/>
              <w:ind w:right="90"/>
            </w:pPr>
            <w:r>
              <w:rPr>
                <w:rFonts w:ascii="simsun" w:hAnsi="simsun" w:cs="simsun" w:eastAsia="simsun"/>
                <w:color w:val="000000"/>
                <w:sz w:val="24"/>
              </w:rPr>
              <w:t>同时按照电子政务外网IP协议从IPv4向IPv6单栈的中长期演进趋势，依托广域网IPv6+的基础，借助专网整合的契机改造支持IPv6协议，通过SRv6网络切片、L2/L3VPN等技术，实现电子政务外网服务能力的提升。</w:t>
            </w:r>
          </w:p>
          <w:p>
            <w:pPr>
              <w:pStyle w:val="null3"/>
              <w:spacing w:before="75"/>
              <w:ind w:right="90"/>
            </w:pPr>
            <w:r>
              <w:rPr>
                <w:rFonts w:ascii="simsun" w:hAnsi="simsun" w:cs="simsun" w:eastAsia="simsun"/>
                <w:b/>
                <w:color w:val="000000"/>
                <w:sz w:val="24"/>
              </w:rPr>
              <w:t>建设目标</w:t>
            </w:r>
            <w:r>
              <w:rPr>
                <w:rFonts w:ascii="simsun" w:hAnsi="simsun" w:cs="simsun" w:eastAsia="simsun"/>
                <w:color w:val="000000"/>
                <w:sz w:val="24"/>
              </w:rPr>
              <w:t>：</w:t>
            </w:r>
          </w:p>
          <w:p>
            <w:pPr>
              <w:pStyle w:val="null3"/>
              <w:spacing w:before="75"/>
              <w:ind w:right="90"/>
            </w:pPr>
            <w:r>
              <w:rPr>
                <w:rFonts w:ascii="simsun" w:hAnsi="simsun" w:cs="simsun" w:eastAsia="simsun"/>
                <w:color w:val="000000"/>
                <w:sz w:val="24"/>
              </w:rPr>
              <w:t>1</w:t>
            </w:r>
            <w:r>
              <w:rPr>
                <w:rFonts w:ascii="simsun" w:hAnsi="simsun" w:cs="simsun" w:eastAsia="simsun"/>
                <w:color w:val="000000"/>
                <w:sz w:val="24"/>
              </w:rPr>
              <w:t>:环保专网横向与政务外网接入设备互联；</w:t>
            </w:r>
          </w:p>
          <w:p>
            <w:pPr>
              <w:pStyle w:val="null3"/>
              <w:spacing w:before="75"/>
              <w:ind w:right="90"/>
            </w:pPr>
            <w:r>
              <w:rPr>
                <w:rFonts w:ascii="simsun" w:hAnsi="simsun" w:cs="simsun" w:eastAsia="simsun"/>
                <w:color w:val="000000"/>
                <w:sz w:val="24"/>
              </w:rPr>
              <w:t>2:政务外网接入设备通过IGP路由协议同非涉密专网各级核心设备互联；</w:t>
            </w:r>
          </w:p>
          <w:p>
            <w:pPr>
              <w:pStyle w:val="null3"/>
              <w:spacing w:before="75"/>
              <w:ind w:right="90"/>
            </w:pPr>
            <w:r>
              <w:rPr>
                <w:rFonts w:ascii="simsun" w:hAnsi="simsun" w:cs="simsun" w:eastAsia="simsun"/>
                <w:color w:val="000000"/>
                <w:sz w:val="24"/>
              </w:rPr>
              <w:t>3:政务外网统一规划IP地址和路由区域，建立路由协议。</w:t>
            </w:r>
          </w:p>
          <w:p>
            <w:pPr>
              <w:pStyle w:val="null3"/>
              <w:spacing w:before="75"/>
              <w:ind w:right="90"/>
            </w:pPr>
            <w:r>
              <w:rPr>
                <w:rFonts w:ascii="simsun" w:hAnsi="simsun" w:cs="simsun" w:eastAsia="simsun"/>
                <w:color w:val="000000"/>
                <w:sz w:val="24"/>
              </w:rPr>
              <w:t>4：部-省-市-县IPN6升级调试</w:t>
            </w:r>
          </w:p>
          <w:p>
            <w:pPr>
              <w:pStyle w:val="null3"/>
              <w:spacing w:before="75"/>
              <w:ind w:right="90"/>
            </w:pPr>
            <w:r>
              <w:rPr>
                <w:rFonts w:ascii="simsun" w:hAnsi="simsun" w:cs="simsun" w:eastAsia="simsun"/>
                <w:b/>
                <w:color w:val="000000"/>
                <w:sz w:val="24"/>
              </w:rPr>
              <w:t>技术要求</w:t>
            </w:r>
            <w:r>
              <w:rPr>
                <w:rFonts w:ascii="simsun" w:hAnsi="simsun" w:cs="simsun" w:eastAsia="simsun"/>
                <w:color w:val="000000"/>
                <w:sz w:val="24"/>
              </w:rPr>
              <w:t>：</w:t>
            </w:r>
          </w:p>
          <w:p>
            <w:pPr>
              <w:pStyle w:val="null3"/>
              <w:spacing w:before="75"/>
              <w:ind w:right="90"/>
            </w:pPr>
            <w:r>
              <w:rPr>
                <w:rFonts w:ascii="simsun" w:hAnsi="simsun" w:cs="simsun" w:eastAsia="simsun"/>
                <w:color w:val="000000"/>
                <w:sz w:val="24"/>
              </w:rPr>
              <w:t>“</w:t>
            </w:r>
            <w:r>
              <w:rPr>
                <w:rFonts w:ascii="simsun" w:hAnsi="simsun" w:cs="simsun" w:eastAsia="simsun"/>
                <w:color w:val="000000"/>
                <w:sz w:val="24"/>
              </w:rPr>
              <w:t>★</w:t>
            </w:r>
            <w:r>
              <w:rPr>
                <w:rFonts w:ascii="simsun" w:hAnsi="simsun" w:cs="simsun" w:eastAsia="simsun"/>
                <w:color w:val="000000"/>
                <w:sz w:val="24"/>
              </w:rPr>
              <w:t>”</w:t>
            </w:r>
            <w:r>
              <w:rPr>
                <w:rFonts w:ascii="simsun" w:hAnsi="simsun" w:cs="simsun" w:eastAsia="simsun"/>
                <w:color w:val="000000"/>
                <w:sz w:val="24"/>
              </w:rPr>
              <w:t>本</w:t>
            </w:r>
            <w:r>
              <w:rPr>
                <w:rFonts w:ascii="simsun" w:hAnsi="simsun" w:cs="simsun" w:eastAsia="simsun"/>
                <w:color w:val="000000"/>
                <w:sz w:val="24"/>
              </w:rPr>
              <w:t>项目为省级节点搭建和西安、杨凌的迁移。供应商应提供迁移(撤线穿网)实施中电子政务外网与环保专网省级节点边界的省与地市接入部门的双设备双线路上联城域网核心路由，西安和杨凌与区县级电子政务外网与环保专网边界路由；需支持SRv6、网络切片等功能，并能同政务外网SDN统一网络管理对接。</w:t>
            </w:r>
          </w:p>
          <w:p>
            <w:pPr>
              <w:pStyle w:val="null3"/>
              <w:spacing w:before="75"/>
              <w:ind w:right="90"/>
            </w:pPr>
            <w:r>
              <w:rPr>
                <w:rFonts w:ascii="simsun" w:hAnsi="simsun" w:cs="simsun" w:eastAsia="simsun"/>
                <w:color w:val="000000"/>
                <w:sz w:val="24"/>
              </w:rPr>
              <w:t>“★”与为保障业务平滑过渡。以迁移 (撤线穿网) 方式整合中，在接入电子政务外网的同时，确保原有环保专线业务正常运行，并分批分时段对业务系 统及线路进行测试。测试完毕后，经与非涉密专网使用单位确认后，断开原有 专线，业务系统由清理整合后线路承载。</w:t>
            </w:r>
          </w:p>
          <w:p>
            <w:pPr>
              <w:pStyle w:val="null3"/>
              <w:spacing w:before="75"/>
              <w:ind w:right="90"/>
            </w:pPr>
            <w:r>
              <w:rPr>
                <w:rFonts w:ascii="simsun" w:hAnsi="simsun" w:cs="simsun" w:eastAsia="simsun"/>
                <w:b/>
                <w:color w:val="000000"/>
                <w:sz w:val="24"/>
              </w:rPr>
              <w:t>施工要求</w:t>
            </w:r>
            <w:r>
              <w:rPr>
                <w:rFonts w:ascii="simsun" w:hAnsi="simsun" w:cs="simsun" w:eastAsia="simsun"/>
                <w:color w:val="000000"/>
                <w:sz w:val="24"/>
              </w:rPr>
              <w:t>：</w:t>
            </w:r>
          </w:p>
          <w:p>
            <w:pPr>
              <w:pStyle w:val="null3"/>
              <w:spacing w:before="75"/>
              <w:ind w:right="90"/>
            </w:pPr>
            <w:r>
              <w:rPr>
                <w:rFonts w:ascii="simsun" w:hAnsi="simsun" w:cs="simsun" w:eastAsia="simsun"/>
                <w:color w:val="000000"/>
                <w:sz w:val="24"/>
              </w:rPr>
              <w:t>1</w:t>
            </w:r>
            <w:r>
              <w:rPr>
                <w:rFonts w:ascii="simsun" w:hAnsi="simsun" w:cs="simsun" w:eastAsia="simsun"/>
                <w:color w:val="000000"/>
                <w:sz w:val="24"/>
              </w:rPr>
              <w:t>.服务提供商需进行实地勘察、整合方案编写、分步骤进行整合割接、割 接后测试、割接后值守。</w:t>
            </w:r>
          </w:p>
          <w:p>
            <w:pPr>
              <w:pStyle w:val="null3"/>
              <w:spacing w:before="75"/>
              <w:ind w:right="90"/>
            </w:pPr>
            <w:r>
              <w:rPr>
                <w:rFonts w:ascii="simsun" w:hAnsi="simsun" w:cs="simsun" w:eastAsia="simsun"/>
                <w:color w:val="000000"/>
                <w:sz w:val="24"/>
              </w:rPr>
              <w:t>2.安全性标准：迁移 (撤线穿网) 专网业务需通过在电子政务外网设置 L2 VPN 进行逻辑隔离。</w:t>
            </w:r>
          </w:p>
          <w:p>
            <w:pPr>
              <w:pStyle w:val="null3"/>
              <w:spacing w:before="75"/>
              <w:ind w:right="90"/>
            </w:pPr>
            <w:r>
              <w:rPr>
                <w:rFonts w:ascii="simsun" w:hAnsi="simsun" w:cs="simsun" w:eastAsia="simsun"/>
                <w:color w:val="000000"/>
                <w:sz w:val="24"/>
              </w:rPr>
              <w:t>3.在专网整合实施过程中采用平滑切换的原则，尽量将业务中断的时间降到最低，不影响整体环保专网正常业务应用，同时保障回退的可操作性。确保业务恢复正常。</w:t>
            </w:r>
          </w:p>
          <w:p>
            <w:pPr>
              <w:pStyle w:val="null3"/>
              <w:spacing w:before="75"/>
              <w:ind w:right="90"/>
            </w:pPr>
            <w:r>
              <w:rPr>
                <w:rFonts w:ascii="simsun" w:hAnsi="simsun" w:cs="simsun" w:eastAsia="simsun"/>
                <w:color w:val="000000"/>
                <w:sz w:val="24"/>
              </w:rPr>
              <w:t>4.实施工期为6个月。</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color w:val="000000"/>
                <w:sz w:val="21"/>
              </w:rPr>
              <w:t>为完成好工程监理控制，监理人应当做好以下监理服务工作：协调委托人做好施工现场准备工作，确认承包单位资质；做好人员和设备检查工作，确认其质量；检查并协助搞好各项生产环境、劳动环境、管理环境条件；进行施工过程质量控制工作；检查工序质量，严格工序交接检查制度；做好数据采集记录的核对工作；做好施工工程变更方案的必选，保证工程质量；进行质量监督，行使质量监督权；认真做好质量鉴证工作；行使质量否决权；组织质量协调会；做好中间质量验收准备工作；做好竣工验收工作；审核成果资料等其他相关的一系列质量控制工作。</w:t>
            </w:r>
          </w:p>
        </w:tc>
      </w:tr>
    </w:tbl>
    <w:p>
      <w:pPr>
        <w:pStyle w:val="null3"/>
        <w:outlineLvl w:val="3"/>
      </w:pPr>
      <w:r>
        <w:rPr>
          <w:b/>
          <w:sz w:val="24"/>
        </w:rPr>
        <w:t>3.2.3人员配置要求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3"/>
      </w:pPr>
      <w:r>
        <w:rPr>
          <w:b/>
          <w:sz w:val="24"/>
        </w:rPr>
        <w:t>3.2.4设施设备配置要求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3"/>
      </w:pPr>
      <w:r>
        <w:rPr>
          <w:b/>
          <w:sz w:val="24"/>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6个月</w:t>
      </w:r>
    </w:p>
    <w:p>
      <w:pPr>
        <w:pStyle w:val="null3"/>
      </w:pPr>
      <w:r>
        <w:rPr/>
        <w:t>采购包2：</w:t>
      </w:r>
    </w:p>
    <w:p>
      <w:pPr>
        <w:pStyle w:val="null3"/>
      </w:pPr>
      <w:r>
        <w:rPr/>
        <w:t>6个月</w:t>
      </w:r>
    </w:p>
    <w:p>
      <w:pPr>
        <w:pStyle w:val="null3"/>
        <w:outlineLvl w:val="3"/>
      </w:pPr>
      <w:r>
        <w:rPr>
          <w:b/>
          <w:sz w:val="24"/>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outlineLvl w:val="3"/>
      </w:pPr>
      <w:r>
        <w:rPr>
          <w:b/>
          <w:sz w:val="24"/>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签订合同后</w:t>
      </w:r>
      <w:r>
        <w:rPr/>
        <w:t xml:space="preserve"> ，达到付款条件起 </w:t>
      </w:r>
      <w:r>
        <w:rPr/>
        <w:t>20</w:t>
      </w:r>
      <w:r>
        <w:rPr/>
        <w:t xml:space="preserve"> 日内，支付合同总金额的 </w:t>
      </w:r>
      <w:r>
        <w:rPr/>
        <w:t>70.00</w:t>
      </w:r>
      <w:r>
        <w:rPr/>
        <w:t>%。</w:t>
      </w:r>
    </w:p>
    <w:p>
      <w:pPr>
        <w:pStyle w:val="null3"/>
      </w:pPr>
      <w:r>
        <w:rPr/>
        <w:t>采购包1：</w:t>
      </w:r>
      <w:r>
        <w:rPr/>
        <w:t xml:space="preserve"> 付款条件说明： </w:t>
      </w:r>
      <w:r>
        <w:rPr/>
        <w:t>验收合格后</w:t>
      </w:r>
      <w:r>
        <w:rPr/>
        <w:t xml:space="preserve"> ，达到付款条件起 </w:t>
      </w:r>
      <w:r>
        <w:rPr/>
        <w:t>20</w:t>
      </w:r>
      <w:r>
        <w:rPr/>
        <w:t xml:space="preserve"> 日内，支付合同总金额的 </w:t>
      </w:r>
      <w:r>
        <w:rPr/>
        <w:t>30.00</w:t>
      </w:r>
      <w:r>
        <w:rPr/>
        <w:t>%。</w:t>
      </w:r>
    </w:p>
    <w:p>
      <w:pPr>
        <w:pStyle w:val="null3"/>
      </w:pPr>
      <w:r>
        <w:rPr/>
        <w:t>采购包2：</w:t>
      </w:r>
      <w:r>
        <w:rPr/>
        <w:t xml:space="preserve"> 付款条件说明： </w:t>
      </w:r>
      <w:r>
        <w:rPr/>
        <w:t>签订合同后</w:t>
      </w:r>
      <w:r>
        <w:rPr/>
        <w:t xml:space="preserve"> ，达到付款条件起 </w:t>
      </w:r>
      <w:r>
        <w:rPr/>
        <w:t>20</w:t>
      </w:r>
      <w:r>
        <w:rPr/>
        <w:t xml:space="preserve"> 日内，支付合同总金额的 </w:t>
      </w:r>
      <w:r>
        <w:rPr/>
        <w:t>70.00</w:t>
      </w:r>
      <w:r>
        <w:rPr/>
        <w:t>%。</w:t>
      </w:r>
    </w:p>
    <w:p>
      <w:pPr>
        <w:pStyle w:val="null3"/>
      </w:pPr>
      <w:r>
        <w:rPr/>
        <w:t>采购包2：</w:t>
      </w:r>
      <w:r>
        <w:rPr/>
        <w:t xml:space="preserve"> 付款条件说明： </w:t>
      </w:r>
      <w:r>
        <w:rPr/>
        <w:t>验收合格后</w:t>
      </w:r>
      <w:r>
        <w:rPr/>
        <w:t xml:space="preserve"> ，达到付款条件起 </w:t>
      </w:r>
      <w:r>
        <w:rPr/>
        <w:t>20</w:t>
      </w:r>
      <w:r>
        <w:rPr/>
        <w:t xml:space="preserve"> 日内，支付合同总金额的 </w:t>
      </w:r>
      <w:r>
        <w:rPr/>
        <w:t>30.00</w:t>
      </w:r>
      <w:r>
        <w:rPr/>
        <w:t>%。</w:t>
      </w:r>
    </w:p>
    <w:p>
      <w:pPr>
        <w:pStyle w:val="null3"/>
        <w:outlineLvl w:val="3"/>
      </w:pPr>
      <w:r>
        <w:rPr>
          <w:b/>
          <w:sz w:val="24"/>
        </w:rPr>
        <w:t>3.3.6违约责任与解决争议的方法</w:t>
      </w:r>
    </w:p>
    <w:p>
      <w:pPr>
        <w:pStyle w:val="null3"/>
      </w:pPr>
      <w:r>
        <w:rPr/>
        <w:t>采购包1：</w:t>
      </w:r>
    </w:p>
    <w:p>
      <w:pPr>
        <w:pStyle w:val="null3"/>
      </w:pPr>
      <w:r>
        <w:rPr/>
        <w:t>详见合同约定</w:t>
      </w:r>
    </w:p>
    <w:p>
      <w:pPr>
        <w:pStyle w:val="null3"/>
      </w:pPr>
      <w:r>
        <w:rPr/>
        <w:t>采购包2：</w:t>
      </w:r>
    </w:p>
    <w:p>
      <w:pPr>
        <w:pStyle w:val="null3"/>
      </w:pPr>
      <w:r>
        <w:rPr/>
        <w:t>详见合同约定</w:t>
      </w:r>
    </w:p>
    <w:p>
      <w:pPr>
        <w:pStyle w:val="null3"/>
        <w:jc w:val="left"/>
        <w:outlineLvl w:val="2"/>
      </w:pPr>
      <w:r>
        <w:rPr>
          <w:b/>
          <w:sz w:val="28"/>
        </w:rPr>
        <w:t>3.5其他要求</w:t>
      </w:r>
    </w:p>
    <w:p>
      <w:pPr>
        <w:pStyle w:val="null3"/>
      </w:pPr>
      <w:r>
        <w:rPr/>
        <w:t>（1）供应商需要在线提交所有通过电子化交易平台实施的政府采购项目的投标文件，同时，线下提交纸质投标文件正本壹份、副本贰份。若电子投标文件与纸质投标文件不一致的，以电子投标文件为准。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提供企业营业执照/事业单位法人证书/专业服务机构执业许可证/民办非企业单位登记证书。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至少包含增值税或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法定代表人授权委托书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采购包专门面向小微企业采购。承接服务供应商应为小微企业，即提供服务的人员为小微企业依照《中华人民共和国劳动合同法》订立劳动合同的从业人员。小微企业须符合本项目采购标的对应行业（软件和信息技术服务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本采购包专门面向小微企业采购。承接服务供应商应为小微企业，即提供服务的人员为小微企业依照《中华人民共和国劳动合同法》订立劳动合同的从业人员。小微企业须符合本项目采购标的对应行业（其他未列明行业)的政策划分标准。监狱企业、残疾人福利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pPr>
      <w:r>
        <w:rPr/>
        <w:t>采购包2：综合评分法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投标文件封面、投标函、法定代表人授权委托书三处的项目名称、项目编号、包号</w:t>
            </w:r>
          </w:p>
        </w:tc>
        <w:tc>
          <w:tcPr>
            <w:tcW w:type="dxa" w:w="3322"/>
          </w:tcPr>
          <w:p>
            <w:pPr>
              <w:pStyle w:val="null3"/>
            </w:pPr>
            <w:r>
              <w:rPr/>
              <w:t>三处均无遗漏，且与所投项目名称、项目编号、包号一致。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完全理解接受招标文件商务条款，并填写商务应答表。</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非联合体不分包投标声明 标的清单 投标文件封面 书面声明 监狱企业的证明文件</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投标文件封面、投标函、法定代表人授权委托书三处的项目名称、项目编号、包号</w:t>
            </w:r>
          </w:p>
        </w:tc>
        <w:tc>
          <w:tcPr>
            <w:tcW w:type="dxa" w:w="3322"/>
          </w:tcPr>
          <w:p>
            <w:pPr>
              <w:pStyle w:val="null3"/>
            </w:pPr>
            <w:r>
              <w:rPr/>
              <w:t>三处均无遗漏，且与所投项目名称、项目编号、包号一致。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均按招标文件要求签字、盖章（评分标准中要求提供的证明材料除外）。</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完全理解接受招标文件商务条款，并填写商务应答表。</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非联合体不分包投标声明 标的清单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总体服务方案</w:t>
            </w:r>
          </w:p>
        </w:tc>
        <w:tc>
          <w:tcPr>
            <w:tcW w:type="dxa" w:w="2492"/>
          </w:tcPr>
          <w:p>
            <w:pPr>
              <w:pStyle w:val="null3"/>
            </w:pPr>
            <w:r>
              <w:rPr/>
              <w:t>方案是否要素完备、科学可行，服务措施有保证，期限符合要求，对作影响最小。方案详尽、全面，可实施性强，得（15-20]分；方案较为详尽、全面，具有一定可操作性，得(7-15]分；方案基本完整，有基本的操作性，得（4-7]分；方案不够详尽、全面，不具有可操作性，得(0-4]分；不提供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质量保障措施</w:t>
            </w:r>
          </w:p>
        </w:tc>
        <w:tc>
          <w:tcPr>
            <w:tcW w:type="dxa" w:w="2492"/>
          </w:tcPr>
          <w:p>
            <w:pPr>
              <w:pStyle w:val="null3"/>
            </w:pPr>
            <w:r>
              <w:rPr/>
              <w:t>保障措施有效、合理，可实施性强，(7-10]分；保障措施较为有效、合理，具有一定可操作性，得(3-7]分；保障措施不合理，不具有可操作性，得(0-3]分；无保障措施不得分。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实施计划</w:t>
            </w:r>
          </w:p>
        </w:tc>
        <w:tc>
          <w:tcPr>
            <w:tcW w:type="dxa" w:w="2492"/>
          </w:tcPr>
          <w:p>
            <w:pPr>
              <w:pStyle w:val="null3"/>
            </w:pPr>
            <w:r>
              <w:rPr/>
              <w:t>实施方案科学、合理、规范，可操作性强，得(7-10]分；实施方案较为合理、规范，具有一定操作性，得(3-7]分；实施方案不够合理、规范，不具有操作性，得(0-3]分；不描述不得分。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项目团队</w:t>
            </w:r>
          </w:p>
        </w:tc>
        <w:tc>
          <w:tcPr>
            <w:tcW w:type="dxa" w:w="2492"/>
          </w:tcPr>
          <w:p>
            <w:pPr>
              <w:pStyle w:val="null3"/>
            </w:pPr>
            <w:r>
              <w:rPr/>
              <w:t>有详细的人员配置方案，有健全的组织机构及工作安排，岗位分工明确，同类项目经验丰富，得(7-10]分；有详细的人员配置方案，组织机构及工作安排基本完善、合理，岗位分工明确，具有较丰富的同类项目经验，得(3-7]分；有详细的人员配置方案，组织机构及工作安排合理性差，岗位分工不明确，缺少同类项目经验，得(0-3]分；未提供不计分。 供应商拟派的项目团队人员中具有高中级网络工程师、信息安全工程师、系统集成项目管理师、软件设计师等高中级及以上职称证书的，每提供一个得1分，最多得5分，未提供的不计分。 （提供证书复印件加盖公章、需提供人员在本单位或分支机构近半年内任意一个月的社保缴纳证明）</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售后服务方案</w:t>
            </w:r>
          </w:p>
        </w:tc>
        <w:tc>
          <w:tcPr>
            <w:tcW w:type="dxa" w:w="2492"/>
          </w:tcPr>
          <w:p>
            <w:pPr>
              <w:pStyle w:val="null3"/>
            </w:pPr>
            <w:r>
              <w:rPr/>
              <w:t>根据供应商提供的售后服务承诺、售后服务方案，以及其他服务内容。售后服务方案全面、合理，得(7-10]分；售后服务方案较为全面、合理，得(3-7]分；售后服务方案不够全面、合理，得(0-3]分；不表述不得分。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应急处理方案</w:t>
            </w:r>
          </w:p>
        </w:tc>
        <w:tc>
          <w:tcPr>
            <w:tcW w:type="dxa" w:w="2492"/>
          </w:tcPr>
          <w:p>
            <w:pPr>
              <w:pStyle w:val="null3"/>
            </w:pPr>
            <w:r>
              <w:rPr/>
              <w:t>提供完备的应急处理方案，对于可能出现的故障提出切实可行的服务响应办法，包括但不限于突发紧急事件处理方案（例如突发断网或超出预期时间断网等情况）、应急响应时间、故障数量、故障解决报告时间、处理时限、处理满意度、处理方式、是否出现有效投诉等方面，需明确阐述出现故障后的解决方法、如何保证对工作影响最小。应急处理方案有效、合理、可实施性强，得(15-20]分； 应急处理方案较为有效、合理、具有较强操作性，得(10-15]分； 有基本合理的应急处理方案，得(5-10]分； 应急处理方案不够有效、合理、不具有操作性，得(0-5]分； 不表述不得分。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供应商提供2021年4月1日以来同类业绩的有效合同，每个同类业绩的有效合同得1分，满分5分。 （须提供合同完整复印件加盖公章）。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各有效供应商的评审价中，取最低者作为基准价，各有效供应商的价格评分统一按照下列公式计算：价格评分＝（基准价÷评审价）×价格分分值。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针对项目实施的要求，提出具体的监理办法和保障措施，并对监理工作的重难点进行分析。针对服务商提供的本项目建设内容、建设方案的要求、监理工作的重难点分析完善、全面、合理和可操作性： 1、方案完善，分析全面，具有很强的合理性和可操作性，计(14-20]分； 2、方案较完善，分析到位，具有较强的合理性和可操作性，计(8-14]分； 3、方案一般，分析不足，没有合理性和可操作性，计(0-8]分； 4、不提供不得分。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质量控制</w:t>
            </w:r>
          </w:p>
        </w:tc>
        <w:tc>
          <w:tcPr>
            <w:tcW w:type="dxa" w:w="2492"/>
          </w:tcPr>
          <w:p>
            <w:pPr>
              <w:pStyle w:val="null3"/>
            </w:pPr>
            <w:r>
              <w:rPr/>
              <w:t>对项目建设重点难点的理解和监理重点的把握；监理措施和手段能确保项目建设质量，根据项目的实际情况提供总体质量控制方案进行综合评审： 1、方案完善，分析全面，具有很强的合理性和可操作性，计（7-10]分； 2、方案较完善，分析到位，具有较强的合理性和可操作性，计(4-7]分； 3、方案一般，分析不足，没有合理性和可操作性，计(0-4]分 4、不提供不得分。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进度控制</w:t>
            </w:r>
          </w:p>
        </w:tc>
        <w:tc>
          <w:tcPr>
            <w:tcW w:type="dxa" w:w="2492"/>
          </w:tcPr>
          <w:p>
            <w:pPr>
              <w:pStyle w:val="null3"/>
            </w:pPr>
            <w:r>
              <w:rPr/>
              <w:t>对项目建设监理过程中各阶段预期的成果、标志能准确把握；有较好的手段和方法控制项目进度，根据项目建设的实际情况提供进度控制方案进行综合评审： 1、方案完善，分析全面，具有很强的合理性和可操作性，计（7-10]分； 2、方案较完善，分析到位，具有较强的合理性和可操作性，计(4-7]分； 3、方案一般，分析不足，没有合理性和可操作性，计(0-4]分； 4、不提供不得分。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投资控制</w:t>
            </w:r>
          </w:p>
        </w:tc>
        <w:tc>
          <w:tcPr>
            <w:tcW w:type="dxa" w:w="2492"/>
          </w:tcPr>
          <w:p>
            <w:pPr>
              <w:pStyle w:val="null3"/>
            </w:pPr>
            <w:r>
              <w:rPr/>
              <w:t>对参与监理的人力资源、软硬件等方面的资金使用把握，有较好的手段和方法控制资金使用，根据项目建设的实际情况提供投资控制方案进行综合评审： 1、方案完善，分析全面，具有很强的合理性和可操作性，计(4-5]分； 2、方案较完善，分析到位，具有较强的合理性和可操作性，计(2-4]分； 3、方案一般，分析不足，没有合理性和可操作性，计(0-2]分。 4、不提供不得分。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信息管理</w:t>
            </w:r>
          </w:p>
        </w:tc>
        <w:tc>
          <w:tcPr>
            <w:tcW w:type="dxa" w:w="2492"/>
          </w:tcPr>
          <w:p>
            <w:pPr>
              <w:pStyle w:val="null3"/>
            </w:pPr>
            <w:r>
              <w:rPr/>
              <w:t>对项目监理过程中各类信息数据的监管把握。对施工方根据项目的实际情况提供信息管理方案进行综合评审：方案完善，分析全面，具有很强的合理性和可操作性： 1、方案完善，分析全面，具有很强的合理性和可操作性，计(4-5]分； 2、方案较完善，分析到位，具有较强的合理性和可操作性，计(2-4]分； 3、方案一般，分析不足，没有合理性和可操作性，计（0-2]分； 4、不提供不得分。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组织协调</w:t>
            </w:r>
          </w:p>
        </w:tc>
        <w:tc>
          <w:tcPr>
            <w:tcW w:type="dxa" w:w="2492"/>
          </w:tcPr>
          <w:p>
            <w:pPr>
              <w:pStyle w:val="null3"/>
            </w:pPr>
            <w:r>
              <w:rPr/>
              <w:t>根据本项目建设的实际情况制定的组织协调的方法和措施方案进行综合评审： 1、方案完善，分析全面，具有很强的合理性和可操作性，计（7-10]分； 2、方案较完善，分析到位，具有较强的合理性和可操作性，计(4-7]分； 3、方案一般，分析不足，没有合理性和可操作性，计(0-4]分; 4、不提供不得分。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合理化建议</w:t>
            </w:r>
          </w:p>
        </w:tc>
        <w:tc>
          <w:tcPr>
            <w:tcW w:type="dxa" w:w="2492"/>
          </w:tcPr>
          <w:p>
            <w:pPr>
              <w:pStyle w:val="null3"/>
            </w:pPr>
            <w:r>
              <w:rPr/>
              <w:t>根据本项目的实际情况制定的监理服务工作建议和增值服务进行综合评审： 1、方案完善，分析全面，具有很强的合理性和可操作性，计（4-5]分； 2、方案较完善，分析到位，具有较强的合理性和可操作性，计(2-4]分； 3、方案一般，分析不足，没有合理性和可操作性，计(0-2]分; 4、不提供不得分。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1、具有完备的策略和服务体系得2分；2、承诺监理服务期限，问题处理时限，现场监理服务质量保证措施等得3分。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服务团队</w:t>
            </w:r>
          </w:p>
        </w:tc>
        <w:tc>
          <w:tcPr>
            <w:tcW w:type="dxa" w:w="2492"/>
          </w:tcPr>
          <w:p>
            <w:pPr>
              <w:pStyle w:val="null3"/>
            </w:pPr>
            <w:r>
              <w:rPr/>
              <w:t>有完善的服务团队及监理服务方案，服务团队人员分工合理，责任明确，提供拟投入团队人员证书、履历等，根据所提供材料的完整程度计分： 人员充足完备，搭配合理，证书等资料齐全，监理服务方案完善合理，团队组成完全满足监理服务要求，按其响应程度得(7-10]分； 人员搭配较为合理，证书等资料基本齐全，监理服务方案较完善，团队组成基本满足项目基本要求，得(4-7]分； 团队组成符合招标文件基本要求，人员有关证书等资料提供不全，监理服务方案内容缺失，团队组成不能满足项目基本要求，得（0-4]分； 不提供不得分。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企业业绩</w:t>
            </w:r>
          </w:p>
        </w:tc>
        <w:tc>
          <w:tcPr>
            <w:tcW w:type="dxa" w:w="2492"/>
          </w:tcPr>
          <w:p>
            <w:pPr>
              <w:pStyle w:val="null3"/>
            </w:pPr>
            <w:r>
              <w:rPr/>
              <w:t>投标人自2021年4月1日至投标截止时间监理过的类似服务项目，每提供一项得2分，最多不超过10分。（以合同为准）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各有效供应商的评审价中，取最低者作为基准价，各有效供应商的价格评分统一按照下列公式计算：价格评分＝（基准价÷评审价）×价格分分值。</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详见附件：参考合同模板.docx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