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157" w:afterLines="50" w:line="460" w:lineRule="exact"/>
        <w:ind w:left="0" w:leftChars="0" w:right="0" w:rightChars="0" w:firstLine="0" w:firstLineChars="0"/>
        <w:jc w:val="center"/>
        <w:textAlignment w:val="baseline"/>
        <w:outlineLvl w:val="4"/>
        <w:rPr>
          <w:rFonts w:hint="default" w:ascii="Arial" w:hAnsi="Arial" w:eastAsia="Arial" w:cs="Arial"/>
          <w:b/>
          <w:bCs/>
          <w:snapToGrid w:val="0"/>
          <w:color w:val="000000"/>
          <w:kern w:val="2"/>
          <w:sz w:val="28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投标产品技术参数表</w:t>
      </w:r>
    </w:p>
    <w:tbl>
      <w:tblPr>
        <w:tblStyle w:val="5"/>
        <w:tblW w:w="501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692"/>
        <w:gridCol w:w="759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3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序号</w:t>
            </w:r>
          </w:p>
        </w:tc>
        <w:tc>
          <w:tcPr>
            <w:tcW w:w="83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名称</w:t>
            </w:r>
          </w:p>
        </w:tc>
        <w:tc>
          <w:tcPr>
            <w:tcW w:w="37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  <w:t>主要技术参数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和性能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  <w:jc w:val="center"/>
        </w:trPr>
        <w:tc>
          <w:tcPr>
            <w:tcW w:w="43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1</w:t>
            </w:r>
          </w:p>
        </w:tc>
        <w:tc>
          <w:tcPr>
            <w:tcW w:w="83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全二维超高效液相色谱四级杆飞行时间质谱联用仪</w:t>
            </w:r>
          </w:p>
        </w:tc>
        <w:tc>
          <w:tcPr>
            <w:tcW w:w="37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  <w:jc w:val="center"/>
        </w:trPr>
        <w:tc>
          <w:tcPr>
            <w:tcW w:w="43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2</w:t>
            </w:r>
          </w:p>
        </w:tc>
        <w:tc>
          <w:tcPr>
            <w:tcW w:w="83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氮气发生器</w:t>
            </w:r>
          </w:p>
        </w:tc>
        <w:tc>
          <w:tcPr>
            <w:tcW w:w="37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  <w:jc w:val="center"/>
        </w:trPr>
        <w:tc>
          <w:tcPr>
            <w:tcW w:w="43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3</w:t>
            </w:r>
          </w:p>
        </w:tc>
        <w:tc>
          <w:tcPr>
            <w:tcW w:w="83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不间断电源UPS</w:t>
            </w:r>
          </w:p>
        </w:tc>
        <w:tc>
          <w:tcPr>
            <w:tcW w:w="37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  <w:jc w:val="center"/>
        </w:trPr>
        <w:tc>
          <w:tcPr>
            <w:tcW w:w="43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4</w:t>
            </w:r>
          </w:p>
        </w:tc>
        <w:tc>
          <w:tcPr>
            <w:tcW w:w="83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激光打印机</w:t>
            </w:r>
          </w:p>
        </w:tc>
        <w:tc>
          <w:tcPr>
            <w:tcW w:w="37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  <w:jc w:val="center"/>
        </w:trPr>
        <w:tc>
          <w:tcPr>
            <w:tcW w:w="43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5</w:t>
            </w:r>
          </w:p>
        </w:tc>
        <w:tc>
          <w:tcPr>
            <w:tcW w:w="83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计算机系统</w:t>
            </w:r>
          </w:p>
        </w:tc>
        <w:tc>
          <w:tcPr>
            <w:tcW w:w="37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  <w:jc w:val="center"/>
        </w:trPr>
        <w:tc>
          <w:tcPr>
            <w:tcW w:w="43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6</w:t>
            </w:r>
          </w:p>
        </w:tc>
        <w:tc>
          <w:tcPr>
            <w:tcW w:w="83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常用耗品</w:t>
            </w:r>
          </w:p>
        </w:tc>
        <w:tc>
          <w:tcPr>
            <w:tcW w:w="37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Arial" w:cs="Arial"/>
          <w:color w:val="000000"/>
          <w:kern w:val="0"/>
          <w:sz w:val="21"/>
          <w:szCs w:val="21"/>
          <w:lang w:eastAsia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660" w:leftChars="0" w:hanging="660" w:hangingChars="300"/>
        <w:jc w:val="left"/>
        <w:textAlignment w:val="auto"/>
        <w:rPr>
          <w:rFonts w:hint="default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注：1.全二维超高效液相色谱四级杆飞行时间质谱联用仪的</w:t>
      </w: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en-US" w:bidi="ar-SA"/>
        </w:rPr>
        <w:t>主要技术参数</w:t>
      </w: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和性能包含配套软件系统的功能。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440" w:firstLineChars="200"/>
        <w:jc w:val="left"/>
        <w:textAlignment w:val="auto"/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  <w:t>2</w:t>
      </w: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.后附评审所需相关证明材料。（提供进口产品的需同时提供中文译文。）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440" w:firstLineChars="200"/>
        <w:jc w:val="left"/>
        <w:textAlignment w:val="auto"/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</w:pP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3.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投标人应如实填写投标产品的参数和性能，如完全拷贝招标文件的参数，评标委员可以对投标产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660" w:firstLineChars="300"/>
        <w:jc w:val="left"/>
        <w:textAlignment w:val="auto"/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品参数不予认可，</w:t>
      </w: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其后果由投标人自行承担。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44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4.此文件需自行编制页码，便于评标委员会评审。</w:t>
      </w:r>
    </w:p>
    <w:sectPr>
      <w:pgSz w:w="11906" w:h="16838"/>
      <w:pgMar w:top="1440" w:right="850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zYWMwNzk0NDM0YTY1MTdmNjc5YzhiZmRkODE5ODYifQ=="/>
    <w:docVar w:name="KSO_WPS_MARK_KEY" w:val="2a201c17-a110-4b7e-8da7-64a4f5623918"/>
  </w:docVars>
  <w:rsids>
    <w:rsidRoot w:val="00000000"/>
    <w:rsid w:val="0DBD437A"/>
    <w:rsid w:val="21A03609"/>
    <w:rsid w:val="254E7977"/>
    <w:rsid w:val="2CC75CBE"/>
    <w:rsid w:val="2D055F73"/>
    <w:rsid w:val="3FF30959"/>
    <w:rsid w:val="3FF9428E"/>
    <w:rsid w:val="44AE1BDD"/>
    <w:rsid w:val="47306138"/>
    <w:rsid w:val="5481728A"/>
    <w:rsid w:val="5ACD1A3D"/>
    <w:rsid w:val="5F57611C"/>
    <w:rsid w:val="5F5A2448"/>
    <w:rsid w:val="68E71BBC"/>
    <w:rsid w:val="691B6E9E"/>
    <w:rsid w:val="76B6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269</Characters>
  <Lines>0</Lines>
  <Paragraphs>0</Paragraphs>
  <TotalTime>4</TotalTime>
  <ScaleCrop>false</ScaleCrop>
  <LinksUpToDate>false</LinksUpToDate>
  <CharactersWithSpaces>269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张小民</cp:lastModifiedBy>
  <dcterms:modified xsi:type="dcterms:W3CDTF">2024-04-08T15:25:20Z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DFA87F5597764438A9D74D7704E36153</vt:lpwstr>
  </property>
</Properties>
</file>