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left"/>
        <w:outlineLvl w:val="2"/>
        <w:rPr>
          <w:b/>
          <w:sz w:val="28"/>
        </w:rPr>
      </w:pPr>
      <w:r>
        <w:rPr>
          <w:b/>
          <w:sz w:val="28"/>
        </w:rPr>
        <w:t>3.5其他要求</w:t>
      </w:r>
    </w:p>
    <w:p>
      <w:pPr>
        <w:pStyle w:val="10"/>
        <w:outlineLvl w:val="3"/>
        <w:rPr>
          <w:rFonts w:hint="eastAsia"/>
          <w:b/>
          <w:sz w:val="24"/>
        </w:rPr>
      </w:pPr>
      <w:r>
        <w:rPr>
          <w:rFonts w:hint="eastAsia"/>
          <w:b/>
          <w:sz w:val="24"/>
          <w:lang w:val="en-US" w:eastAsia="zh-CN"/>
        </w:rPr>
        <w:t>3.5.1</w:t>
      </w:r>
      <w:r>
        <w:rPr>
          <w:rFonts w:hint="eastAsia"/>
          <w:b/>
          <w:sz w:val="24"/>
        </w:rPr>
        <w:t>项目概述</w:t>
      </w:r>
    </w:p>
    <w:tbl>
      <w:tblPr>
        <w:tblStyle w:val="8"/>
        <w:tblpPr w:leftFromText="180" w:rightFromText="180" w:vertAnchor="text" w:horzAnchor="page" w:tblpX="1957" w:tblpY="100"/>
        <w:tblOverlap w:val="never"/>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
        <w:gridCol w:w="1306"/>
        <w:gridCol w:w="6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835" w:type="dxa"/>
            <w:shd w:val="clear" w:color="auto" w:fill="A6A6A6"/>
            <w:vAlign w:val="center"/>
          </w:tcPr>
          <w:p>
            <w:pPr>
              <w:jc w:val="center"/>
              <w:rPr>
                <w:sz w:val="21"/>
                <w:szCs w:val="21"/>
              </w:rPr>
            </w:pPr>
            <w:r>
              <w:rPr>
                <w:rFonts w:hint="eastAsia"/>
                <w:sz w:val="21"/>
                <w:szCs w:val="21"/>
              </w:rPr>
              <w:t>序号</w:t>
            </w:r>
          </w:p>
        </w:tc>
        <w:tc>
          <w:tcPr>
            <w:tcW w:w="1306" w:type="dxa"/>
            <w:shd w:val="clear" w:color="auto" w:fill="A6A6A6"/>
            <w:vAlign w:val="center"/>
          </w:tcPr>
          <w:p>
            <w:pPr>
              <w:jc w:val="center"/>
              <w:rPr>
                <w:sz w:val="21"/>
                <w:szCs w:val="21"/>
              </w:rPr>
            </w:pPr>
            <w:r>
              <w:rPr>
                <w:rFonts w:hint="eastAsia"/>
                <w:sz w:val="21"/>
                <w:szCs w:val="21"/>
              </w:rPr>
              <w:t>内容</w:t>
            </w:r>
          </w:p>
        </w:tc>
        <w:tc>
          <w:tcPr>
            <w:tcW w:w="6920" w:type="dxa"/>
            <w:shd w:val="clear" w:color="auto" w:fill="A6A6A6"/>
          </w:tcPr>
          <w:p>
            <w:pPr>
              <w:jc w:val="center"/>
              <w:rPr>
                <w:sz w:val="21"/>
                <w:szCs w:val="21"/>
              </w:rPr>
            </w:pPr>
            <w:r>
              <w:rPr>
                <w:rFonts w:hint="eastAsia"/>
                <w:sz w:val="21"/>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835" w:type="dxa"/>
            <w:vAlign w:val="center"/>
          </w:tcPr>
          <w:p>
            <w:pPr>
              <w:jc w:val="center"/>
              <w:rPr>
                <w:sz w:val="21"/>
                <w:szCs w:val="21"/>
              </w:rPr>
            </w:pPr>
            <w:r>
              <w:rPr>
                <w:rFonts w:hint="eastAsia"/>
                <w:sz w:val="21"/>
                <w:szCs w:val="21"/>
              </w:rPr>
              <w:t>1</w:t>
            </w:r>
          </w:p>
        </w:tc>
        <w:tc>
          <w:tcPr>
            <w:tcW w:w="1306" w:type="dxa"/>
            <w:vAlign w:val="center"/>
          </w:tcPr>
          <w:p>
            <w:pPr>
              <w:jc w:val="center"/>
              <w:rPr>
                <w:sz w:val="21"/>
                <w:szCs w:val="21"/>
              </w:rPr>
            </w:pPr>
            <w:r>
              <w:rPr>
                <w:rFonts w:hint="eastAsia"/>
                <w:sz w:val="21"/>
                <w:szCs w:val="21"/>
              </w:rPr>
              <w:t>项目目标</w:t>
            </w:r>
          </w:p>
        </w:tc>
        <w:tc>
          <w:tcPr>
            <w:tcW w:w="6920" w:type="dxa"/>
            <w:vAlign w:val="center"/>
          </w:tcPr>
          <w:p>
            <w:pPr>
              <w:ind w:firstLine="420" w:firstLineChars="200"/>
              <w:rPr>
                <w:rFonts w:hint="eastAsia" w:eastAsiaTheme="minorEastAsia"/>
                <w:color w:val="auto"/>
                <w:sz w:val="21"/>
                <w:szCs w:val="21"/>
                <w:lang w:eastAsia="zh-CN"/>
              </w:rPr>
            </w:pPr>
            <w:r>
              <w:rPr>
                <w:rFonts w:hint="eastAsia"/>
                <w:color w:val="auto"/>
                <w:sz w:val="21"/>
                <w:szCs w:val="21"/>
                <w:lang w:val="en-US" w:eastAsia="zh-CN" w:bidi="en-US"/>
              </w:rPr>
              <w:t>通过完成</w:t>
            </w:r>
            <w:r>
              <w:rPr>
                <w:rFonts w:hint="eastAsia"/>
                <w:color w:val="auto"/>
                <w:sz w:val="21"/>
                <w:szCs w:val="21"/>
                <w:lang w:bidi="en-US"/>
              </w:rPr>
              <w:t>流动相对重力、流动地磁、跨断层水准观测设备</w:t>
            </w:r>
            <w:r>
              <w:rPr>
                <w:rFonts w:hint="eastAsia"/>
                <w:color w:val="auto"/>
                <w:sz w:val="21"/>
                <w:szCs w:val="21"/>
                <w:lang w:val="en-US" w:eastAsia="zh-CN" w:bidi="en-US"/>
              </w:rPr>
              <w:t>的更新采购</w:t>
            </w:r>
            <w:r>
              <w:rPr>
                <w:rFonts w:hint="eastAsia"/>
                <w:color w:val="auto"/>
                <w:sz w:val="21"/>
                <w:szCs w:val="21"/>
                <w:lang w:bidi="en-US"/>
              </w:rPr>
              <w:t>，全面提升陕西省地震监测基础能力，强化地震短临跟踪和异常核实，提升地震观测的智能化、技术装备的现代化水平。全面推进陕西防震减灾事业高质量发展，以更高水平地震安全为陕西经济社会高质量发展保驾护航</w:t>
            </w: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835" w:type="dxa"/>
            <w:vAlign w:val="center"/>
          </w:tcPr>
          <w:p>
            <w:pPr>
              <w:jc w:val="center"/>
              <w:rPr>
                <w:sz w:val="21"/>
                <w:szCs w:val="21"/>
              </w:rPr>
            </w:pPr>
            <w:r>
              <w:rPr>
                <w:rFonts w:hint="eastAsia"/>
                <w:sz w:val="21"/>
                <w:szCs w:val="21"/>
              </w:rPr>
              <w:t>2</w:t>
            </w:r>
          </w:p>
        </w:tc>
        <w:tc>
          <w:tcPr>
            <w:tcW w:w="1306" w:type="dxa"/>
            <w:vAlign w:val="center"/>
          </w:tcPr>
          <w:p>
            <w:pPr>
              <w:jc w:val="center"/>
              <w:rPr>
                <w:sz w:val="21"/>
                <w:szCs w:val="21"/>
              </w:rPr>
            </w:pPr>
            <w:r>
              <w:rPr>
                <w:rFonts w:hint="eastAsia"/>
                <w:sz w:val="21"/>
                <w:szCs w:val="21"/>
              </w:rPr>
              <w:t>项目内容</w:t>
            </w:r>
          </w:p>
        </w:tc>
        <w:tc>
          <w:tcPr>
            <w:tcW w:w="6920" w:type="dxa"/>
            <w:vAlign w:val="center"/>
          </w:tcPr>
          <w:p>
            <w:pPr>
              <w:pStyle w:val="11"/>
              <w:spacing w:line="240" w:lineRule="auto"/>
              <w:ind w:firstLine="420" w:firstLineChars="200"/>
              <w:rPr>
                <w:rFonts w:ascii="宋体" w:hAnsi="宋体" w:eastAsia="宋体" w:cs="宋体"/>
                <w:bCs/>
                <w:color w:val="auto"/>
                <w:kern w:val="0"/>
                <w:sz w:val="21"/>
                <w:szCs w:val="21"/>
              </w:rPr>
            </w:pPr>
            <w:r>
              <w:rPr>
                <w:rFonts w:hint="eastAsia" w:asciiTheme="minorHAnsi" w:hAnsiTheme="minorHAnsi" w:eastAsiaTheme="minorEastAsia" w:cstheme="minorBidi"/>
                <w:color w:val="auto"/>
                <w:sz w:val="21"/>
                <w:szCs w:val="21"/>
                <w:lang w:bidi="en-US"/>
              </w:rPr>
              <w:t>采购</w:t>
            </w:r>
            <w:r>
              <w:rPr>
                <w:rFonts w:hint="eastAsia" w:asciiTheme="minorHAnsi" w:hAnsiTheme="minorHAnsi" w:eastAsiaTheme="minorEastAsia" w:cstheme="minorBidi"/>
                <w:color w:val="auto"/>
                <w:kern w:val="2"/>
                <w:sz w:val="21"/>
                <w:szCs w:val="21"/>
                <w:lang w:val="en-US" w:eastAsia="zh-CN" w:bidi="en-US"/>
              </w:rPr>
              <w:t>相对重力仪7套、磁通门经纬仪(6″)2套、质子</w:t>
            </w:r>
            <w:r>
              <w:rPr>
                <w:rFonts w:hint="eastAsia" w:ascii="宋体" w:hAnsi="宋体" w:eastAsia="宋体" w:cs="宋体"/>
                <w:color w:val="auto"/>
                <w:kern w:val="2"/>
                <w:sz w:val="21"/>
                <w:szCs w:val="21"/>
                <w:lang w:val="en-US" w:eastAsia="zh-CN" w:bidi="ar-SA"/>
              </w:rPr>
              <w:t>旋进</w:t>
            </w:r>
            <w:r>
              <w:rPr>
                <w:rFonts w:hint="eastAsia" w:asciiTheme="minorHAnsi" w:hAnsiTheme="minorHAnsi" w:eastAsiaTheme="minorEastAsia" w:cstheme="minorBidi"/>
                <w:color w:val="auto"/>
                <w:kern w:val="2"/>
                <w:sz w:val="21"/>
                <w:szCs w:val="21"/>
                <w:lang w:val="en-US" w:eastAsia="zh-CN" w:bidi="en-US"/>
              </w:rPr>
              <w:t>磁力仪2套、差分定位仪2台、全站仪4套、数字水准仪6套。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835" w:type="dxa"/>
            <w:vAlign w:val="center"/>
          </w:tcPr>
          <w:p>
            <w:pPr>
              <w:jc w:val="center"/>
              <w:rPr>
                <w:sz w:val="21"/>
                <w:szCs w:val="21"/>
              </w:rPr>
            </w:pPr>
            <w:r>
              <w:rPr>
                <w:rFonts w:hint="eastAsia"/>
                <w:sz w:val="21"/>
                <w:szCs w:val="21"/>
              </w:rPr>
              <w:t>3</w:t>
            </w:r>
          </w:p>
        </w:tc>
        <w:tc>
          <w:tcPr>
            <w:tcW w:w="1306" w:type="dxa"/>
            <w:vAlign w:val="center"/>
          </w:tcPr>
          <w:p>
            <w:pPr>
              <w:jc w:val="center"/>
              <w:rPr>
                <w:sz w:val="21"/>
                <w:szCs w:val="21"/>
              </w:rPr>
            </w:pPr>
            <w:r>
              <w:rPr>
                <w:rFonts w:hint="eastAsia"/>
                <w:sz w:val="21"/>
                <w:szCs w:val="21"/>
              </w:rPr>
              <w:t>项目范围</w:t>
            </w:r>
          </w:p>
        </w:tc>
        <w:tc>
          <w:tcPr>
            <w:tcW w:w="6920" w:type="dxa"/>
            <w:vAlign w:val="center"/>
          </w:tcPr>
          <w:p>
            <w:pPr>
              <w:pStyle w:val="7"/>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default" w:ascii="Calibri" w:hAnsi="Calibri" w:eastAsia="宋体" w:cs="Times New Roman"/>
                <w:color w:val="000000"/>
                <w:kern w:val="2"/>
                <w:sz w:val="21"/>
                <w:szCs w:val="21"/>
                <w:lang w:val="en-US" w:eastAsia="zh-CN" w:bidi="en-US"/>
              </w:rPr>
            </w:pPr>
            <w:r>
              <w:rPr>
                <w:rFonts w:hint="eastAsia" w:ascii="Calibri" w:hAnsi="Calibri" w:eastAsia="宋体" w:cs="Times New Roman"/>
                <w:color w:val="000000"/>
                <w:kern w:val="2"/>
                <w:sz w:val="21"/>
                <w:szCs w:val="21"/>
                <w:lang w:val="en-US" w:eastAsia="zh-CN" w:bidi="en-US"/>
              </w:rPr>
              <w:t>结合项目的建设目标和采购内容，该项目所涉及范围包含以下工作：</w:t>
            </w:r>
          </w:p>
          <w:p>
            <w:pPr>
              <w:pStyle w:val="7"/>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Calibri" w:hAnsi="Calibri" w:eastAsia="宋体" w:cs="Times New Roman"/>
                <w:color w:val="000000"/>
                <w:kern w:val="2"/>
                <w:sz w:val="21"/>
                <w:szCs w:val="21"/>
                <w:lang w:val="en-US" w:eastAsia="zh-CN" w:bidi="en-US"/>
              </w:rPr>
            </w:pPr>
            <w:r>
              <w:rPr>
                <w:rFonts w:hint="eastAsia" w:ascii="Calibri" w:hAnsi="Calibri" w:eastAsia="宋体" w:cs="Times New Roman"/>
                <w:color w:val="000000"/>
                <w:kern w:val="2"/>
                <w:sz w:val="21"/>
                <w:szCs w:val="21"/>
                <w:lang w:val="en-US" w:eastAsia="zh-CN" w:bidi="en-US"/>
              </w:rPr>
              <w:t>1.完成本次采购所涉及设备采购（包括仪器的出厂检测报告，第三方计量机构鉴定报告等相关资料）。</w:t>
            </w:r>
          </w:p>
          <w:p>
            <w:pPr>
              <w:pStyle w:val="7"/>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Calibri" w:hAnsi="Calibri" w:eastAsia="宋体" w:cs="Times New Roman"/>
                <w:color w:val="000000"/>
                <w:kern w:val="2"/>
                <w:sz w:val="21"/>
                <w:szCs w:val="21"/>
                <w:lang w:val="en-US" w:eastAsia="zh-CN" w:bidi="en-US"/>
              </w:rPr>
            </w:pPr>
            <w:r>
              <w:rPr>
                <w:rFonts w:hint="eastAsia" w:ascii="Calibri" w:hAnsi="Calibri" w:eastAsia="宋体" w:cs="Times New Roman"/>
                <w:color w:val="000000"/>
                <w:kern w:val="2"/>
                <w:sz w:val="21"/>
                <w:szCs w:val="21"/>
                <w:lang w:val="en-US" w:eastAsia="zh-CN" w:bidi="en-US"/>
              </w:rPr>
              <w:t>2.完成采购涉及的所有设备、配件、耗材等的供货，现场验收、仪器测试、资产入库、竣工验收等工作。</w:t>
            </w:r>
          </w:p>
          <w:p>
            <w:pPr>
              <w:pStyle w:val="7"/>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Calibri" w:hAnsi="Calibri" w:eastAsia="宋体" w:cs="Times New Roman"/>
                <w:color w:val="000000"/>
                <w:kern w:val="2"/>
                <w:sz w:val="21"/>
                <w:szCs w:val="21"/>
                <w:lang w:val="en-US" w:eastAsia="zh-CN" w:bidi="en-US"/>
              </w:rPr>
            </w:pPr>
            <w:r>
              <w:rPr>
                <w:rFonts w:hint="eastAsia" w:ascii="Calibri" w:hAnsi="Calibri" w:eastAsia="宋体" w:cs="Times New Roman"/>
                <w:color w:val="000000"/>
                <w:kern w:val="2"/>
                <w:sz w:val="21"/>
                <w:szCs w:val="21"/>
                <w:lang w:val="en-US" w:eastAsia="zh-CN" w:bidi="en-US"/>
              </w:rPr>
              <w:t>3.向采购人提供相关设备的现场培训、操作指导、技术支持等服务。</w:t>
            </w:r>
          </w:p>
          <w:p>
            <w:pPr>
              <w:pStyle w:val="7"/>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Calibri" w:hAnsi="Calibri" w:eastAsia="宋体" w:cs="Times New Roman"/>
                <w:color w:val="000000"/>
                <w:kern w:val="2"/>
                <w:sz w:val="21"/>
                <w:szCs w:val="21"/>
                <w:lang w:val="en-US" w:eastAsia="zh-CN" w:bidi="en-US"/>
              </w:rPr>
            </w:pPr>
            <w:r>
              <w:rPr>
                <w:rFonts w:hint="eastAsia" w:ascii="Calibri" w:hAnsi="Calibri" w:eastAsia="宋体" w:cs="Times New Roman"/>
                <w:color w:val="000000"/>
                <w:kern w:val="2"/>
                <w:sz w:val="21"/>
                <w:szCs w:val="21"/>
                <w:lang w:val="en-US" w:eastAsia="zh-CN" w:bidi="en-US"/>
              </w:rPr>
              <w:t>4.向采购人提供维护服务：质量保证期内，若所提供的产品出现质量问题，供货商及时响应，负责免费退换或修理，质量保证期结束后的维修，只收取工本及耗材费。</w:t>
            </w:r>
          </w:p>
          <w:p>
            <w:pPr>
              <w:spacing w:line="240" w:lineRule="auto"/>
              <w:ind w:firstLine="420" w:firstLineChars="200"/>
              <w:rPr>
                <w:rFonts w:hint="eastAsia"/>
                <w:color w:val="auto"/>
                <w:sz w:val="21"/>
                <w:szCs w:val="21"/>
              </w:rPr>
            </w:pPr>
            <w:r>
              <w:rPr>
                <w:rFonts w:hint="eastAsia" w:ascii="Calibri" w:hAnsi="Calibri" w:eastAsia="宋体" w:cs="Times New Roman"/>
                <w:color w:val="000000"/>
                <w:kern w:val="2"/>
                <w:sz w:val="21"/>
                <w:szCs w:val="21"/>
                <w:lang w:val="en-US" w:eastAsia="zh-CN" w:bidi="en-US"/>
              </w:rPr>
              <w:t>5.供应商提供软件、系统免费使用及升级服务，并及时处理其他相关情况。</w:t>
            </w:r>
          </w:p>
        </w:tc>
      </w:tr>
    </w:tbl>
    <w:p>
      <w:pPr>
        <w:rPr>
          <w:rFonts w:hint="eastAsia"/>
          <w:b/>
          <w:bCs/>
          <w:sz w:val="21"/>
          <w:szCs w:val="21"/>
          <w:lang w:val="en-US" w:eastAsia="zh-CN"/>
        </w:rPr>
      </w:pPr>
    </w:p>
    <w:p>
      <w:pPr>
        <w:pStyle w:val="10"/>
        <w:outlineLvl w:val="3"/>
        <w:rPr>
          <w:rFonts w:hint="eastAsia"/>
          <w:b/>
          <w:sz w:val="24"/>
          <w:lang w:val="en-US" w:eastAsia="zh-CN"/>
        </w:rPr>
      </w:pPr>
      <w:r>
        <w:rPr>
          <w:rFonts w:hint="eastAsia"/>
          <w:b/>
          <w:sz w:val="24"/>
          <w:lang w:val="en-US" w:eastAsia="zh-CN"/>
        </w:rPr>
        <w:t>3.5.2采购需求</w:t>
      </w:r>
    </w:p>
    <w:tbl>
      <w:tblPr>
        <w:tblStyle w:val="8"/>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
        <w:gridCol w:w="1305"/>
        <w:gridCol w:w="68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931" w:type="dxa"/>
            <w:shd w:val="clear" w:color="auto" w:fill="A6A6A6"/>
            <w:vAlign w:val="center"/>
          </w:tcPr>
          <w:p>
            <w:pPr>
              <w:jc w:val="center"/>
              <w:rPr>
                <w:sz w:val="21"/>
                <w:szCs w:val="21"/>
              </w:rPr>
            </w:pPr>
            <w:r>
              <w:rPr>
                <w:rFonts w:hint="eastAsia"/>
                <w:sz w:val="21"/>
                <w:szCs w:val="21"/>
              </w:rPr>
              <w:t>序号</w:t>
            </w:r>
          </w:p>
        </w:tc>
        <w:tc>
          <w:tcPr>
            <w:tcW w:w="1305" w:type="dxa"/>
            <w:shd w:val="clear" w:color="auto" w:fill="A6A6A6"/>
            <w:vAlign w:val="center"/>
          </w:tcPr>
          <w:p>
            <w:pPr>
              <w:jc w:val="center"/>
              <w:rPr>
                <w:sz w:val="21"/>
                <w:szCs w:val="21"/>
              </w:rPr>
            </w:pPr>
            <w:r>
              <w:rPr>
                <w:rFonts w:hint="eastAsia"/>
                <w:sz w:val="21"/>
                <w:szCs w:val="21"/>
              </w:rPr>
              <w:t>内容</w:t>
            </w:r>
          </w:p>
        </w:tc>
        <w:tc>
          <w:tcPr>
            <w:tcW w:w="6825" w:type="dxa"/>
            <w:shd w:val="clear" w:color="auto" w:fill="A6A6A6"/>
          </w:tcPr>
          <w:p>
            <w:pPr>
              <w:jc w:val="center"/>
              <w:rPr>
                <w:sz w:val="21"/>
                <w:szCs w:val="21"/>
              </w:rPr>
            </w:pPr>
            <w:r>
              <w:rPr>
                <w:rFonts w:hint="eastAsia"/>
                <w:sz w:val="21"/>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931" w:type="dxa"/>
            <w:vAlign w:val="center"/>
          </w:tcPr>
          <w:p>
            <w:pPr>
              <w:jc w:val="center"/>
              <w:rPr>
                <w:sz w:val="21"/>
                <w:szCs w:val="21"/>
              </w:rPr>
            </w:pPr>
            <w:r>
              <w:rPr>
                <w:rFonts w:hint="eastAsia"/>
                <w:sz w:val="21"/>
                <w:szCs w:val="21"/>
              </w:rPr>
              <w:t>1</w:t>
            </w:r>
          </w:p>
        </w:tc>
        <w:tc>
          <w:tcPr>
            <w:tcW w:w="1305" w:type="dxa"/>
            <w:vAlign w:val="center"/>
          </w:tcPr>
          <w:p>
            <w:pPr>
              <w:jc w:val="center"/>
              <w:rPr>
                <w:sz w:val="21"/>
                <w:szCs w:val="21"/>
              </w:rPr>
            </w:pPr>
            <w:r>
              <w:rPr>
                <w:rFonts w:hint="eastAsia"/>
                <w:sz w:val="21"/>
                <w:szCs w:val="21"/>
              </w:rPr>
              <w:t>技术需求</w:t>
            </w:r>
          </w:p>
        </w:tc>
        <w:tc>
          <w:tcPr>
            <w:tcW w:w="6825" w:type="dxa"/>
            <w:vAlign w:val="center"/>
          </w:tcPr>
          <w:p>
            <w:pPr>
              <w:pStyle w:val="12"/>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color w:val="auto"/>
                <w:sz w:val="21"/>
                <w:szCs w:val="21"/>
                <w:lang w:bidi="en-US"/>
              </w:rPr>
            </w:pPr>
            <w:r>
              <w:rPr>
                <w:rFonts w:hint="eastAsia"/>
                <w:color w:val="auto"/>
                <w:sz w:val="21"/>
                <w:szCs w:val="21"/>
                <w:lang w:bidi="en-US"/>
              </w:rPr>
              <w:t>设备满足以下技术需求：</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宋体" w:hAnsi="宋体" w:eastAsia="宋体" w:cs="宋体"/>
                <w:color w:val="000000" w:themeColor="text1"/>
                <w:kern w:val="0"/>
                <w:sz w:val="21"/>
                <w:szCs w:val="21"/>
                <w:lang w:eastAsia="zh-CN"/>
                <w14:textFill>
                  <w14:solidFill>
                    <w14:schemeClr w14:val="tx1"/>
                  </w14:solidFill>
                </w14:textFill>
              </w:rPr>
            </w:pPr>
            <w:r>
              <w:rPr>
                <w:rFonts w:hint="eastAsia"/>
                <w:b/>
                <w:bCs/>
                <w:color w:val="auto"/>
                <w:sz w:val="21"/>
                <w:szCs w:val="21"/>
                <w:shd w:val="clear" w:color="auto" w:fill="auto"/>
                <w:lang w:val="en-US" w:eastAsia="zh-CN" w:bidi="en-US"/>
              </w:rPr>
              <w:t>1、相对重力仪</w:t>
            </w:r>
            <w:r>
              <w:rPr>
                <w:rFonts w:hint="eastAsia"/>
                <w:b/>
                <w:bCs/>
                <w:color w:val="auto"/>
                <w:sz w:val="21"/>
                <w:szCs w:val="21"/>
                <w:shd w:val="clear" w:color="auto" w:fill="auto"/>
                <w:lang w:bidi="en-US"/>
              </w:rPr>
              <w:t>：</w:t>
            </w:r>
            <w:r>
              <w:rPr>
                <w:rFonts w:hint="eastAsia" w:ascii="宋体" w:hAnsi="宋体" w:eastAsia="宋体" w:cs="宋体"/>
                <w:color w:val="000000" w:themeColor="text1"/>
                <w:sz w:val="21"/>
                <w:szCs w:val="21"/>
                <w14:textFill>
                  <w14:solidFill>
                    <w14:schemeClr w14:val="tx1"/>
                  </w14:solidFill>
                </w14:textFill>
              </w:rPr>
              <w:t>1.直接测程</w:t>
            </w:r>
            <w:r>
              <w:rPr>
                <w:rFonts w:hint="eastAsia" w:ascii="宋体" w:hAnsi="宋体" w:eastAsia="宋体" w:cs="宋体"/>
                <w:color w:val="000000" w:themeColor="text1"/>
                <w:kern w:val="0"/>
                <w:sz w:val="21"/>
                <w:szCs w:val="21"/>
                <w14:textFill>
                  <w14:solidFill>
                    <w14:schemeClr w14:val="tx1"/>
                  </w14:solidFill>
                </w14:textFill>
              </w:rPr>
              <w:t>：≥50×10</w:t>
            </w:r>
            <w:r>
              <w:rPr>
                <w:rFonts w:hint="eastAsia" w:ascii="宋体" w:hAnsi="宋体" w:eastAsia="宋体" w:cs="宋体"/>
                <w:color w:val="000000" w:themeColor="text1"/>
                <w:kern w:val="0"/>
                <w:sz w:val="21"/>
                <w:szCs w:val="21"/>
                <w:vertAlign w:val="superscript"/>
                <w14:textFill>
                  <w14:solidFill>
                    <w14:schemeClr w14:val="tx1"/>
                  </w14:solidFill>
                </w14:textFill>
              </w:rPr>
              <w:t>-5</w:t>
            </w:r>
            <w:r>
              <w:rPr>
                <w:rFonts w:hint="eastAsia" w:ascii="宋体" w:hAnsi="宋体" w:eastAsia="宋体" w:cs="宋体"/>
                <w:color w:val="000000" w:themeColor="text1"/>
                <w:kern w:val="0"/>
                <w:sz w:val="21"/>
                <w:szCs w:val="21"/>
                <w14:textFill>
                  <w14:solidFill>
                    <w14:schemeClr w14:val="tx1"/>
                  </w14:solidFill>
                </w14:textFill>
              </w:rPr>
              <w:t>ms</w:t>
            </w:r>
            <w:r>
              <w:rPr>
                <w:rFonts w:hint="eastAsia" w:ascii="宋体" w:hAnsi="宋体" w:eastAsia="宋体" w:cs="宋体"/>
                <w:color w:val="000000" w:themeColor="text1"/>
                <w:kern w:val="0"/>
                <w:sz w:val="21"/>
                <w:szCs w:val="21"/>
                <w:vertAlign w:val="superscript"/>
                <w14:textFill>
                  <w14:solidFill>
                    <w14:schemeClr w14:val="tx1"/>
                  </w14:solidFill>
                </w14:textFill>
              </w:rPr>
              <w:t>-2</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2.格值精度：</w:t>
            </w:r>
            <w:bookmarkStart w:id="0" w:name="OLE_LINK7"/>
            <w:r>
              <w:rPr>
                <w:rFonts w:hint="eastAsia" w:ascii="宋体" w:hAnsi="宋体" w:eastAsia="宋体" w:cs="宋体"/>
                <w:color w:val="000000" w:themeColor="text1"/>
                <w:kern w:val="0"/>
                <w:sz w:val="21"/>
                <w:szCs w:val="21"/>
                <w14:textFill>
                  <w14:solidFill>
                    <w14:schemeClr w14:val="tx1"/>
                  </w14:solidFill>
                </w14:textFill>
              </w:rPr>
              <w:t>≤</w:t>
            </w:r>
            <w:bookmarkEnd w:id="0"/>
            <w:r>
              <w:rPr>
                <w:rFonts w:hint="eastAsia" w:ascii="宋体" w:hAnsi="宋体" w:eastAsia="宋体" w:cs="宋体"/>
                <w:color w:val="000000" w:themeColor="text1"/>
                <w:sz w:val="21"/>
                <w:szCs w:val="21"/>
                <w14:textFill>
                  <w14:solidFill>
                    <w14:schemeClr w14:val="tx1"/>
                  </w14:solidFill>
                </w14:textFill>
              </w:rPr>
              <w:t>5×10</w:t>
            </w:r>
            <w:r>
              <w:rPr>
                <w:rFonts w:hint="eastAsia" w:ascii="宋体" w:hAnsi="宋体" w:eastAsia="宋体" w:cs="宋体"/>
                <w:color w:val="000000" w:themeColor="text1"/>
                <w:sz w:val="21"/>
                <w:szCs w:val="21"/>
                <w:vertAlign w:val="superscript"/>
                <w14:textFill>
                  <w14:solidFill>
                    <w14:schemeClr w14:val="tx1"/>
                  </w14:solidFill>
                </w14:textFill>
              </w:rPr>
              <w:t>-5</w:t>
            </w: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分辨力</w:t>
            </w:r>
            <w:r>
              <w:rPr>
                <w:rFonts w:hint="eastAsia" w:ascii="宋体" w:hAnsi="宋体" w:eastAsia="宋体" w:cs="宋体"/>
                <w:color w:val="000000" w:themeColor="text1"/>
                <w:kern w:val="0"/>
                <w:sz w:val="21"/>
                <w:szCs w:val="21"/>
                <w14:textFill>
                  <w14:solidFill>
                    <w14:schemeClr w14:val="tx1"/>
                  </w14:solidFill>
                </w14:textFill>
              </w:rPr>
              <w:t>：≤10×10</w:t>
            </w:r>
            <w:r>
              <w:rPr>
                <w:rFonts w:hint="eastAsia" w:ascii="宋体" w:hAnsi="宋体" w:eastAsia="宋体" w:cs="宋体"/>
                <w:color w:val="000000" w:themeColor="text1"/>
                <w:kern w:val="0"/>
                <w:sz w:val="21"/>
                <w:szCs w:val="21"/>
                <w:vertAlign w:val="superscript"/>
                <w14:textFill>
                  <w14:solidFill>
                    <w14:schemeClr w14:val="tx1"/>
                  </w14:solidFill>
                </w14:textFill>
              </w:rPr>
              <w:t>-8</w:t>
            </w:r>
            <w:r>
              <w:rPr>
                <w:rFonts w:hint="eastAsia" w:ascii="宋体" w:hAnsi="宋体" w:eastAsia="宋体" w:cs="宋体"/>
                <w:color w:val="000000" w:themeColor="text1"/>
                <w:kern w:val="0"/>
                <w:sz w:val="21"/>
                <w:szCs w:val="21"/>
                <w14:textFill>
                  <w14:solidFill>
                    <w14:schemeClr w14:val="tx1"/>
                  </w14:solidFill>
                </w14:textFill>
              </w:rPr>
              <w:t>ms</w:t>
            </w:r>
            <w:r>
              <w:rPr>
                <w:rFonts w:hint="eastAsia" w:ascii="宋体" w:hAnsi="宋体" w:eastAsia="宋体" w:cs="宋体"/>
                <w:color w:val="000000" w:themeColor="text1"/>
                <w:kern w:val="0"/>
                <w:sz w:val="21"/>
                <w:szCs w:val="21"/>
                <w:vertAlign w:val="superscript"/>
                <w14:textFill>
                  <w14:solidFill>
                    <w14:schemeClr w14:val="tx1"/>
                  </w14:solidFill>
                </w14:textFill>
              </w:rPr>
              <w:t>-2</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4.重复性标准差</w:t>
            </w:r>
            <w:bookmarkStart w:id="1" w:name="OLE_LINK6"/>
            <w:r>
              <w:rPr>
                <w:rFonts w:hint="eastAsia" w:ascii="宋体" w:hAnsi="宋体" w:eastAsia="宋体" w:cs="宋体"/>
                <w:color w:val="000000" w:themeColor="text1"/>
                <w:kern w:val="0"/>
                <w:sz w:val="21"/>
                <w:szCs w:val="21"/>
                <w14:textFill>
                  <w14:solidFill>
                    <w14:schemeClr w14:val="tx1"/>
                  </w14:solidFill>
                </w14:textFill>
              </w:rPr>
              <w:t>：</w:t>
            </w:r>
            <w:bookmarkEnd w:id="1"/>
            <w:bookmarkStart w:id="2" w:name="OLE_LINK3"/>
            <w:r>
              <w:rPr>
                <w:rFonts w:hint="eastAsia" w:ascii="宋体" w:hAnsi="宋体" w:eastAsia="宋体" w:cs="宋体"/>
                <w:color w:val="000000" w:themeColor="text1"/>
                <w:kern w:val="0"/>
                <w:sz w:val="21"/>
                <w:szCs w:val="21"/>
                <w14:textFill>
                  <w14:solidFill>
                    <w14:schemeClr w14:val="tx1"/>
                  </w14:solidFill>
                </w14:textFill>
              </w:rPr>
              <w:t>≤</w:t>
            </w:r>
            <w:bookmarkEnd w:id="2"/>
            <w:r>
              <w:rPr>
                <w:rFonts w:hint="eastAsia" w:ascii="宋体" w:hAnsi="宋体" w:eastAsia="宋体" w:cs="宋体"/>
                <w:color w:val="000000" w:themeColor="text1"/>
                <w:kern w:val="0"/>
                <w:sz w:val="21"/>
                <w:szCs w:val="21"/>
                <w14:textFill>
                  <w14:solidFill>
                    <w14:schemeClr w14:val="tx1"/>
                  </w14:solidFill>
                </w14:textFill>
              </w:rPr>
              <w:t>20×10</w:t>
            </w:r>
            <w:r>
              <w:rPr>
                <w:rFonts w:hint="eastAsia" w:ascii="宋体" w:hAnsi="宋体" w:eastAsia="宋体" w:cs="宋体"/>
                <w:color w:val="000000" w:themeColor="text1"/>
                <w:kern w:val="0"/>
                <w:sz w:val="21"/>
                <w:szCs w:val="21"/>
                <w:vertAlign w:val="superscript"/>
                <w14:textFill>
                  <w14:solidFill>
                    <w14:schemeClr w14:val="tx1"/>
                  </w14:solidFill>
                </w14:textFill>
              </w:rPr>
              <w:t>-8</w:t>
            </w:r>
            <w:r>
              <w:rPr>
                <w:rFonts w:hint="eastAsia" w:ascii="宋体" w:hAnsi="宋体" w:eastAsia="宋体" w:cs="宋体"/>
                <w:color w:val="000000" w:themeColor="text1"/>
                <w:kern w:val="0"/>
                <w:sz w:val="21"/>
                <w:szCs w:val="21"/>
                <w14:textFill>
                  <w14:solidFill>
                    <w14:schemeClr w14:val="tx1"/>
                  </w14:solidFill>
                </w14:textFill>
              </w:rPr>
              <w:t>ms</w:t>
            </w:r>
            <w:r>
              <w:rPr>
                <w:rFonts w:hint="eastAsia" w:ascii="宋体" w:hAnsi="宋体" w:eastAsia="宋体" w:cs="宋体"/>
                <w:color w:val="000000" w:themeColor="text1"/>
                <w:kern w:val="0"/>
                <w:sz w:val="21"/>
                <w:szCs w:val="21"/>
                <w:vertAlign w:val="superscript"/>
                <w14:textFill>
                  <w14:solidFill>
                    <w14:schemeClr w14:val="tx1"/>
                  </w14:solidFill>
                </w14:textFill>
              </w:rPr>
              <w:t>-2</w:t>
            </w:r>
            <w:r>
              <w:rPr>
                <w:rFonts w:hint="eastAsia" w:ascii="宋体" w:hAnsi="宋体" w:eastAsia="宋体" w:cs="宋体"/>
                <w:color w:val="000000" w:themeColor="text1"/>
                <w:kern w:val="0"/>
                <w:sz w:val="21"/>
                <w:szCs w:val="21"/>
                <w:lang w:eastAsia="zh-CN"/>
                <w14:textFill>
                  <w14:solidFill>
                    <w14:schemeClr w14:val="tx1"/>
                  </w14:solidFill>
                </w14:textFill>
              </w:rPr>
              <w:t>；</w:t>
            </w:r>
            <w:r>
              <w:rPr>
                <w:rFonts w:hint="eastAsia" w:ascii="宋体" w:hAnsi="宋体" w:eastAsia="宋体" w:cs="宋体"/>
                <w:color w:val="000000" w:themeColor="text1"/>
                <w:kern w:val="0"/>
                <w:sz w:val="21"/>
                <w:szCs w:val="21"/>
                <w14:textFill>
                  <w14:solidFill>
                    <w14:schemeClr w14:val="tx1"/>
                  </w14:solidFill>
                </w14:textFill>
              </w:rPr>
              <w:t>5.残余漂移率：≤20×10</w:t>
            </w:r>
            <w:r>
              <w:rPr>
                <w:rFonts w:hint="eastAsia" w:ascii="宋体" w:hAnsi="宋体" w:eastAsia="宋体" w:cs="宋体"/>
                <w:color w:val="000000" w:themeColor="text1"/>
                <w:kern w:val="0"/>
                <w:sz w:val="21"/>
                <w:szCs w:val="21"/>
                <w:vertAlign w:val="superscript"/>
                <w14:textFill>
                  <w14:solidFill>
                    <w14:schemeClr w14:val="tx1"/>
                  </w14:solidFill>
                </w14:textFill>
              </w:rPr>
              <w:t>-8</w:t>
            </w:r>
            <w:r>
              <w:rPr>
                <w:rFonts w:hint="eastAsia" w:ascii="宋体" w:hAnsi="宋体" w:eastAsia="宋体" w:cs="宋体"/>
                <w:color w:val="000000" w:themeColor="text1"/>
                <w:kern w:val="0"/>
                <w:sz w:val="21"/>
                <w:szCs w:val="21"/>
                <w14:textFill>
                  <w14:solidFill>
                    <w14:schemeClr w14:val="tx1"/>
                  </w14:solidFill>
                </w14:textFill>
              </w:rPr>
              <w:t>ms</w:t>
            </w:r>
            <w:r>
              <w:rPr>
                <w:rFonts w:hint="eastAsia" w:ascii="宋体" w:hAnsi="宋体" w:eastAsia="宋体" w:cs="宋体"/>
                <w:color w:val="000000" w:themeColor="text1"/>
                <w:kern w:val="0"/>
                <w:sz w:val="21"/>
                <w:szCs w:val="21"/>
                <w:vertAlign w:val="superscript"/>
                <w14:textFill>
                  <w14:solidFill>
                    <w14:schemeClr w14:val="tx1"/>
                  </w14:solidFill>
                </w14:textFill>
              </w:rPr>
              <w:t>-2</w:t>
            </w:r>
            <w:r>
              <w:rPr>
                <w:rFonts w:hint="eastAsia" w:ascii="宋体" w:hAnsi="宋体" w:eastAsia="宋体" w:cs="宋体"/>
                <w:color w:val="000000" w:themeColor="text1"/>
                <w:kern w:val="0"/>
                <w:sz w:val="21"/>
                <w:szCs w:val="21"/>
                <w14:textFill>
                  <w14:solidFill>
                    <w14:schemeClr w14:val="tx1"/>
                  </w14:solidFill>
                </w14:textFill>
              </w:rPr>
              <w:t xml:space="preserve"> /d</w:t>
            </w:r>
            <w:r>
              <w:rPr>
                <w:rFonts w:hint="eastAsia" w:ascii="宋体" w:hAnsi="宋体" w:eastAsia="宋体" w:cs="宋体"/>
                <w:color w:val="000000" w:themeColor="text1"/>
                <w:kern w:val="0"/>
                <w:sz w:val="21"/>
                <w:szCs w:val="21"/>
                <w:lang w:eastAsia="zh-CN"/>
                <w14:textFill>
                  <w14:solidFill>
                    <w14:schemeClr w14:val="tx1"/>
                  </w14:solidFill>
                </w14:textFill>
              </w:rPr>
              <w:t>；</w:t>
            </w:r>
            <w:r>
              <w:rPr>
                <w:rFonts w:hint="eastAsia" w:ascii="宋体" w:hAnsi="宋体" w:eastAsia="宋体" w:cs="宋体"/>
                <w:color w:val="000000" w:themeColor="text1"/>
                <w:kern w:val="0"/>
                <w:sz w:val="21"/>
                <w:szCs w:val="21"/>
                <w14:textFill>
                  <w14:solidFill>
                    <w14:schemeClr w14:val="tx1"/>
                  </w14:solidFill>
                </w14:textFill>
              </w:rPr>
              <w:t>6.接口要求：可以是RS232C、USB、CANBUS或TCP/IP协议接口中的任一种</w:t>
            </w:r>
            <w:r>
              <w:rPr>
                <w:rFonts w:hint="eastAsia" w:ascii="宋体" w:hAnsi="宋体" w:eastAsia="宋体" w:cs="宋体"/>
                <w:color w:val="000000" w:themeColor="text1"/>
                <w:kern w:val="0"/>
                <w:sz w:val="21"/>
                <w:szCs w:val="21"/>
                <w:lang w:eastAsia="zh-CN"/>
                <w14:textFill>
                  <w14:solidFill>
                    <w14:schemeClr w14:val="tx1"/>
                  </w14:solidFill>
                </w14:textFill>
              </w:rPr>
              <w:t>；</w:t>
            </w:r>
            <w:r>
              <w:rPr>
                <w:rFonts w:hint="eastAsia" w:ascii="宋体" w:hAnsi="宋体" w:eastAsia="宋体" w:cs="宋体"/>
                <w:color w:val="000000" w:themeColor="text1"/>
                <w:kern w:val="0"/>
                <w:sz w:val="21"/>
                <w:szCs w:val="21"/>
                <w14:textFill>
                  <w14:solidFill>
                    <w14:schemeClr w14:val="tx1"/>
                  </w14:solidFill>
                </w14:textFill>
              </w:rPr>
              <w:t>7.自带电池支撑连续工作时间不少于12小时</w:t>
            </w:r>
            <w:r>
              <w:rPr>
                <w:rFonts w:hint="eastAsia" w:ascii="宋体" w:hAnsi="宋体" w:eastAsia="宋体" w:cs="宋体"/>
                <w:color w:val="000000" w:themeColor="text1"/>
                <w:kern w:val="0"/>
                <w:sz w:val="21"/>
                <w:szCs w:val="21"/>
                <w:lang w:eastAsia="zh-CN"/>
                <w14:textFill>
                  <w14:solidFill>
                    <w14:schemeClr w14:val="tx1"/>
                  </w14:solidFill>
                </w14:textFill>
              </w:rPr>
              <w:t>；</w:t>
            </w:r>
            <w:r>
              <w:rPr>
                <w:rFonts w:hint="eastAsia" w:ascii="宋体" w:hAnsi="宋体" w:eastAsia="宋体" w:cs="宋体"/>
                <w:color w:val="000000" w:themeColor="text1"/>
                <w:kern w:val="0"/>
                <w:sz w:val="21"/>
                <w:szCs w:val="21"/>
                <w14:textFill>
                  <w14:solidFill>
                    <w14:schemeClr w14:val="tx1"/>
                  </w14:solidFill>
                </w14:textFill>
              </w:rPr>
              <w:t>8.仪器工作温度范围：-20℃</w:t>
            </w: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color w:val="000000" w:themeColor="text1"/>
                <w:kern w:val="0"/>
                <w:sz w:val="21"/>
                <w:szCs w:val="21"/>
                <w14:textFill>
                  <w14:solidFill>
                    <w14:schemeClr w14:val="tx1"/>
                  </w14:solidFill>
                </w14:textFill>
              </w:rPr>
              <w:t>40℃</w:t>
            </w:r>
            <w:r>
              <w:rPr>
                <w:rFonts w:hint="eastAsia" w:ascii="宋体" w:hAnsi="宋体" w:eastAsia="宋体" w:cs="宋体"/>
                <w:color w:val="000000" w:themeColor="text1"/>
                <w:kern w:val="0"/>
                <w:sz w:val="21"/>
                <w:szCs w:val="21"/>
                <w:lang w:eastAsia="zh-CN"/>
                <w14:textFill>
                  <w14:solidFill>
                    <w14:schemeClr w14:val="tx1"/>
                  </w14:solidFill>
                </w14:textFill>
              </w:rPr>
              <w:t>；</w:t>
            </w:r>
            <w:r>
              <w:rPr>
                <w:rFonts w:hint="eastAsia" w:ascii="宋体" w:hAnsi="宋体" w:eastAsia="宋体" w:cs="宋体"/>
                <w:color w:val="000000" w:themeColor="text1"/>
                <w:kern w:val="0"/>
                <w:sz w:val="21"/>
                <w:szCs w:val="21"/>
                <w14:textFill>
                  <w14:solidFill>
                    <w14:schemeClr w14:val="tx1"/>
                  </w14:solidFill>
                </w14:textFill>
              </w:rPr>
              <w:t>9.仪器工作相对湿度范围：≤90%</w:t>
            </w:r>
            <w:r>
              <w:rPr>
                <w:rFonts w:hint="eastAsia" w:ascii="宋体" w:hAnsi="宋体" w:eastAsia="宋体" w:cs="宋体"/>
                <w:color w:val="000000" w:themeColor="text1"/>
                <w:kern w:val="0"/>
                <w:sz w:val="21"/>
                <w:szCs w:val="21"/>
                <w:lang w:eastAsia="zh-CN"/>
                <w14:textFill>
                  <w14:solidFill>
                    <w14:schemeClr w14:val="tx1"/>
                  </w14:solidFill>
                </w14:textFill>
              </w:rPr>
              <w:t>；</w:t>
            </w:r>
            <w:r>
              <w:rPr>
                <w:rFonts w:hint="eastAsia" w:ascii="宋体" w:hAnsi="宋体" w:eastAsia="宋体" w:cs="宋体"/>
                <w:color w:val="000000" w:themeColor="text1"/>
                <w:kern w:val="0"/>
                <w:sz w:val="21"/>
                <w:szCs w:val="21"/>
                <w14:textFill>
                  <w14:solidFill>
                    <w14:schemeClr w14:val="tx1"/>
                  </w14:solidFill>
                </w14:textFill>
              </w:rPr>
              <w:t>10.安全要求：电击防护：性能应符合国家标准GB 4706.1-2005中规定的Ⅰ类器具要求；电气强度电压：仪器的交流电压输入端与机壳之间应能承受1750V（有效值）电压1min；泄漏电流：仪器交流变压器的次级对机壳漏电峰值小于3.5mA</w:t>
            </w:r>
            <w:r>
              <w:rPr>
                <w:rFonts w:hint="eastAsia" w:ascii="宋体" w:hAnsi="宋体" w:eastAsia="宋体" w:cs="宋体"/>
                <w:color w:val="000000" w:themeColor="text1"/>
                <w:kern w:val="0"/>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2、</w:t>
            </w:r>
            <w:r>
              <w:rPr>
                <w:rFonts w:hint="eastAsia" w:ascii="宋体" w:hAnsi="宋体" w:eastAsia="宋体" w:cs="宋体"/>
                <w:b/>
                <w:bCs/>
                <w:color w:val="000000" w:themeColor="text1"/>
                <w:sz w:val="21"/>
                <w:szCs w:val="21"/>
                <w14:textFill>
                  <w14:solidFill>
                    <w14:schemeClr w14:val="tx1"/>
                  </w14:solidFill>
                </w14:textFill>
              </w:rPr>
              <w:t>数字水准仪</w:t>
            </w:r>
            <w:r>
              <w:rPr>
                <w:rFonts w:hint="eastAsia" w:ascii="宋体" w:hAnsi="宋体" w:eastAsia="宋体" w:cs="宋体"/>
                <w:b/>
                <w:bCs/>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1.测量精度：0.3mm/km</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2.最小显示：0.01mm</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3.测量范围：1.8m～110m</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4.补偿范围：</w:t>
            </w:r>
            <w:bookmarkStart w:id="3" w:name="OLE_LINK12"/>
            <w:r>
              <w:rPr>
                <w:rFonts w:hint="eastAsia" w:ascii="宋体" w:hAnsi="宋体" w:eastAsia="宋体" w:cs="宋体"/>
                <w:color w:val="000000" w:themeColor="text1"/>
                <w:sz w:val="21"/>
                <w:szCs w:val="21"/>
                <w14:textFill>
                  <w14:solidFill>
                    <w14:schemeClr w14:val="tx1"/>
                  </w14:solidFill>
                </w14:textFill>
              </w:rPr>
              <w:t>≥</w:t>
            </w:r>
            <w:bookmarkEnd w:id="3"/>
            <w:r>
              <w:rPr>
                <w:rFonts w:hint="eastAsia" w:ascii="宋体" w:hAnsi="宋体" w:eastAsia="宋体" w:cs="宋体"/>
                <w:color w:val="000000" w:themeColor="text1"/>
                <w:sz w:val="21"/>
                <w:szCs w:val="21"/>
                <w14:textFill>
                  <w14:solidFill>
                    <w14:schemeClr w14:val="tx1"/>
                  </w14:solidFill>
                </w14:textFill>
              </w:rPr>
              <w:t>8′</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5.补偿误差：</w:t>
            </w:r>
            <w:r>
              <w:rPr>
                <w:rFonts w:hint="eastAsia" w:ascii="宋体" w:hAnsi="宋体" w:eastAsia="宋体" w:cs="宋体"/>
                <w:color w:val="000000" w:themeColor="text1"/>
                <w:kern w:val="0"/>
                <w:sz w:val="21"/>
                <w:szCs w:val="21"/>
                <w14:textFill>
                  <w14:solidFill>
                    <w14:schemeClr w14:val="tx1"/>
                  </w14:solidFill>
                </w14:textFill>
              </w:rPr>
              <w:t>≤0.20″/1′</w:t>
            </w:r>
            <w:r>
              <w:rPr>
                <w:rFonts w:hint="eastAsia" w:ascii="宋体" w:hAnsi="宋体" w:eastAsia="宋体" w:cs="宋体"/>
                <w:color w:val="000000" w:themeColor="text1"/>
                <w:kern w:val="0"/>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6.</w:t>
            </w:r>
            <w:r>
              <w:rPr>
                <w:rFonts w:hint="eastAsia" w:ascii="宋体" w:hAnsi="宋体" w:eastAsia="宋体" w:cs="宋体"/>
                <w:sz w:val="21"/>
                <w:szCs w:val="21"/>
              </w:rPr>
              <w:t>视准线误差（i角）：</w:t>
            </w:r>
            <w:bookmarkStart w:id="4" w:name="OLE_LINK11"/>
            <w:r>
              <w:rPr>
                <w:rFonts w:hint="eastAsia" w:ascii="宋体" w:hAnsi="宋体" w:eastAsia="宋体" w:cs="宋体"/>
                <w:color w:val="000000" w:themeColor="text1"/>
                <w:kern w:val="0"/>
                <w:sz w:val="21"/>
                <w:szCs w:val="21"/>
                <w14:textFill>
                  <w14:solidFill>
                    <w14:schemeClr w14:val="tx1"/>
                  </w14:solidFill>
                </w14:textFill>
              </w:rPr>
              <w:t>≤</w:t>
            </w:r>
            <w:bookmarkEnd w:id="4"/>
            <w:r>
              <w:rPr>
                <w:rFonts w:hint="eastAsia" w:ascii="宋体" w:hAnsi="宋体" w:eastAsia="宋体" w:cs="宋体"/>
                <w:color w:val="000000" w:themeColor="text1"/>
                <w:kern w:val="0"/>
                <w:sz w:val="21"/>
                <w:szCs w:val="21"/>
                <w14:textFill>
                  <w14:solidFill>
                    <w14:schemeClr w14:val="tx1"/>
                  </w14:solidFill>
                </w14:textFill>
              </w:rPr>
              <w:t>15″</w:t>
            </w:r>
            <w:r>
              <w:rPr>
                <w:rFonts w:hint="eastAsia" w:ascii="宋体" w:hAnsi="宋体" w:eastAsia="宋体" w:cs="宋体"/>
                <w:color w:val="000000" w:themeColor="text1"/>
                <w:kern w:val="0"/>
                <w:sz w:val="21"/>
                <w:szCs w:val="21"/>
                <w:lang w:eastAsia="zh-CN"/>
                <w14:textFill>
                  <w14:solidFill>
                    <w14:schemeClr w14:val="tx1"/>
                  </w14:solidFill>
                </w14:textFill>
              </w:rPr>
              <w:t>；</w:t>
            </w:r>
            <w:r>
              <w:rPr>
                <w:rFonts w:hint="eastAsia" w:ascii="宋体" w:hAnsi="宋体" w:eastAsia="宋体" w:cs="宋体"/>
                <w:color w:val="000000" w:themeColor="text1"/>
                <w:kern w:val="0"/>
                <w:sz w:val="21"/>
                <w:szCs w:val="21"/>
                <w14:textFill>
                  <w14:solidFill>
                    <w14:schemeClr w14:val="tx1"/>
                  </w14:solidFill>
                </w14:textFill>
              </w:rPr>
              <w:t>7.工作温度：在－20</w:t>
            </w:r>
            <w:r>
              <w:rPr>
                <w:rFonts w:hint="eastAsia" w:ascii="宋体" w:hAnsi="宋体" w:eastAsia="宋体" w:cs="宋体"/>
                <w:color w:val="000000" w:themeColor="text1"/>
                <w:kern w:val="0"/>
                <w:sz w:val="21"/>
                <w:szCs w:val="21"/>
                <w:vertAlign w:val="superscript"/>
                <w14:textFill>
                  <w14:solidFill>
                    <w14:schemeClr w14:val="tx1"/>
                  </w14:solidFill>
                </w14:textFill>
              </w:rPr>
              <w:t>o</w:t>
            </w:r>
            <w:r>
              <w:rPr>
                <w:rFonts w:hint="eastAsia" w:ascii="宋体" w:hAnsi="宋体" w:eastAsia="宋体" w:cs="宋体"/>
                <w:color w:val="000000" w:themeColor="text1"/>
                <w:kern w:val="0"/>
                <w:sz w:val="21"/>
                <w:szCs w:val="21"/>
                <w14:textFill>
                  <w14:solidFill>
                    <w14:schemeClr w14:val="tx1"/>
                  </w14:solidFill>
                </w14:textFill>
              </w:rPr>
              <w:t>C～＋50</w:t>
            </w:r>
            <w:r>
              <w:rPr>
                <w:rFonts w:hint="eastAsia" w:ascii="宋体" w:hAnsi="宋体" w:eastAsia="宋体" w:cs="宋体"/>
                <w:color w:val="000000" w:themeColor="text1"/>
                <w:kern w:val="0"/>
                <w:sz w:val="21"/>
                <w:szCs w:val="21"/>
                <w:vertAlign w:val="superscript"/>
                <w14:textFill>
                  <w14:solidFill>
                    <w14:schemeClr w14:val="tx1"/>
                  </w14:solidFill>
                </w14:textFill>
              </w:rPr>
              <w:t>o</w:t>
            </w:r>
            <w:r>
              <w:rPr>
                <w:rFonts w:hint="eastAsia" w:ascii="宋体" w:hAnsi="宋体" w:eastAsia="宋体" w:cs="宋体"/>
                <w:color w:val="000000" w:themeColor="text1"/>
                <w:kern w:val="0"/>
                <w:sz w:val="21"/>
                <w:szCs w:val="21"/>
                <w14:textFill>
                  <w14:solidFill>
                    <w14:schemeClr w14:val="tx1"/>
                  </w14:solidFill>
                </w14:textFill>
              </w:rPr>
              <w:t>C的环境下能长期连续正常工作</w:t>
            </w:r>
            <w:r>
              <w:rPr>
                <w:rFonts w:hint="eastAsia" w:ascii="宋体" w:hAnsi="宋体" w:eastAsia="宋体" w:cs="宋体"/>
                <w:color w:val="000000" w:themeColor="text1"/>
                <w:kern w:val="0"/>
                <w:sz w:val="21"/>
                <w:szCs w:val="21"/>
                <w:lang w:eastAsia="zh-CN"/>
                <w14:textFill>
                  <w14:solidFill>
                    <w14:schemeClr w14:val="tx1"/>
                  </w14:solidFill>
                </w14:textFill>
              </w:rPr>
              <w:t>；</w:t>
            </w:r>
            <w:r>
              <w:rPr>
                <w:rFonts w:hint="eastAsia" w:ascii="宋体" w:hAnsi="宋体" w:eastAsia="宋体" w:cs="宋体"/>
                <w:color w:val="000000" w:themeColor="text1"/>
                <w:kern w:val="0"/>
                <w:sz w:val="21"/>
                <w:szCs w:val="21"/>
                <w14:textFill>
                  <w14:solidFill>
                    <w14:schemeClr w14:val="tx1"/>
                  </w14:solidFill>
                </w14:textFill>
              </w:rPr>
              <w:t>8.数据通讯：支持RS232电缆线、蓝牙</w:t>
            </w:r>
            <w:r>
              <w:rPr>
                <w:rFonts w:hint="eastAsia" w:ascii="宋体" w:hAnsi="宋体" w:eastAsia="宋体" w:cs="宋体"/>
                <w:color w:val="000000" w:themeColor="text1"/>
                <w:kern w:val="0"/>
                <w:sz w:val="21"/>
                <w:szCs w:val="21"/>
                <w:lang w:eastAsia="zh-CN"/>
                <w14:textFill>
                  <w14:solidFill>
                    <w14:schemeClr w14:val="tx1"/>
                  </w14:solidFill>
                </w14:textFill>
              </w:rPr>
              <w:t>；</w:t>
            </w:r>
            <w:r>
              <w:rPr>
                <w:rFonts w:hint="eastAsia" w:ascii="宋体" w:hAnsi="宋体" w:eastAsia="宋体" w:cs="宋体"/>
                <w:color w:val="000000" w:themeColor="text1"/>
                <w:kern w:val="0"/>
                <w:sz w:val="21"/>
                <w:szCs w:val="21"/>
                <w14:textFill>
                  <w14:solidFill>
                    <w14:schemeClr w14:val="tx1"/>
                  </w14:solidFill>
                </w14:textFill>
              </w:rPr>
              <w:t>9.防尘防水：IP65</w:t>
            </w:r>
            <w:r>
              <w:rPr>
                <w:rFonts w:hint="eastAsia" w:ascii="宋体" w:hAnsi="宋体" w:eastAsia="宋体" w:cs="宋体"/>
                <w:color w:val="000000" w:themeColor="text1"/>
                <w:kern w:val="0"/>
                <w:sz w:val="21"/>
                <w:szCs w:val="21"/>
                <w:lang w:eastAsia="zh-CN"/>
                <w14:textFill>
                  <w14:solidFill>
                    <w14:schemeClr w14:val="tx1"/>
                  </w14:solidFill>
                </w14:textFill>
              </w:rPr>
              <w:t>；</w:t>
            </w:r>
            <w:r>
              <w:rPr>
                <w:rFonts w:hint="eastAsia" w:ascii="宋体" w:hAnsi="宋体" w:eastAsia="宋体" w:cs="宋体"/>
                <w:color w:val="000000" w:themeColor="text1"/>
                <w:kern w:val="0"/>
                <w:sz w:val="21"/>
                <w:szCs w:val="21"/>
                <w14:textFill>
                  <w14:solidFill>
                    <w14:schemeClr w14:val="tx1"/>
                  </w14:solidFill>
                </w14:textFill>
              </w:rPr>
              <w:t>10.外部指令控制（可外接数据采集设备），提供符合要求的外接设备数据线</w:t>
            </w:r>
            <w:r>
              <w:rPr>
                <w:rFonts w:hint="eastAsia" w:ascii="宋体" w:hAnsi="宋体" w:eastAsia="宋体" w:cs="宋体"/>
                <w:color w:val="000000" w:themeColor="text1"/>
                <w:kern w:val="0"/>
                <w:sz w:val="21"/>
                <w:szCs w:val="21"/>
                <w:lang w:eastAsia="zh-CN"/>
                <w14:textFill>
                  <w14:solidFill>
                    <w14:schemeClr w14:val="tx1"/>
                  </w14:solidFill>
                </w14:textFill>
              </w:rPr>
              <w:t>；</w:t>
            </w:r>
            <w:r>
              <w:rPr>
                <w:rFonts w:hint="eastAsia" w:ascii="宋体" w:hAnsi="宋体" w:eastAsia="宋体" w:cs="宋体"/>
                <w:color w:val="000000" w:themeColor="text1"/>
                <w:kern w:val="0"/>
                <w:sz w:val="21"/>
                <w:szCs w:val="21"/>
                <w14:textFill>
                  <w14:solidFill>
                    <w14:schemeClr w14:val="tx1"/>
                  </w14:solidFill>
                </w14:textFill>
              </w:rPr>
              <w:t>11.配置3m铟瓦条码水准标尺及脚架等辅助设备</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宋体" w:hAnsi="宋体" w:eastAsia="宋体" w:cs="宋体"/>
                <w:color w:val="000000" w:themeColor="text1"/>
                <w:kern w:val="0"/>
                <w:sz w:val="21"/>
                <w:szCs w:val="21"/>
                <w:lang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3、</w:t>
            </w:r>
            <w:r>
              <w:rPr>
                <w:rFonts w:hint="eastAsia" w:ascii="宋体" w:hAnsi="宋体" w:eastAsia="宋体" w:cs="宋体"/>
                <w:b/>
                <w:bCs/>
                <w:color w:val="000000" w:themeColor="text1"/>
                <w:sz w:val="21"/>
                <w:szCs w:val="21"/>
                <w14:textFill>
                  <w14:solidFill>
                    <w14:schemeClr w14:val="tx1"/>
                  </w14:solidFill>
                </w14:textFill>
              </w:rPr>
              <w:t>全站仪</w:t>
            </w:r>
            <w:r>
              <w:rPr>
                <w:rFonts w:hint="eastAsia" w:ascii="宋体" w:hAnsi="宋体" w:eastAsia="宋体" w:cs="宋体"/>
                <w:b/>
                <w:bCs/>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1.测角精度：0.5"</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2.测角方式：绝对编码</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3.单次测量精度（棱镜）：不低于1mm＋1ppm</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4.距离测量范围：≥3000m（配合棱镜）</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5.连续测量精度（棱镜）：不低于3mm+1.5ppm</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6.最小显示：测距0.1mm，测角0.1″</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7.支持ATR，重复照准精度：</w:t>
            </w:r>
            <w:r>
              <w:rPr>
                <w:rFonts w:hint="eastAsia" w:ascii="宋体" w:hAnsi="宋体" w:cs="宋体"/>
                <w:color w:val="000000" w:themeColor="text1"/>
                <w:sz w:val="21"/>
                <w:szCs w:val="21"/>
                <w:lang w:val="en-US" w:eastAsia="zh-CN"/>
                <w14:textFill>
                  <w14:solidFill>
                    <w14:schemeClr w14:val="tx1"/>
                  </w14:solidFill>
                </w14:textFill>
              </w:rPr>
              <w:t>1</w:t>
            </w:r>
            <w:r>
              <w:rPr>
                <w:rFonts w:hint="eastAsia" w:ascii="宋体" w:hAnsi="宋体" w:eastAsia="宋体" w:cs="宋体"/>
                <w:color w:val="000000" w:themeColor="text1"/>
                <w:sz w:val="21"/>
                <w:szCs w:val="21"/>
                <w14:textFill>
                  <w14:solidFill>
                    <w14:schemeClr w14:val="tx1"/>
                  </w14:solidFill>
                </w14:textFill>
              </w:rPr>
              <w:t>.5″</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8.望远镜放大倍数/焦距范围：30X/1.7m至无穷远</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9.工作温度：在－20</w:t>
            </w:r>
            <w:r>
              <w:rPr>
                <w:rFonts w:hint="eastAsia" w:ascii="宋体" w:hAnsi="宋体" w:eastAsia="宋体" w:cs="宋体"/>
                <w:color w:val="000000" w:themeColor="text1"/>
                <w:kern w:val="0"/>
                <w:sz w:val="21"/>
                <w:szCs w:val="21"/>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～＋50</w:t>
            </w:r>
            <w:r>
              <w:rPr>
                <w:rFonts w:hint="eastAsia" w:ascii="宋体" w:hAnsi="宋体" w:eastAsia="宋体" w:cs="宋体"/>
                <w:color w:val="000000" w:themeColor="text1"/>
                <w:kern w:val="0"/>
                <w:sz w:val="21"/>
                <w:szCs w:val="21"/>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的环境下能长期连续正常工作</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10.数据通讯：支持RS232电缆线、蓝牙、USB</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11.防尘防水：IP65</w:t>
            </w:r>
            <w:r>
              <w:rPr>
                <w:rFonts w:hint="eastAsia" w:ascii="宋体" w:hAnsi="宋体" w:eastAsia="宋体" w:cs="宋体"/>
                <w:color w:val="000000" w:themeColor="text1"/>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color w:val="auto"/>
                <w:sz w:val="21"/>
                <w:szCs w:val="21"/>
                <w:lang w:bidi="en-US"/>
              </w:rPr>
            </w:pPr>
            <w:r>
              <w:rPr>
                <w:rFonts w:hint="eastAsia"/>
                <w:b/>
                <w:bCs/>
                <w:color w:val="auto"/>
                <w:sz w:val="21"/>
                <w:szCs w:val="21"/>
                <w:lang w:val="en-US" w:eastAsia="zh-CN" w:bidi="en-US"/>
              </w:rPr>
              <w:t>4、</w:t>
            </w:r>
            <w:r>
              <w:rPr>
                <w:rFonts w:hint="eastAsia"/>
                <w:b/>
                <w:bCs/>
                <w:color w:val="auto"/>
                <w:sz w:val="21"/>
                <w:szCs w:val="21"/>
                <w:lang w:bidi="en-US"/>
              </w:rPr>
              <w:t>磁通门经纬仪（</w:t>
            </w:r>
            <w:r>
              <w:rPr>
                <w:b/>
                <w:bCs/>
                <w:color w:val="auto"/>
                <w:sz w:val="21"/>
                <w:szCs w:val="21"/>
                <w:lang w:bidi="en-US"/>
              </w:rPr>
              <w:t>6″）</w:t>
            </w:r>
            <w:r>
              <w:rPr>
                <w:rFonts w:hint="eastAsia"/>
                <w:b/>
                <w:bCs/>
                <w:color w:val="auto"/>
                <w:sz w:val="21"/>
                <w:szCs w:val="21"/>
                <w:lang w:bidi="en-US"/>
              </w:rPr>
              <w:t>：</w:t>
            </w:r>
            <w:r>
              <w:rPr>
                <w:rFonts w:hint="eastAsia"/>
                <w:color w:val="auto"/>
                <w:sz w:val="21"/>
                <w:szCs w:val="21"/>
                <w:lang w:bidi="en-US"/>
              </w:rPr>
              <w:t>有设备定型入网的测试报告；最大允许误差：</w:t>
            </w:r>
            <w:r>
              <w:rPr>
                <w:color w:val="auto"/>
                <w:sz w:val="21"/>
                <w:szCs w:val="21"/>
                <w:lang w:bidi="en-US"/>
              </w:rPr>
              <w:t>ΔD：± 0.30′ ，ΔI：±0.30′</w:t>
            </w:r>
            <w:r>
              <w:rPr>
                <w:rFonts w:hint="eastAsia"/>
                <w:color w:val="auto"/>
                <w:sz w:val="21"/>
                <w:szCs w:val="21"/>
                <w:lang w:bidi="en-US"/>
              </w:rPr>
              <w:t>；重复性：</w:t>
            </w:r>
            <w:r>
              <w:rPr>
                <w:color w:val="auto"/>
                <w:sz w:val="21"/>
                <w:szCs w:val="21"/>
                <w:lang w:bidi="en-US"/>
              </w:rPr>
              <w:t>DB≤0.15′ ，IB≤0.15′</w:t>
            </w:r>
            <w:r>
              <w:rPr>
                <w:rFonts w:hint="eastAsia"/>
                <w:color w:val="auto"/>
                <w:sz w:val="21"/>
                <w:szCs w:val="21"/>
                <w:lang w:bidi="en-US"/>
              </w:rPr>
              <w:t>；转向差：</w:t>
            </w:r>
            <w:r>
              <w:rPr>
                <w:color w:val="auto"/>
                <w:sz w:val="21"/>
                <w:szCs w:val="21"/>
                <w:lang w:bidi="en-US"/>
              </w:rPr>
              <w:t>ΔD≤10′ ，ΔI≤10′</w:t>
            </w:r>
            <w:r>
              <w:rPr>
                <w:rFonts w:hint="eastAsia"/>
                <w:color w:val="auto"/>
                <w:sz w:val="21"/>
                <w:szCs w:val="21"/>
                <w:lang w:bidi="en-US"/>
              </w:rPr>
              <w:t>；经纬仪等级：</w:t>
            </w:r>
            <w:r>
              <w:rPr>
                <w:color w:val="auto"/>
                <w:sz w:val="21"/>
                <w:szCs w:val="21"/>
                <w:lang w:bidi="en-US"/>
              </w:rPr>
              <w:t>优于DJ6</w:t>
            </w:r>
            <w:r>
              <w:rPr>
                <w:rFonts w:hint="eastAsia"/>
                <w:color w:val="auto"/>
                <w:sz w:val="21"/>
                <w:szCs w:val="21"/>
                <w:lang w:bidi="en-US"/>
              </w:rPr>
              <w:t>；线性度：</w:t>
            </w:r>
            <w:r>
              <w:rPr>
                <w:color w:val="auto"/>
                <w:sz w:val="21"/>
                <w:szCs w:val="21"/>
                <w:lang w:bidi="en-US"/>
              </w:rPr>
              <w:t>≤0.01</w:t>
            </w:r>
            <w:r>
              <w:rPr>
                <w:rFonts w:hint="eastAsia"/>
                <w:color w:val="auto"/>
                <w:sz w:val="21"/>
                <w:szCs w:val="21"/>
                <w:lang w:bidi="en-US"/>
              </w:rPr>
              <w:t>；零点偏移：</w:t>
            </w:r>
            <w:r>
              <w:rPr>
                <w:color w:val="auto"/>
                <w:sz w:val="21"/>
                <w:szCs w:val="21"/>
                <w:lang w:bidi="en-US"/>
              </w:rPr>
              <w:t>≤±3nT，±20nT内可调节</w:t>
            </w:r>
            <w:r>
              <w:rPr>
                <w:rFonts w:hint="eastAsia"/>
                <w:color w:val="auto"/>
                <w:sz w:val="21"/>
                <w:szCs w:val="21"/>
                <w:lang w:bidi="en-US"/>
              </w:rPr>
              <w:t>质子磁力仪等。</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color w:val="auto"/>
                <w:sz w:val="21"/>
                <w:szCs w:val="21"/>
                <w:lang w:bidi="en-US"/>
              </w:rPr>
            </w:pPr>
            <w:r>
              <w:rPr>
                <w:rFonts w:hint="eastAsia"/>
                <w:b/>
                <w:bCs/>
                <w:color w:val="auto"/>
                <w:sz w:val="21"/>
                <w:szCs w:val="21"/>
                <w:lang w:val="en-US" w:eastAsia="zh-CN" w:bidi="en-US"/>
              </w:rPr>
              <w:t>5、</w:t>
            </w:r>
            <w:r>
              <w:rPr>
                <w:rFonts w:hint="eastAsia"/>
                <w:b/>
                <w:bCs/>
                <w:color w:val="auto"/>
                <w:sz w:val="21"/>
                <w:szCs w:val="21"/>
                <w:lang w:bidi="en-US"/>
              </w:rPr>
              <w:t>质子</w:t>
            </w:r>
            <w:r>
              <w:rPr>
                <w:rFonts w:hint="eastAsia"/>
                <w:b/>
                <w:bCs/>
                <w:color w:val="auto"/>
                <w:sz w:val="21"/>
                <w:szCs w:val="21"/>
                <w:lang w:val="en-US" w:eastAsia="zh-CN" w:bidi="en-US"/>
              </w:rPr>
              <w:t>旋进</w:t>
            </w:r>
            <w:r>
              <w:rPr>
                <w:rFonts w:hint="eastAsia"/>
                <w:b/>
                <w:bCs/>
                <w:color w:val="auto"/>
                <w:sz w:val="21"/>
                <w:szCs w:val="21"/>
                <w:lang w:bidi="en-US"/>
              </w:rPr>
              <w:t>磁力仪：</w:t>
            </w:r>
            <w:r>
              <w:rPr>
                <w:rFonts w:hint="eastAsia"/>
                <w:color w:val="auto"/>
                <w:sz w:val="21"/>
                <w:szCs w:val="21"/>
                <w:lang w:bidi="en-US"/>
              </w:rPr>
              <w:t>噪声：</w:t>
            </w:r>
            <w:r>
              <w:rPr>
                <w:color w:val="auto"/>
                <w:sz w:val="21"/>
                <w:szCs w:val="21"/>
                <w:lang w:bidi="en-US"/>
              </w:rPr>
              <w:t>≤0.2nT</w:t>
            </w:r>
            <w:r>
              <w:rPr>
                <w:rFonts w:hint="eastAsia"/>
                <w:color w:val="auto"/>
                <w:sz w:val="21"/>
                <w:szCs w:val="21"/>
                <w:lang w:bidi="en-US"/>
              </w:rPr>
              <w:t>；最大允许误差</w:t>
            </w:r>
            <w:r>
              <w:rPr>
                <w:rFonts w:hint="eastAsia"/>
                <w:color w:val="auto"/>
                <w:sz w:val="21"/>
                <w:szCs w:val="21"/>
                <w:lang w:eastAsia="zh-CN" w:bidi="en-US"/>
              </w:rPr>
              <w:t>：</w:t>
            </w:r>
            <w:r>
              <w:rPr>
                <w:color w:val="auto"/>
                <w:sz w:val="21"/>
                <w:szCs w:val="21"/>
                <w:lang w:bidi="en-US"/>
              </w:rPr>
              <w:t>±1.0nT</w:t>
            </w:r>
            <w:r>
              <w:rPr>
                <w:rFonts w:hint="eastAsia"/>
                <w:color w:val="auto"/>
                <w:sz w:val="21"/>
                <w:szCs w:val="21"/>
                <w:lang w:bidi="en-US"/>
              </w:rPr>
              <w:t>；采样率：</w:t>
            </w:r>
            <w:r>
              <w:rPr>
                <w:color w:val="auto"/>
                <w:sz w:val="21"/>
                <w:szCs w:val="21"/>
                <w:lang w:bidi="en-US"/>
              </w:rPr>
              <w:t>不低于5秒/次</w:t>
            </w:r>
            <w:r>
              <w:rPr>
                <w:rFonts w:hint="eastAsia"/>
                <w:color w:val="auto"/>
                <w:sz w:val="21"/>
                <w:szCs w:val="21"/>
                <w:lang w:bidi="en-US"/>
              </w:rPr>
              <w:t>；测量范围：</w:t>
            </w:r>
            <w:r>
              <w:rPr>
                <w:color w:val="auto"/>
                <w:sz w:val="21"/>
                <w:szCs w:val="21"/>
                <w:lang w:bidi="en-US"/>
              </w:rPr>
              <w:t>不小于20000～70000nT</w:t>
            </w:r>
            <w:r>
              <w:rPr>
                <w:rFonts w:hint="eastAsia"/>
                <w:color w:val="auto"/>
                <w:sz w:val="21"/>
                <w:szCs w:val="21"/>
                <w:lang w:bidi="en-US"/>
              </w:rPr>
              <w:t>；示值分辨力：</w:t>
            </w:r>
            <w:r>
              <w:rPr>
                <w:color w:val="auto"/>
                <w:sz w:val="21"/>
                <w:szCs w:val="21"/>
                <w:lang w:bidi="en-US"/>
              </w:rPr>
              <w:t>0.01nT</w:t>
            </w:r>
            <w:r>
              <w:rPr>
                <w:rFonts w:hint="eastAsia"/>
                <w:color w:val="auto"/>
                <w:sz w:val="21"/>
                <w:szCs w:val="21"/>
                <w:lang w:bidi="en-US"/>
              </w:rPr>
              <w:t>等。</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textAlignment w:val="auto"/>
              <w:rPr>
                <w:rFonts w:hint="eastAsia" w:ascii="宋体" w:hAnsi="宋体" w:eastAsia="宋体" w:cs="宋体"/>
                <w:color w:val="000000" w:themeColor="text1"/>
                <w:kern w:val="0"/>
                <w:sz w:val="21"/>
                <w:szCs w:val="21"/>
                <w:lang w:eastAsia="zh-CN"/>
                <w14:textFill>
                  <w14:solidFill>
                    <w14:schemeClr w14:val="tx1"/>
                  </w14:solidFill>
                </w14:textFill>
              </w:rPr>
            </w:pPr>
            <w:r>
              <w:rPr>
                <w:rFonts w:hint="eastAsia"/>
                <w:b/>
                <w:bCs/>
                <w:color w:val="auto"/>
                <w:sz w:val="21"/>
                <w:szCs w:val="21"/>
                <w:lang w:val="en-US" w:eastAsia="zh-CN" w:bidi="en-US"/>
              </w:rPr>
              <w:t>6、</w:t>
            </w:r>
            <w:r>
              <w:rPr>
                <w:rFonts w:hint="eastAsia"/>
                <w:b/>
                <w:bCs/>
                <w:color w:val="auto"/>
                <w:sz w:val="21"/>
                <w:szCs w:val="21"/>
                <w:lang w:bidi="en-US"/>
              </w:rPr>
              <w:t>差分定位仪：</w:t>
            </w:r>
            <w:r>
              <w:rPr>
                <w:rFonts w:hint="eastAsia"/>
                <w:color w:val="auto"/>
                <w:sz w:val="21"/>
                <w:szCs w:val="21"/>
                <w:lang w:bidi="en-US"/>
              </w:rPr>
              <w:t>静态测量性能：</w:t>
            </w:r>
            <w:r>
              <w:rPr>
                <w:color w:val="auto"/>
                <w:sz w:val="21"/>
                <w:szCs w:val="21"/>
                <w:lang w:bidi="en-US"/>
              </w:rPr>
              <w:t>静态测量时，10分钟内两次地理方位角测量之差：&lt;6</w:t>
            </w:r>
            <w:r>
              <w:rPr>
                <w:rFonts w:hint="eastAsia" w:ascii="宋体" w:hAnsi="宋体" w:eastAsia="宋体" w:cs="宋体"/>
                <w:color w:val="000000" w:themeColor="text1"/>
                <w:sz w:val="21"/>
                <w:szCs w:val="21"/>
                <w14:textFill>
                  <w14:solidFill>
                    <w14:schemeClr w14:val="tx1"/>
                  </w14:solidFill>
                </w14:textFill>
              </w:rPr>
              <w:t>″</w:t>
            </w:r>
            <w:r>
              <w:rPr>
                <w:color w:val="auto"/>
                <w:sz w:val="21"/>
                <w:szCs w:val="21"/>
                <w:lang w:bidi="en-US"/>
              </w:rPr>
              <w:t>；水平: 0.003 m + 0.5 ppm；垂直: 0.005m + 0.5 ppm</w:t>
            </w:r>
            <w:r>
              <w:rPr>
                <w:rFonts w:hint="eastAsia"/>
                <w:color w:val="auto"/>
                <w:sz w:val="21"/>
                <w:szCs w:val="21"/>
                <w:lang w:bidi="en-US"/>
              </w:rPr>
              <w:t>；</w:t>
            </w:r>
            <w:r>
              <w:rPr>
                <w:color w:val="auto"/>
                <w:sz w:val="21"/>
                <w:szCs w:val="21"/>
                <w:lang w:bidi="en-US"/>
              </w:rPr>
              <w:t>GNSS性能</w:t>
            </w:r>
            <w:r>
              <w:rPr>
                <w:rFonts w:hint="eastAsia"/>
                <w:color w:val="auto"/>
                <w:sz w:val="21"/>
                <w:szCs w:val="21"/>
                <w:lang w:bidi="en-US"/>
              </w:rPr>
              <w:t>：</w:t>
            </w:r>
            <w:r>
              <w:rPr>
                <w:color w:val="auto"/>
                <w:sz w:val="21"/>
                <w:szCs w:val="21"/>
                <w:lang w:bidi="en-US"/>
              </w:rPr>
              <w:t>可</w:t>
            </w:r>
            <w:r>
              <w:rPr>
                <w:rFonts w:hint="eastAsia"/>
                <w:color w:val="auto"/>
                <w:sz w:val="21"/>
                <w:szCs w:val="21"/>
                <w:lang w:bidi="ar"/>
              </w:rPr>
              <w:t>使用</w:t>
            </w:r>
            <w:r>
              <w:rPr>
                <w:rFonts w:hint="eastAsia"/>
                <w:color w:val="auto"/>
                <w:sz w:val="21"/>
                <w:szCs w:val="21"/>
                <w:lang w:val="en-US" w:eastAsia="zh-CN" w:bidi="ar"/>
              </w:rPr>
              <w:t>BDS</w:t>
            </w:r>
            <w:r>
              <w:rPr>
                <w:color w:val="auto"/>
                <w:sz w:val="21"/>
                <w:szCs w:val="21"/>
                <w:lang w:bidi="ar"/>
              </w:rPr>
              <w:t>系统</w:t>
            </w:r>
            <w:r>
              <w:rPr>
                <w:rFonts w:hint="eastAsia"/>
                <w:color w:val="auto"/>
                <w:sz w:val="21"/>
                <w:szCs w:val="21"/>
                <w:lang w:bidi="en-US"/>
              </w:rPr>
              <w:t>；采集软件显示功能：</w:t>
            </w:r>
            <w:r>
              <w:rPr>
                <w:color w:val="auto"/>
                <w:sz w:val="21"/>
                <w:szCs w:val="21"/>
                <w:lang w:bidi="en-US"/>
              </w:rPr>
              <w:t>根据卫星状态显示满足精度要求的基线长度</w:t>
            </w:r>
            <w:r>
              <w:rPr>
                <w:rFonts w:hint="eastAsia"/>
                <w:color w:val="auto"/>
                <w:sz w:val="21"/>
                <w:szCs w:val="21"/>
                <w:lang w:bidi="en-US"/>
              </w:rPr>
              <w:t>；模式：</w:t>
            </w:r>
            <w:r>
              <w:rPr>
                <w:color w:val="auto"/>
                <w:sz w:val="21"/>
                <w:szCs w:val="21"/>
                <w:lang w:bidi="en-US"/>
              </w:rPr>
              <w:t>双主机模式（1+1）</w:t>
            </w:r>
            <w:r>
              <w:rPr>
                <w:rFonts w:hint="eastAsia"/>
                <w:color w:val="auto"/>
                <w:sz w:val="21"/>
                <w:szCs w:val="21"/>
                <w:lang w:bidi="en-US"/>
              </w:rPr>
              <w:t>；方位角计算软件：</w:t>
            </w:r>
            <w:r>
              <w:rPr>
                <w:color w:val="auto"/>
                <w:sz w:val="21"/>
                <w:szCs w:val="21"/>
                <w:lang w:bidi="en-US"/>
              </w:rPr>
              <w:t>可以准确根据测量数据计算地理方位角，符合流动地磁测量观测手簿安装要求</w:t>
            </w:r>
            <w:r>
              <w:rPr>
                <w:rFonts w:hint="eastAsia"/>
                <w:color w:val="auto"/>
                <w:sz w:val="21"/>
                <w:szCs w:val="21"/>
                <w:lang w:bidi="en-US"/>
              </w:rPr>
              <w:t>等</w:t>
            </w:r>
            <w:r>
              <w:rPr>
                <w:rFonts w:hint="eastAsia"/>
                <w:color w:val="auto"/>
                <w:sz w:val="21"/>
                <w:szCs w:val="21"/>
                <w:lang w:eastAsia="zh-CN" w:bidi="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931" w:type="dxa"/>
            <w:vAlign w:val="center"/>
          </w:tcPr>
          <w:p>
            <w:pPr>
              <w:jc w:val="center"/>
              <w:rPr>
                <w:rFonts w:hint="eastAsia" w:asciiTheme="minorHAnsi" w:hAnsiTheme="minorHAnsi" w:eastAsiaTheme="minorEastAsia" w:cstheme="minorBidi"/>
                <w:kern w:val="2"/>
                <w:sz w:val="21"/>
                <w:szCs w:val="21"/>
                <w:lang w:val="en-US" w:eastAsia="zh-CN" w:bidi="ar-SA"/>
              </w:rPr>
            </w:pPr>
            <w:r>
              <w:rPr>
                <w:rFonts w:hint="eastAsia"/>
                <w:sz w:val="21"/>
                <w:szCs w:val="21"/>
                <w:lang w:val="en-US" w:eastAsia="zh-CN"/>
              </w:rPr>
              <w:t>2</w:t>
            </w:r>
          </w:p>
        </w:tc>
        <w:tc>
          <w:tcPr>
            <w:tcW w:w="1305" w:type="dxa"/>
            <w:vAlign w:val="center"/>
          </w:tcPr>
          <w:p>
            <w:pPr>
              <w:jc w:val="center"/>
              <w:rPr>
                <w:rFonts w:hint="eastAsia" w:asciiTheme="minorHAnsi" w:hAnsiTheme="minorHAnsi" w:eastAsiaTheme="minorEastAsia" w:cstheme="minorBidi"/>
                <w:kern w:val="2"/>
                <w:sz w:val="21"/>
                <w:szCs w:val="21"/>
                <w:lang w:val="en-US" w:eastAsia="zh-CN" w:bidi="ar-SA"/>
              </w:rPr>
            </w:pPr>
            <w:r>
              <w:rPr>
                <w:rFonts w:hint="eastAsia"/>
                <w:sz w:val="21"/>
                <w:szCs w:val="21"/>
                <w:lang w:val="en-US" w:eastAsia="zh-CN"/>
              </w:rPr>
              <w:t>检测</w:t>
            </w:r>
            <w:r>
              <w:rPr>
                <w:rFonts w:hint="eastAsia" w:asciiTheme="minorHAnsi" w:hAnsiTheme="minorHAnsi" w:eastAsiaTheme="minorEastAsia" w:cstheme="minorBidi"/>
                <w:color w:val="auto"/>
                <w:kern w:val="2"/>
                <w:sz w:val="21"/>
                <w:szCs w:val="21"/>
                <w:lang w:val="en-US" w:eastAsia="zh-CN" w:bidi="en-US"/>
              </w:rPr>
              <w:t>/</w:t>
            </w:r>
            <w:r>
              <w:rPr>
                <w:rFonts w:hint="eastAsia"/>
                <w:sz w:val="21"/>
                <w:szCs w:val="21"/>
                <w:lang w:val="en-US" w:eastAsia="zh-CN"/>
              </w:rPr>
              <w:t>鉴定</w:t>
            </w:r>
          </w:p>
        </w:tc>
        <w:tc>
          <w:tcPr>
            <w:tcW w:w="6825" w:type="dxa"/>
            <w:vAlign w:val="center"/>
          </w:tcPr>
          <w:p>
            <w:pPr>
              <w:keepNext w:val="0"/>
              <w:keepLines w:val="0"/>
              <w:pageBreakBefore w:val="0"/>
              <w:widowControl/>
              <w:tabs>
                <w:tab w:val="left" w:pos="3969"/>
              </w:tabs>
              <w:kinsoku/>
              <w:wordWrap/>
              <w:overflowPunct/>
              <w:topLinePunct w:val="0"/>
              <w:autoSpaceDE/>
              <w:autoSpaceDN/>
              <w:bidi w:val="0"/>
              <w:adjustRightInd/>
              <w:snapToGrid/>
              <w:spacing w:line="240" w:lineRule="auto"/>
              <w:ind w:firstLine="420" w:firstLineChars="200"/>
              <w:textAlignment w:val="auto"/>
              <w:rPr>
                <w:rFonts w:hint="eastAsia" w:cstheme="minorBidi"/>
                <w:color w:val="auto"/>
                <w:kern w:val="2"/>
                <w:sz w:val="21"/>
                <w:szCs w:val="21"/>
                <w:lang w:val="en-US" w:eastAsia="zh-CN" w:bidi="en-US"/>
              </w:rPr>
            </w:pPr>
            <w:r>
              <w:rPr>
                <w:rFonts w:hint="eastAsia"/>
                <w:color w:val="auto"/>
                <w:sz w:val="21"/>
                <w:szCs w:val="21"/>
                <w:shd w:val="clear" w:color="auto" w:fill="auto"/>
                <w:lang w:val="en-US" w:eastAsia="zh-CN" w:bidi="en-US"/>
              </w:rPr>
              <w:t>本次采购报价包含</w:t>
            </w:r>
            <w:r>
              <w:rPr>
                <w:rFonts w:hint="eastAsia" w:asciiTheme="minorHAnsi" w:hAnsiTheme="minorHAnsi" w:eastAsiaTheme="minorEastAsia" w:cstheme="minorBidi"/>
                <w:color w:val="auto"/>
                <w:kern w:val="2"/>
                <w:sz w:val="21"/>
                <w:szCs w:val="21"/>
                <w:lang w:val="en-US" w:eastAsia="zh-CN" w:bidi="en-US"/>
              </w:rPr>
              <w:t>省级以上法定计量机构或地震系统相关测试机构的检定/校准/测试</w:t>
            </w:r>
            <w:r>
              <w:rPr>
                <w:rFonts w:hint="eastAsia" w:cstheme="minorBidi"/>
                <w:color w:val="auto"/>
                <w:kern w:val="2"/>
                <w:sz w:val="21"/>
                <w:szCs w:val="21"/>
                <w:lang w:val="en-US" w:eastAsia="zh-CN" w:bidi="en-US"/>
              </w:rPr>
              <w:t>费用;设备出厂前需要做出厂测试，合格后方可进行</w:t>
            </w:r>
            <w:r>
              <w:rPr>
                <w:rFonts w:hint="eastAsia" w:asciiTheme="minorHAnsi" w:hAnsiTheme="minorHAnsi" w:eastAsiaTheme="minorEastAsia" w:cstheme="minorBidi"/>
                <w:color w:val="auto"/>
                <w:kern w:val="2"/>
                <w:sz w:val="21"/>
                <w:szCs w:val="21"/>
                <w:lang w:val="en-US" w:eastAsia="zh-CN" w:bidi="en-US"/>
              </w:rPr>
              <w:t>检定/校准/测试</w:t>
            </w:r>
            <w:r>
              <w:rPr>
                <w:rFonts w:hint="eastAsia" w:cstheme="minorBidi"/>
                <w:color w:val="auto"/>
                <w:kern w:val="2"/>
                <w:sz w:val="21"/>
                <w:szCs w:val="21"/>
                <w:lang w:val="en-US" w:eastAsia="zh-CN" w:bidi="en-US"/>
              </w:rPr>
              <w:t>，测试项如下:</w:t>
            </w:r>
          </w:p>
          <w:p>
            <w:pPr>
              <w:keepNext w:val="0"/>
              <w:keepLines w:val="0"/>
              <w:pageBreakBefore w:val="0"/>
              <w:widowControl/>
              <w:tabs>
                <w:tab w:val="left" w:pos="3969"/>
              </w:tabs>
              <w:kinsoku/>
              <w:wordWrap/>
              <w:overflowPunct/>
              <w:topLinePunct w:val="0"/>
              <w:autoSpaceDE/>
              <w:autoSpaceDN/>
              <w:bidi w:val="0"/>
              <w:adjustRightInd/>
              <w:snapToGrid/>
              <w:spacing w:line="240" w:lineRule="auto"/>
              <w:ind w:firstLine="420" w:firstLineChars="200"/>
              <w:textAlignment w:val="auto"/>
              <w:rPr>
                <w:rFonts w:hint="eastAsia"/>
                <w:color w:val="auto"/>
                <w:sz w:val="21"/>
                <w:szCs w:val="21"/>
                <w:shd w:val="clear" w:color="auto" w:fill="auto"/>
                <w:lang w:val="en-US" w:eastAsia="zh-CN" w:bidi="en-US"/>
              </w:rPr>
            </w:pPr>
            <w:r>
              <w:rPr>
                <w:rFonts w:hint="eastAsia" w:cstheme="minorBidi"/>
                <w:color w:val="auto"/>
                <w:kern w:val="2"/>
                <w:sz w:val="21"/>
                <w:szCs w:val="21"/>
                <w:lang w:val="en-US" w:eastAsia="zh-CN" w:bidi="en-US"/>
              </w:rPr>
              <w:t>1、相</w:t>
            </w:r>
            <w:r>
              <w:rPr>
                <w:rFonts w:hint="eastAsia"/>
                <w:color w:val="auto"/>
                <w:sz w:val="21"/>
                <w:szCs w:val="21"/>
                <w:shd w:val="clear" w:color="auto" w:fill="auto"/>
                <w:lang w:val="en-US" w:eastAsia="zh-CN" w:bidi="en-US"/>
              </w:rPr>
              <w:t>对重力仪：直接测程、格值精度、分辨力、重复性标准差、精度、残余漂移率、接口要求、仪器工作温度范围、仪器工作相对湿度范围、安全要求-电击防护、安全要求-电气强度电压、安全要求-泄漏电流。</w:t>
            </w:r>
          </w:p>
          <w:p>
            <w:pPr>
              <w:keepNext w:val="0"/>
              <w:keepLines w:val="0"/>
              <w:pageBreakBefore w:val="0"/>
              <w:widowControl/>
              <w:tabs>
                <w:tab w:val="left" w:pos="3969"/>
              </w:tabs>
              <w:kinsoku/>
              <w:wordWrap/>
              <w:overflowPunct/>
              <w:topLinePunct w:val="0"/>
              <w:autoSpaceDE/>
              <w:autoSpaceDN/>
              <w:bidi w:val="0"/>
              <w:adjustRightInd/>
              <w:snapToGrid/>
              <w:spacing w:line="240" w:lineRule="auto"/>
              <w:ind w:firstLine="420" w:firstLineChars="200"/>
              <w:textAlignment w:val="auto"/>
              <w:rPr>
                <w:rFonts w:hint="eastAsia"/>
                <w:color w:val="auto"/>
                <w:sz w:val="21"/>
                <w:szCs w:val="21"/>
                <w:shd w:val="clear" w:color="auto" w:fill="auto"/>
                <w:lang w:val="en-US" w:eastAsia="zh-CN" w:bidi="en-US"/>
              </w:rPr>
            </w:pPr>
            <w:r>
              <w:rPr>
                <w:rFonts w:hint="eastAsia"/>
                <w:color w:val="auto"/>
                <w:sz w:val="21"/>
                <w:szCs w:val="21"/>
                <w:shd w:val="clear" w:color="auto" w:fill="auto"/>
                <w:lang w:val="en-US" w:eastAsia="zh-CN" w:bidi="en-US"/>
              </w:rPr>
              <w:t>2、数字水准仪：测量精度、最小显示、测量范围、补偿范围、补偿误差、视准线误差、工作温度、数据通讯、防尘防水、外部指令控制，配套铟瓦条码尺</w:t>
            </w:r>
            <w:r>
              <w:rPr>
                <w:rFonts w:hint="eastAsia" w:cs="宋体"/>
                <w:color w:val="auto"/>
                <w:sz w:val="21"/>
                <w:szCs w:val="21"/>
              </w:rPr>
              <w:t>一副标尺零点差之差</w:t>
            </w:r>
            <w:r>
              <w:rPr>
                <w:rFonts w:hint="eastAsia" w:cs="宋体"/>
                <w:color w:val="auto"/>
                <w:sz w:val="21"/>
                <w:szCs w:val="21"/>
                <w:lang w:eastAsia="zh-CN"/>
              </w:rPr>
              <w:t>、</w:t>
            </w:r>
            <w:r>
              <w:rPr>
                <w:rFonts w:hint="eastAsia" w:cs="宋体"/>
                <w:color w:val="auto"/>
                <w:sz w:val="21"/>
                <w:szCs w:val="21"/>
              </w:rPr>
              <w:t>一副标尺米间隔长度平均值</w:t>
            </w:r>
            <w:r>
              <w:rPr>
                <w:rFonts w:hint="eastAsia" w:cs="宋体"/>
                <w:color w:val="auto"/>
                <w:sz w:val="21"/>
                <w:szCs w:val="21"/>
                <w:lang w:eastAsia="zh-CN"/>
              </w:rPr>
              <w:t>、</w:t>
            </w:r>
            <w:r>
              <w:rPr>
                <w:rFonts w:hint="eastAsia" w:cs="宋体"/>
                <w:color w:val="auto"/>
                <w:sz w:val="21"/>
                <w:szCs w:val="21"/>
              </w:rPr>
              <w:t>一排分划的刻划标准差</w:t>
            </w:r>
            <w:r>
              <w:rPr>
                <w:rFonts w:hint="eastAsia" w:cs="宋体"/>
                <w:color w:val="auto"/>
                <w:sz w:val="21"/>
                <w:szCs w:val="21"/>
                <w:lang w:eastAsia="zh-CN"/>
              </w:rPr>
              <w:t>、</w:t>
            </w:r>
            <w:r>
              <w:rPr>
                <w:rFonts w:hint="eastAsia" w:cs="宋体"/>
                <w:color w:val="auto"/>
                <w:sz w:val="21"/>
                <w:szCs w:val="21"/>
              </w:rPr>
              <w:t>标尺分划面弯曲差</w:t>
            </w:r>
            <w:r>
              <w:rPr>
                <w:rFonts w:hint="eastAsia" w:cs="宋体"/>
                <w:color w:val="auto"/>
                <w:sz w:val="21"/>
                <w:szCs w:val="21"/>
                <w:lang w:eastAsia="zh-CN"/>
              </w:rPr>
              <w:t>、</w:t>
            </w:r>
            <w:r>
              <w:rPr>
                <w:rFonts w:hint="eastAsia" w:cs="宋体"/>
                <w:color w:val="auto"/>
                <w:sz w:val="21"/>
                <w:szCs w:val="21"/>
              </w:rPr>
              <w:t>标尺中轴线与标尺底面的垂直度</w:t>
            </w:r>
            <w:r>
              <w:rPr>
                <w:rFonts w:hint="eastAsia" w:cs="宋体"/>
                <w:color w:val="auto"/>
                <w:sz w:val="21"/>
                <w:szCs w:val="21"/>
                <w:lang w:eastAsia="zh-CN"/>
              </w:rPr>
              <w:t>、</w:t>
            </w:r>
            <w:r>
              <w:rPr>
                <w:rFonts w:hint="eastAsia" w:cs="宋体"/>
                <w:color w:val="auto"/>
                <w:sz w:val="21"/>
                <w:szCs w:val="21"/>
              </w:rPr>
              <w:t>圆水准器安置正确性</w:t>
            </w:r>
            <w:r>
              <w:rPr>
                <w:rFonts w:hint="eastAsia"/>
                <w:color w:val="auto"/>
                <w:sz w:val="21"/>
                <w:szCs w:val="21"/>
                <w:shd w:val="clear" w:color="auto" w:fill="auto"/>
                <w:lang w:val="en-US" w:eastAsia="zh-CN" w:bidi="en-US"/>
              </w:rPr>
              <w:t>。</w:t>
            </w:r>
          </w:p>
          <w:p>
            <w:pPr>
              <w:keepNext w:val="0"/>
              <w:keepLines w:val="0"/>
              <w:pageBreakBefore w:val="0"/>
              <w:widowControl/>
              <w:tabs>
                <w:tab w:val="left" w:pos="3969"/>
              </w:tabs>
              <w:kinsoku/>
              <w:wordWrap/>
              <w:overflowPunct/>
              <w:topLinePunct w:val="0"/>
              <w:autoSpaceDE/>
              <w:autoSpaceDN/>
              <w:bidi w:val="0"/>
              <w:adjustRightInd/>
              <w:snapToGrid/>
              <w:spacing w:line="240" w:lineRule="auto"/>
              <w:ind w:firstLine="420" w:firstLineChars="200"/>
              <w:textAlignment w:val="auto"/>
              <w:rPr>
                <w:rFonts w:hint="eastAsia"/>
                <w:color w:val="auto"/>
                <w:sz w:val="21"/>
                <w:szCs w:val="21"/>
                <w:shd w:val="clear" w:color="auto" w:fill="auto"/>
                <w:lang w:val="en-US" w:eastAsia="zh-CN" w:bidi="en-US"/>
              </w:rPr>
            </w:pPr>
            <w:r>
              <w:rPr>
                <w:rFonts w:hint="eastAsia"/>
                <w:color w:val="auto"/>
                <w:sz w:val="21"/>
                <w:szCs w:val="21"/>
                <w:shd w:val="clear" w:color="auto" w:fill="auto"/>
                <w:lang w:val="en-US" w:eastAsia="zh-CN" w:bidi="en-US"/>
              </w:rPr>
              <w:t>3、全站仪：测角精度、单次测量精度（棱镜）、距离测量范围、连续测量精度（棱镜）、测距最小显示、测角最小显示、工作温度、测角方式、望远镜放大倍数/焦距范围、ATR、重复照准精度、数据通讯、防尘防水。</w:t>
            </w:r>
          </w:p>
          <w:p>
            <w:pPr>
              <w:keepNext w:val="0"/>
              <w:keepLines w:val="0"/>
              <w:pageBreakBefore w:val="0"/>
              <w:widowControl/>
              <w:tabs>
                <w:tab w:val="left" w:pos="3969"/>
              </w:tabs>
              <w:kinsoku/>
              <w:wordWrap/>
              <w:overflowPunct/>
              <w:topLinePunct w:val="0"/>
              <w:autoSpaceDE/>
              <w:autoSpaceDN/>
              <w:bidi w:val="0"/>
              <w:adjustRightInd/>
              <w:snapToGrid/>
              <w:spacing w:line="240" w:lineRule="auto"/>
              <w:ind w:firstLine="420" w:firstLineChars="200"/>
              <w:textAlignment w:val="auto"/>
              <w:rPr>
                <w:rFonts w:hint="eastAsia"/>
                <w:color w:val="auto"/>
                <w:sz w:val="21"/>
                <w:szCs w:val="21"/>
                <w:shd w:val="clear" w:color="auto" w:fill="auto"/>
                <w:lang w:val="en-US" w:eastAsia="zh-CN" w:bidi="en-US"/>
              </w:rPr>
            </w:pPr>
            <w:r>
              <w:rPr>
                <w:rFonts w:hint="eastAsia"/>
                <w:color w:val="auto"/>
                <w:sz w:val="21"/>
                <w:szCs w:val="21"/>
                <w:shd w:val="clear" w:color="auto" w:fill="auto"/>
                <w:lang w:val="en-US" w:eastAsia="zh-CN" w:bidi="en-US"/>
              </w:rPr>
              <w:t>4、磁通门经纬仪（6″）：最大允许误差、重复性、转向差、经纬仪等级、线性度、修正系数、示值分辨力、测量范围、显示单元至磁通门传感器最小安全距离、水平夹角、垂直夹角、零点偏移。</w:t>
            </w:r>
          </w:p>
          <w:p>
            <w:pPr>
              <w:keepNext w:val="0"/>
              <w:keepLines w:val="0"/>
              <w:pageBreakBefore w:val="0"/>
              <w:widowControl/>
              <w:shd w:val="clear"/>
              <w:tabs>
                <w:tab w:val="left" w:pos="3969"/>
              </w:tabs>
              <w:kinsoku/>
              <w:wordWrap/>
              <w:overflowPunct/>
              <w:topLinePunct w:val="0"/>
              <w:autoSpaceDE/>
              <w:autoSpaceDN/>
              <w:bidi w:val="0"/>
              <w:adjustRightInd/>
              <w:snapToGrid/>
              <w:spacing w:line="240" w:lineRule="auto"/>
              <w:ind w:firstLine="420" w:firstLineChars="200"/>
              <w:textAlignment w:val="auto"/>
              <w:rPr>
                <w:rFonts w:hint="eastAsia"/>
                <w:color w:val="auto"/>
                <w:sz w:val="21"/>
                <w:szCs w:val="21"/>
                <w:shd w:val="clear" w:color="auto" w:fill="auto"/>
                <w:lang w:val="en-US" w:eastAsia="zh-CN" w:bidi="en-US"/>
              </w:rPr>
            </w:pPr>
            <w:r>
              <w:rPr>
                <w:rFonts w:hint="eastAsia"/>
                <w:color w:val="auto"/>
                <w:sz w:val="21"/>
                <w:szCs w:val="21"/>
                <w:shd w:val="clear" w:color="auto" w:fill="auto"/>
                <w:lang w:val="en-US" w:eastAsia="zh-CN" w:bidi="en-US"/>
              </w:rPr>
              <w:t>5、质子</w:t>
            </w:r>
            <w:r>
              <w:rPr>
                <w:rFonts w:hint="eastAsia" w:ascii="宋体" w:hAnsi="宋体" w:eastAsia="宋体" w:cs="宋体"/>
                <w:color w:val="auto"/>
                <w:kern w:val="2"/>
                <w:sz w:val="21"/>
                <w:szCs w:val="21"/>
                <w:lang w:val="en-US" w:eastAsia="zh-CN" w:bidi="ar-SA"/>
              </w:rPr>
              <w:t>旋进</w:t>
            </w:r>
            <w:r>
              <w:rPr>
                <w:rFonts w:hint="eastAsia"/>
                <w:color w:val="auto"/>
                <w:sz w:val="21"/>
                <w:szCs w:val="21"/>
                <w:shd w:val="clear" w:color="auto" w:fill="auto"/>
                <w:lang w:val="en-US" w:eastAsia="zh-CN" w:bidi="en-US"/>
              </w:rPr>
              <w:t>磁力仪：测量范围、噪声、最大允许误差、采样率、示值分辨力、通信接口及协议、供电、数据传输线长度、守时精度。</w:t>
            </w:r>
          </w:p>
          <w:p>
            <w:pPr>
              <w:keepNext w:val="0"/>
              <w:keepLines w:val="0"/>
              <w:pageBreakBefore w:val="0"/>
              <w:widowControl/>
              <w:shd w:val="clear"/>
              <w:tabs>
                <w:tab w:val="left" w:pos="3969"/>
              </w:tabs>
              <w:kinsoku/>
              <w:wordWrap/>
              <w:overflowPunct/>
              <w:topLinePunct w:val="0"/>
              <w:autoSpaceDE/>
              <w:autoSpaceDN/>
              <w:bidi w:val="0"/>
              <w:adjustRightInd/>
              <w:snapToGrid/>
              <w:spacing w:line="240" w:lineRule="auto"/>
              <w:ind w:firstLine="420" w:firstLineChars="200"/>
              <w:textAlignment w:val="auto"/>
              <w:rPr>
                <w:rFonts w:hint="eastAsia"/>
                <w:color w:val="auto"/>
                <w:sz w:val="21"/>
                <w:szCs w:val="21"/>
                <w:shd w:val="clear" w:color="auto" w:fill="auto"/>
                <w:lang w:val="en-US" w:eastAsia="zh-CN" w:bidi="en-US"/>
              </w:rPr>
            </w:pPr>
            <w:r>
              <w:rPr>
                <w:rFonts w:hint="eastAsia"/>
                <w:color w:val="auto"/>
                <w:sz w:val="21"/>
                <w:szCs w:val="21"/>
                <w:shd w:val="clear" w:color="auto" w:fill="auto"/>
                <w:lang w:val="en-US" w:eastAsia="zh-CN" w:bidi="en-US"/>
              </w:rPr>
              <w:t>6、差分定位仪：静态测量时，10分钟内两次地理方位角测量之差、静态测量性能、采集软件显示功能、支持卫星系统、方位角计算软件、静态测量的记录间隔、通讯接口、内存储量、电池类型、电池待机时间、机壳密封。</w:t>
            </w:r>
          </w:p>
          <w:p>
            <w:pPr>
              <w:keepNext w:val="0"/>
              <w:keepLines w:val="0"/>
              <w:pageBreakBefore w:val="0"/>
              <w:widowControl/>
              <w:tabs>
                <w:tab w:val="left" w:pos="3969"/>
              </w:tabs>
              <w:kinsoku/>
              <w:wordWrap/>
              <w:overflowPunct/>
              <w:topLinePunct w:val="0"/>
              <w:autoSpaceDE/>
              <w:autoSpaceDN/>
              <w:bidi w:val="0"/>
              <w:adjustRightInd/>
              <w:snapToGrid/>
              <w:spacing w:line="240" w:lineRule="auto"/>
              <w:ind w:firstLine="420" w:firstLineChars="200"/>
              <w:textAlignment w:val="auto"/>
              <w:rPr>
                <w:rFonts w:hint="eastAsia"/>
                <w:color w:val="auto"/>
                <w:sz w:val="21"/>
                <w:szCs w:val="21"/>
                <w:shd w:val="clear" w:color="auto" w:fill="auto"/>
                <w:lang w:val="en-US" w:eastAsia="zh-CN" w:bidi="en-US"/>
              </w:rPr>
            </w:pPr>
            <w:r>
              <w:rPr>
                <w:rFonts w:hint="eastAsia" w:cstheme="minorBidi"/>
                <w:color w:val="auto"/>
                <w:kern w:val="2"/>
                <w:sz w:val="21"/>
                <w:szCs w:val="21"/>
                <w:lang w:val="en-US" w:eastAsia="zh-CN" w:bidi="en-US"/>
              </w:rPr>
              <w:t>注：</w:t>
            </w:r>
            <w:r>
              <w:rPr>
                <w:rFonts w:hint="eastAsia" w:asciiTheme="minorHAnsi" w:hAnsiTheme="minorHAnsi" w:eastAsiaTheme="minorEastAsia" w:cstheme="minorBidi"/>
                <w:color w:val="auto"/>
                <w:kern w:val="2"/>
                <w:sz w:val="21"/>
                <w:szCs w:val="21"/>
                <w:lang w:val="en-US" w:eastAsia="zh-CN" w:bidi="en-US"/>
              </w:rPr>
              <w:t>检定/校准/测试</w:t>
            </w:r>
            <w:r>
              <w:rPr>
                <w:rFonts w:hint="eastAsia" w:ascii="宋体" w:hAnsi="宋体" w:eastAsia="宋体" w:cstheme="minorBidi"/>
                <w:kern w:val="2"/>
                <w:sz w:val="21"/>
                <w:szCs w:val="21"/>
                <w:lang w:val="en-US" w:eastAsia="zh-CN" w:bidi="ar-SA"/>
              </w:rPr>
              <w:t>所发生的费用由中标人承担(并入投标报价内)。</w:t>
            </w:r>
          </w:p>
        </w:tc>
      </w:tr>
    </w:tbl>
    <w:p>
      <w:pPr>
        <w:pStyle w:val="3"/>
        <w:pageBreakBefore w:val="0"/>
        <w:numPr>
          <w:ilvl w:val="0"/>
          <w:numId w:val="0"/>
        </w:numPr>
        <w:kinsoku/>
        <w:wordWrap/>
        <w:overflowPunct/>
        <w:topLinePunct w:val="0"/>
        <w:autoSpaceDE/>
        <w:autoSpaceDN/>
        <w:bidi w:val="0"/>
        <w:adjustRightInd/>
        <w:snapToGrid/>
        <w:ind w:leftChars="-104" w:firstLine="211" w:firstLineChars="100"/>
        <w:textAlignment w:val="auto"/>
        <w:rPr>
          <w:rFonts w:hint="eastAsia"/>
          <w:b/>
          <w:bCs/>
          <w:sz w:val="21"/>
          <w:szCs w:val="21"/>
          <w:lang w:val="en-US" w:eastAsia="zh-CN"/>
        </w:rPr>
      </w:pPr>
    </w:p>
    <w:p>
      <w:pPr>
        <w:pStyle w:val="10"/>
        <w:outlineLvl w:val="3"/>
        <w:rPr>
          <w:rFonts w:hint="eastAsia"/>
          <w:b/>
          <w:sz w:val="24"/>
          <w:lang w:val="en-US" w:eastAsia="zh-CN"/>
        </w:rPr>
      </w:pPr>
    </w:p>
    <w:p>
      <w:pPr>
        <w:pStyle w:val="10"/>
        <w:outlineLvl w:val="3"/>
        <w:rPr>
          <w:rFonts w:hint="eastAsia"/>
          <w:b/>
          <w:sz w:val="24"/>
          <w:lang w:val="en-US" w:eastAsia="zh-CN"/>
        </w:rPr>
      </w:pPr>
    </w:p>
    <w:p>
      <w:pPr>
        <w:pStyle w:val="10"/>
        <w:outlineLvl w:val="3"/>
        <w:rPr>
          <w:rFonts w:hint="eastAsia"/>
          <w:b/>
          <w:sz w:val="24"/>
          <w:lang w:val="en-US" w:eastAsia="zh-CN"/>
        </w:rPr>
      </w:pPr>
      <w:bookmarkStart w:id="8" w:name="_GoBack"/>
      <w:bookmarkEnd w:id="8"/>
      <w:r>
        <w:rPr>
          <w:rFonts w:hint="eastAsia"/>
          <w:b/>
          <w:sz w:val="24"/>
          <w:lang w:val="en-US" w:eastAsia="zh-CN"/>
        </w:rPr>
        <w:t>3.5.3货物、指标要求</w:t>
      </w:r>
    </w:p>
    <w:p>
      <w:pPr>
        <w:pageBreakBefore w:val="0"/>
        <w:kinsoku/>
        <w:wordWrap/>
        <w:overflowPunct/>
        <w:topLinePunct w:val="0"/>
        <w:autoSpaceDE/>
        <w:autoSpaceDN/>
        <w:bidi w:val="0"/>
        <w:adjustRightInd/>
        <w:snapToGrid/>
        <w:ind w:firstLine="422" w:firstLineChars="200"/>
        <w:textAlignment w:val="auto"/>
        <w:rPr>
          <w:rFonts w:hint="eastAsia" w:cs="Times New Roman"/>
          <w:sz w:val="21"/>
          <w:szCs w:val="21"/>
          <w:lang w:val="en-US" w:eastAsia="zh-CN"/>
        </w:rPr>
      </w:pPr>
      <w:r>
        <w:rPr>
          <w:rFonts w:hint="eastAsia"/>
          <w:b/>
          <w:bCs/>
          <w:sz w:val="21"/>
          <w:szCs w:val="21"/>
          <w:lang w:val="en-US" w:eastAsia="zh-CN"/>
        </w:rPr>
        <w:t>（1）</w:t>
      </w:r>
      <w:r>
        <w:rPr>
          <w:rFonts w:hint="eastAsia" w:cs="Times New Roman"/>
          <w:b/>
          <w:bCs/>
          <w:sz w:val="21"/>
          <w:szCs w:val="21"/>
          <w:lang w:val="en-US" w:eastAsia="zh-CN"/>
        </w:rPr>
        <w:t>标准与依据</w:t>
      </w:r>
    </w:p>
    <w:p>
      <w:pPr>
        <w:pageBreakBefore w:val="0"/>
        <w:kinsoku/>
        <w:wordWrap/>
        <w:overflowPunct/>
        <w:topLinePunct w:val="0"/>
        <w:autoSpaceDE/>
        <w:autoSpaceDN/>
        <w:bidi w:val="0"/>
        <w:adjustRightInd/>
        <w:snapToGrid/>
        <w:textAlignment w:val="auto"/>
        <w:rPr>
          <w:rFonts w:hint="default" w:cs="Times New Roman"/>
          <w:sz w:val="21"/>
          <w:szCs w:val="21"/>
          <w:lang w:val="en-US" w:eastAsia="zh-CN"/>
        </w:rPr>
      </w:pPr>
      <w:r>
        <w:rPr>
          <w:rFonts w:hint="eastAsia" w:cs="Times New Roman"/>
          <w:sz w:val="21"/>
          <w:szCs w:val="21"/>
          <w:lang w:val="en-US" w:eastAsia="zh-CN"/>
        </w:rPr>
        <w:t>《地球物理站网(GNSS、重力、地磁、地电、地下流体、定点形变）运行管理技术细则》及其相关技术规范附件（震台网函［2023］15）；</w:t>
      </w:r>
    </w:p>
    <w:p>
      <w:pPr>
        <w:pageBreakBefore w:val="0"/>
        <w:kinsoku/>
        <w:wordWrap/>
        <w:overflowPunct/>
        <w:topLinePunct w:val="0"/>
        <w:autoSpaceDE/>
        <w:autoSpaceDN/>
        <w:bidi w:val="0"/>
        <w:adjustRightInd/>
        <w:snapToGrid/>
        <w:textAlignment w:val="auto"/>
        <w:rPr>
          <w:rFonts w:hint="default" w:cs="Times New Roman"/>
          <w:sz w:val="21"/>
          <w:szCs w:val="21"/>
          <w:lang w:val="en-US" w:eastAsia="zh-CN"/>
        </w:rPr>
      </w:pPr>
      <w:r>
        <w:rPr>
          <w:rFonts w:hint="eastAsia" w:cs="Times New Roman"/>
          <w:sz w:val="21"/>
          <w:szCs w:val="21"/>
          <w:lang w:val="en-US" w:eastAsia="zh-CN"/>
        </w:rPr>
        <w:t>《地磁、地下流体、地壳形变学科观测资料质量评比办法》（中震测函［2015］127号）；</w:t>
      </w:r>
    </w:p>
    <w:p>
      <w:pPr>
        <w:pageBreakBefore w:val="0"/>
        <w:numPr>
          <w:ilvl w:val="0"/>
          <w:numId w:val="0"/>
        </w:numPr>
        <w:kinsoku/>
        <w:wordWrap/>
        <w:overflowPunct/>
        <w:topLinePunct w:val="0"/>
        <w:autoSpaceDE/>
        <w:autoSpaceDN/>
        <w:bidi w:val="0"/>
        <w:adjustRightInd/>
        <w:snapToGrid/>
        <w:textAlignment w:val="auto"/>
        <w:rPr>
          <w:rFonts w:hint="eastAsia"/>
          <w:sz w:val="21"/>
          <w:szCs w:val="21"/>
          <w:lang w:eastAsia="zh-CN"/>
        </w:rPr>
      </w:pPr>
      <w:r>
        <w:rPr>
          <w:rFonts w:hint="eastAsia"/>
          <w:sz w:val="21"/>
          <w:szCs w:val="21"/>
        </w:rPr>
        <w:t>DB</w:t>
      </w:r>
      <w:r>
        <w:rPr>
          <w:rFonts w:hint="eastAsia"/>
          <w:sz w:val="21"/>
          <w:szCs w:val="21"/>
          <w:lang w:val="en-US" w:eastAsia="zh-CN"/>
        </w:rPr>
        <w:t>/</w:t>
      </w:r>
      <w:r>
        <w:rPr>
          <w:rFonts w:hint="eastAsia"/>
          <w:sz w:val="21"/>
          <w:szCs w:val="21"/>
        </w:rPr>
        <w:t>T 39</w:t>
      </w:r>
      <w:r>
        <w:rPr>
          <w:rFonts w:hint="eastAsia"/>
          <w:sz w:val="21"/>
          <w:szCs w:val="21"/>
          <w:lang w:eastAsia="zh-CN"/>
        </w:rPr>
        <w:t>－</w:t>
      </w:r>
      <w:r>
        <w:rPr>
          <w:rFonts w:hint="eastAsia"/>
          <w:sz w:val="21"/>
          <w:szCs w:val="21"/>
        </w:rPr>
        <w:t>2010《地震台网设计技术要求 重力观测网》</w:t>
      </w:r>
      <w:r>
        <w:rPr>
          <w:rFonts w:hint="eastAsia"/>
          <w:sz w:val="21"/>
          <w:szCs w:val="21"/>
          <w:lang w:eastAsia="zh-CN"/>
        </w:rPr>
        <w:t>；</w:t>
      </w:r>
    </w:p>
    <w:p>
      <w:pPr>
        <w:pageBreakBefore w:val="0"/>
        <w:numPr>
          <w:ilvl w:val="0"/>
          <w:numId w:val="0"/>
        </w:numPr>
        <w:kinsoku/>
        <w:wordWrap/>
        <w:overflowPunct/>
        <w:topLinePunct w:val="0"/>
        <w:autoSpaceDE/>
        <w:autoSpaceDN/>
        <w:bidi w:val="0"/>
        <w:adjustRightInd/>
        <w:snapToGrid/>
        <w:textAlignment w:val="auto"/>
        <w:rPr>
          <w:rFonts w:hint="eastAsia"/>
          <w:sz w:val="21"/>
          <w:szCs w:val="21"/>
          <w:lang w:eastAsia="zh-CN"/>
        </w:rPr>
      </w:pPr>
      <w:r>
        <w:rPr>
          <w:rFonts w:hint="eastAsia"/>
          <w:sz w:val="21"/>
          <w:szCs w:val="21"/>
          <w:lang w:eastAsia="zh-CN"/>
        </w:rPr>
        <w:t>DB</w:t>
      </w:r>
      <w:r>
        <w:rPr>
          <w:rFonts w:hint="eastAsia"/>
          <w:sz w:val="21"/>
          <w:szCs w:val="21"/>
          <w:lang w:val="en-US" w:eastAsia="zh-CN"/>
        </w:rPr>
        <w:t>/</w:t>
      </w:r>
      <w:r>
        <w:rPr>
          <w:rFonts w:hint="eastAsia"/>
          <w:sz w:val="21"/>
          <w:szCs w:val="21"/>
          <w:lang w:eastAsia="zh-CN"/>
        </w:rPr>
        <w:t>T 23－2007《地震观测仪器进网技术要求 重力仪》；</w:t>
      </w:r>
    </w:p>
    <w:p>
      <w:pPr>
        <w:pageBreakBefore w:val="0"/>
        <w:numPr>
          <w:ilvl w:val="0"/>
          <w:numId w:val="0"/>
        </w:numPr>
        <w:kinsoku/>
        <w:wordWrap/>
        <w:overflowPunct/>
        <w:topLinePunct w:val="0"/>
        <w:autoSpaceDE/>
        <w:autoSpaceDN/>
        <w:bidi w:val="0"/>
        <w:adjustRightInd/>
        <w:snapToGrid/>
        <w:textAlignment w:val="auto"/>
        <w:rPr>
          <w:rFonts w:hint="eastAsia"/>
          <w:sz w:val="21"/>
          <w:szCs w:val="21"/>
          <w:lang w:eastAsia="zh-CN"/>
        </w:rPr>
      </w:pPr>
      <w:r>
        <w:rPr>
          <w:rFonts w:hint="eastAsia"/>
          <w:sz w:val="21"/>
          <w:szCs w:val="21"/>
          <w:lang w:eastAsia="zh-CN"/>
        </w:rPr>
        <w:t>DB</w:t>
      </w:r>
      <w:r>
        <w:rPr>
          <w:rFonts w:hint="eastAsia"/>
          <w:sz w:val="21"/>
          <w:szCs w:val="21"/>
          <w:lang w:val="en-US" w:eastAsia="zh-CN"/>
        </w:rPr>
        <w:t>/</w:t>
      </w:r>
      <w:r>
        <w:rPr>
          <w:rFonts w:hint="eastAsia"/>
          <w:sz w:val="21"/>
          <w:szCs w:val="21"/>
          <w:lang w:eastAsia="zh-CN"/>
        </w:rPr>
        <w:t>T 21－2007《地震观测仪器进网技术要求 常用技术参数表述与测试方法》；</w:t>
      </w:r>
    </w:p>
    <w:p>
      <w:pPr>
        <w:pageBreakBefore w:val="0"/>
        <w:numPr>
          <w:ilvl w:val="0"/>
          <w:numId w:val="0"/>
        </w:numPr>
        <w:kinsoku/>
        <w:wordWrap/>
        <w:overflowPunct/>
        <w:topLinePunct w:val="0"/>
        <w:autoSpaceDE/>
        <w:autoSpaceDN/>
        <w:bidi w:val="0"/>
        <w:adjustRightInd/>
        <w:snapToGrid/>
        <w:textAlignment w:val="auto"/>
        <w:rPr>
          <w:rFonts w:hint="eastAsia"/>
          <w:sz w:val="21"/>
          <w:szCs w:val="21"/>
          <w:lang w:val="en-US" w:eastAsia="zh-CN"/>
        </w:rPr>
      </w:pPr>
      <w:r>
        <w:rPr>
          <w:rFonts w:hint="eastAsia"/>
          <w:sz w:val="21"/>
          <w:szCs w:val="21"/>
          <w:lang w:eastAsia="zh-CN"/>
        </w:rPr>
        <w:t>DB</w:t>
      </w:r>
      <w:r>
        <w:rPr>
          <w:rFonts w:hint="eastAsia"/>
          <w:sz w:val="21"/>
          <w:szCs w:val="21"/>
          <w:lang w:val="en-US" w:eastAsia="zh-CN"/>
        </w:rPr>
        <w:t>/</w:t>
      </w:r>
      <w:r>
        <w:rPr>
          <w:rFonts w:hint="eastAsia"/>
          <w:sz w:val="21"/>
          <w:szCs w:val="21"/>
          <w:lang w:eastAsia="zh-CN"/>
        </w:rPr>
        <w:t>T</w:t>
      </w:r>
      <w:r>
        <w:rPr>
          <w:rFonts w:hint="eastAsia"/>
          <w:sz w:val="21"/>
          <w:szCs w:val="21"/>
          <w:lang w:val="en-US" w:eastAsia="zh-CN"/>
        </w:rPr>
        <w:t xml:space="preserve"> 20256</w:t>
      </w:r>
      <w:r>
        <w:rPr>
          <w:rFonts w:hint="eastAsia"/>
          <w:sz w:val="21"/>
          <w:szCs w:val="21"/>
          <w:lang w:eastAsia="zh-CN"/>
        </w:rPr>
        <w:t>－</w:t>
      </w:r>
      <w:r>
        <w:rPr>
          <w:rFonts w:hint="eastAsia"/>
          <w:sz w:val="21"/>
          <w:szCs w:val="21"/>
          <w:lang w:val="en-US" w:eastAsia="zh-CN"/>
        </w:rPr>
        <w:t>2019《国家重力控制测量规范》；</w:t>
      </w:r>
    </w:p>
    <w:p>
      <w:pPr>
        <w:pageBreakBefore w:val="0"/>
        <w:numPr>
          <w:ilvl w:val="0"/>
          <w:numId w:val="0"/>
        </w:numPr>
        <w:kinsoku/>
        <w:wordWrap/>
        <w:overflowPunct/>
        <w:topLinePunct w:val="0"/>
        <w:autoSpaceDE/>
        <w:autoSpaceDN/>
        <w:bidi w:val="0"/>
        <w:adjustRightInd/>
        <w:snapToGrid/>
        <w:textAlignment w:val="auto"/>
        <w:rPr>
          <w:rFonts w:hint="default"/>
          <w:sz w:val="21"/>
          <w:szCs w:val="21"/>
          <w:lang w:val="en-US" w:eastAsia="zh-CN"/>
        </w:rPr>
      </w:pPr>
      <w:r>
        <w:rPr>
          <w:rFonts w:hint="eastAsia"/>
          <w:sz w:val="21"/>
          <w:szCs w:val="21"/>
          <w:lang w:eastAsia="zh-CN"/>
        </w:rPr>
        <w:t>DB</w:t>
      </w:r>
      <w:r>
        <w:rPr>
          <w:rFonts w:hint="eastAsia"/>
          <w:sz w:val="21"/>
          <w:szCs w:val="21"/>
          <w:lang w:val="en-US" w:eastAsia="zh-CN"/>
        </w:rPr>
        <w:t>/</w:t>
      </w:r>
      <w:r>
        <w:rPr>
          <w:rFonts w:hint="eastAsia"/>
          <w:sz w:val="21"/>
          <w:szCs w:val="21"/>
          <w:lang w:eastAsia="zh-CN"/>
        </w:rPr>
        <w:t>T</w:t>
      </w:r>
      <w:r>
        <w:rPr>
          <w:rFonts w:hint="eastAsia"/>
          <w:sz w:val="21"/>
          <w:szCs w:val="21"/>
          <w:lang w:val="en-US" w:eastAsia="zh-CN"/>
        </w:rPr>
        <w:t xml:space="preserve"> 17944</w:t>
      </w:r>
      <w:r>
        <w:rPr>
          <w:rFonts w:hint="eastAsia"/>
          <w:sz w:val="21"/>
          <w:szCs w:val="21"/>
          <w:lang w:eastAsia="zh-CN"/>
        </w:rPr>
        <w:t>－</w:t>
      </w:r>
      <w:r>
        <w:rPr>
          <w:rFonts w:hint="eastAsia"/>
          <w:sz w:val="21"/>
          <w:szCs w:val="21"/>
          <w:lang w:val="en-US" w:eastAsia="zh-CN"/>
        </w:rPr>
        <w:t>2018《加密重力测量规范》；</w:t>
      </w:r>
    </w:p>
    <w:p>
      <w:pPr>
        <w:pageBreakBefore w:val="0"/>
        <w:kinsoku/>
        <w:wordWrap/>
        <w:overflowPunct/>
        <w:topLinePunct w:val="0"/>
        <w:autoSpaceDE/>
        <w:autoSpaceDN/>
        <w:bidi w:val="0"/>
        <w:adjustRightInd/>
        <w:snapToGrid/>
        <w:textAlignment w:val="auto"/>
        <w:rPr>
          <w:rFonts w:hint="eastAsia"/>
          <w:sz w:val="21"/>
          <w:szCs w:val="21"/>
          <w:lang w:val="en-US" w:eastAsia="zh-CN"/>
        </w:rPr>
      </w:pPr>
      <w:r>
        <w:rPr>
          <w:rFonts w:hint="eastAsia"/>
          <w:sz w:val="21"/>
          <w:szCs w:val="21"/>
          <w:lang w:eastAsia="zh-CN"/>
        </w:rPr>
        <w:t>DB</w:t>
      </w:r>
      <w:r>
        <w:rPr>
          <w:rFonts w:hint="eastAsia"/>
          <w:sz w:val="21"/>
          <w:szCs w:val="21"/>
          <w:lang w:val="en-US" w:eastAsia="zh-CN"/>
        </w:rPr>
        <w:t>/</w:t>
      </w:r>
      <w:r>
        <w:rPr>
          <w:rFonts w:hint="eastAsia"/>
          <w:sz w:val="21"/>
          <w:szCs w:val="21"/>
          <w:lang w:eastAsia="zh-CN"/>
        </w:rPr>
        <w:t>T</w:t>
      </w:r>
      <w:r>
        <w:rPr>
          <w:rFonts w:hint="eastAsia"/>
          <w:sz w:val="21"/>
          <w:szCs w:val="21"/>
          <w:lang w:val="en-US" w:eastAsia="zh-CN"/>
        </w:rPr>
        <w:t xml:space="preserve"> 12897</w:t>
      </w:r>
      <w:r>
        <w:rPr>
          <w:rFonts w:hint="eastAsia"/>
          <w:sz w:val="21"/>
          <w:szCs w:val="21"/>
          <w:lang w:eastAsia="zh-CN"/>
        </w:rPr>
        <w:t>－</w:t>
      </w:r>
      <w:r>
        <w:rPr>
          <w:rFonts w:hint="eastAsia"/>
          <w:sz w:val="21"/>
          <w:szCs w:val="21"/>
          <w:lang w:val="en-US" w:eastAsia="zh-CN"/>
        </w:rPr>
        <w:t>2006《国家一、二等水准测量规范》；</w:t>
      </w:r>
    </w:p>
    <w:p>
      <w:pPr>
        <w:pageBreakBefore w:val="0"/>
        <w:kinsoku/>
        <w:wordWrap/>
        <w:overflowPunct/>
        <w:topLinePunct w:val="0"/>
        <w:autoSpaceDE/>
        <w:autoSpaceDN/>
        <w:bidi w:val="0"/>
        <w:adjustRightInd/>
        <w:snapToGrid/>
        <w:textAlignment w:val="auto"/>
        <w:rPr>
          <w:rFonts w:hint="eastAsia"/>
          <w:sz w:val="21"/>
          <w:szCs w:val="21"/>
          <w:lang w:val="en-US" w:eastAsia="zh-CN"/>
        </w:rPr>
      </w:pPr>
      <w:r>
        <w:rPr>
          <w:rFonts w:hint="default"/>
          <w:sz w:val="21"/>
          <w:szCs w:val="21"/>
          <w:lang w:val="en-US" w:eastAsia="zh-CN"/>
        </w:rPr>
        <w:t>DB</w:t>
      </w:r>
      <w:r>
        <w:rPr>
          <w:rFonts w:hint="eastAsia"/>
          <w:sz w:val="21"/>
          <w:szCs w:val="21"/>
          <w:lang w:val="en-US" w:eastAsia="zh-CN"/>
        </w:rPr>
        <w:t>/</w:t>
      </w:r>
      <w:r>
        <w:rPr>
          <w:rFonts w:hint="default"/>
          <w:sz w:val="21"/>
          <w:szCs w:val="21"/>
          <w:lang w:val="en-US" w:eastAsia="zh-CN"/>
        </w:rPr>
        <w:t>T 5</w:t>
      </w:r>
      <w:r>
        <w:rPr>
          <w:rFonts w:hint="eastAsia"/>
          <w:sz w:val="21"/>
          <w:szCs w:val="21"/>
          <w:lang w:eastAsia="zh-CN"/>
        </w:rPr>
        <w:t>－</w:t>
      </w:r>
      <w:r>
        <w:rPr>
          <w:rFonts w:hint="default"/>
          <w:sz w:val="21"/>
          <w:szCs w:val="21"/>
          <w:lang w:val="en-US" w:eastAsia="zh-CN"/>
        </w:rPr>
        <w:t>2015《地震水准测量规范》</w:t>
      </w:r>
      <w:r>
        <w:rPr>
          <w:rFonts w:hint="eastAsia"/>
          <w:sz w:val="21"/>
          <w:szCs w:val="21"/>
          <w:lang w:val="en-US" w:eastAsia="zh-CN"/>
        </w:rPr>
        <w:t>；</w:t>
      </w:r>
    </w:p>
    <w:p>
      <w:pPr>
        <w:pageBreakBefore w:val="0"/>
        <w:kinsoku/>
        <w:wordWrap/>
        <w:overflowPunct/>
        <w:topLinePunct w:val="0"/>
        <w:autoSpaceDE/>
        <w:autoSpaceDN/>
        <w:bidi w:val="0"/>
        <w:adjustRightInd/>
        <w:snapToGrid/>
        <w:textAlignment w:val="auto"/>
        <w:rPr>
          <w:rFonts w:hint="eastAsia"/>
          <w:sz w:val="21"/>
          <w:szCs w:val="21"/>
          <w:lang w:val="en-US" w:eastAsia="zh-CN"/>
        </w:rPr>
      </w:pPr>
      <w:r>
        <w:rPr>
          <w:rFonts w:hint="eastAsia"/>
          <w:sz w:val="21"/>
          <w:szCs w:val="21"/>
          <w:lang w:val="en-US" w:eastAsia="zh-CN"/>
        </w:rPr>
        <w:t>DB/T 40.2</w:t>
      </w:r>
      <w:r>
        <w:rPr>
          <w:rFonts w:hint="eastAsia"/>
          <w:sz w:val="21"/>
          <w:szCs w:val="21"/>
          <w:lang w:eastAsia="zh-CN"/>
        </w:rPr>
        <w:t>－</w:t>
      </w:r>
      <w:r>
        <w:rPr>
          <w:rFonts w:hint="eastAsia"/>
          <w:sz w:val="21"/>
          <w:szCs w:val="21"/>
          <w:lang w:val="en-US" w:eastAsia="zh-CN"/>
        </w:rPr>
        <w:t>2010《地震台网设计技术要求 地壳形变观测网 第2部分：流动形变观测网》；</w:t>
      </w:r>
    </w:p>
    <w:p>
      <w:pPr>
        <w:pageBreakBefore w:val="0"/>
        <w:numPr>
          <w:ilvl w:val="0"/>
          <w:numId w:val="0"/>
        </w:numPr>
        <w:kinsoku/>
        <w:wordWrap/>
        <w:overflowPunct/>
        <w:topLinePunct w:val="0"/>
        <w:autoSpaceDE/>
        <w:autoSpaceDN/>
        <w:bidi w:val="0"/>
        <w:adjustRightInd/>
        <w:snapToGrid/>
        <w:textAlignment w:val="auto"/>
        <w:rPr>
          <w:rFonts w:hint="eastAsia"/>
          <w:sz w:val="21"/>
          <w:szCs w:val="21"/>
          <w:lang w:val="en-US" w:eastAsia="zh-CN"/>
        </w:rPr>
      </w:pPr>
      <w:r>
        <w:rPr>
          <w:rFonts w:hint="default"/>
          <w:sz w:val="21"/>
          <w:szCs w:val="21"/>
          <w:lang w:val="en-US" w:eastAsia="zh-CN"/>
        </w:rPr>
        <w:fldChar w:fldCharType="begin"/>
      </w:r>
      <w:r>
        <w:rPr>
          <w:rFonts w:hint="default"/>
          <w:sz w:val="21"/>
          <w:szCs w:val="21"/>
          <w:lang w:val="en-US" w:eastAsia="zh-CN"/>
        </w:rPr>
        <w:instrText xml:space="preserve"> HYPERLINK "javascript:void(0)" </w:instrText>
      </w:r>
      <w:r>
        <w:rPr>
          <w:rFonts w:hint="default"/>
          <w:sz w:val="21"/>
          <w:szCs w:val="21"/>
          <w:lang w:val="en-US" w:eastAsia="zh-CN"/>
        </w:rPr>
        <w:fldChar w:fldCharType="separate"/>
      </w:r>
      <w:r>
        <w:rPr>
          <w:rFonts w:hint="default"/>
          <w:sz w:val="21"/>
          <w:szCs w:val="21"/>
          <w:lang w:val="en-US" w:eastAsia="zh-CN"/>
        </w:rPr>
        <w:t>GB/T 16818</w:t>
      </w:r>
      <w:r>
        <w:rPr>
          <w:rFonts w:hint="eastAsia"/>
          <w:sz w:val="21"/>
          <w:szCs w:val="21"/>
          <w:lang w:eastAsia="zh-CN"/>
        </w:rPr>
        <w:t>－</w:t>
      </w:r>
      <w:r>
        <w:rPr>
          <w:rFonts w:hint="default"/>
          <w:sz w:val="21"/>
          <w:szCs w:val="21"/>
          <w:lang w:val="en-US" w:eastAsia="zh-CN"/>
        </w:rPr>
        <w:t>2008</w:t>
      </w:r>
      <w:r>
        <w:rPr>
          <w:rFonts w:hint="default"/>
          <w:sz w:val="21"/>
          <w:szCs w:val="21"/>
          <w:lang w:val="en-US" w:eastAsia="zh-CN"/>
        </w:rPr>
        <w:fldChar w:fldCharType="end"/>
      </w:r>
      <w:r>
        <w:rPr>
          <w:rFonts w:hint="eastAsia"/>
          <w:sz w:val="21"/>
          <w:szCs w:val="21"/>
          <w:lang w:val="en-US" w:eastAsia="zh-CN"/>
        </w:rPr>
        <w:t>《</w:t>
      </w:r>
      <w:r>
        <w:rPr>
          <w:rFonts w:hint="default"/>
          <w:sz w:val="21"/>
          <w:szCs w:val="21"/>
          <w:lang w:val="en-US" w:eastAsia="zh-CN"/>
        </w:rPr>
        <w:fldChar w:fldCharType="begin"/>
      </w:r>
      <w:r>
        <w:rPr>
          <w:rFonts w:hint="default"/>
          <w:sz w:val="21"/>
          <w:szCs w:val="21"/>
          <w:lang w:val="en-US" w:eastAsia="zh-CN"/>
        </w:rPr>
        <w:instrText xml:space="preserve"> HYPERLINK "javascript:void(0)" </w:instrText>
      </w:r>
      <w:r>
        <w:rPr>
          <w:rFonts w:hint="default"/>
          <w:sz w:val="21"/>
          <w:szCs w:val="21"/>
          <w:lang w:val="en-US" w:eastAsia="zh-CN"/>
        </w:rPr>
        <w:fldChar w:fldCharType="separate"/>
      </w:r>
      <w:r>
        <w:rPr>
          <w:rFonts w:hint="default"/>
          <w:sz w:val="21"/>
          <w:szCs w:val="21"/>
          <w:lang w:val="en-US" w:eastAsia="zh-CN"/>
        </w:rPr>
        <w:t>中、短程光电测距规范</w:t>
      </w:r>
      <w:r>
        <w:rPr>
          <w:rFonts w:hint="default"/>
          <w:sz w:val="21"/>
          <w:szCs w:val="21"/>
          <w:lang w:val="en-US" w:eastAsia="zh-CN"/>
        </w:rPr>
        <w:fldChar w:fldCharType="end"/>
      </w:r>
      <w:r>
        <w:rPr>
          <w:rFonts w:hint="eastAsia"/>
          <w:sz w:val="21"/>
          <w:szCs w:val="21"/>
          <w:lang w:val="en-US" w:eastAsia="zh-CN"/>
        </w:rPr>
        <w:t>》；</w:t>
      </w:r>
    </w:p>
    <w:p>
      <w:pPr>
        <w:pageBreakBefore w:val="0"/>
        <w:numPr>
          <w:ilvl w:val="0"/>
          <w:numId w:val="0"/>
        </w:numPr>
        <w:kinsoku/>
        <w:wordWrap/>
        <w:overflowPunct/>
        <w:topLinePunct w:val="0"/>
        <w:autoSpaceDE/>
        <w:autoSpaceDN/>
        <w:bidi w:val="0"/>
        <w:adjustRightInd/>
        <w:snapToGrid/>
        <w:textAlignment w:val="auto"/>
        <w:rPr>
          <w:rFonts w:hint="eastAsia"/>
          <w:sz w:val="21"/>
          <w:szCs w:val="21"/>
          <w:lang w:val="en-US" w:eastAsia="zh-CN"/>
        </w:rPr>
      </w:pPr>
      <w:r>
        <w:rPr>
          <w:rFonts w:hint="eastAsia"/>
          <w:sz w:val="21"/>
          <w:szCs w:val="21"/>
          <w:lang w:val="en-US" w:eastAsia="zh-CN"/>
        </w:rPr>
        <w:fldChar w:fldCharType="begin"/>
      </w:r>
      <w:r>
        <w:rPr>
          <w:rFonts w:hint="eastAsia"/>
          <w:sz w:val="21"/>
          <w:szCs w:val="21"/>
          <w:lang w:val="en-US" w:eastAsia="zh-CN"/>
        </w:rPr>
        <w:instrText xml:space="preserve"> HYPERLINK "javascript:void(0)" </w:instrText>
      </w:r>
      <w:r>
        <w:rPr>
          <w:rFonts w:hint="eastAsia"/>
          <w:sz w:val="21"/>
          <w:szCs w:val="21"/>
          <w:lang w:val="en-US" w:eastAsia="zh-CN"/>
        </w:rPr>
        <w:fldChar w:fldCharType="separate"/>
      </w:r>
      <w:r>
        <w:rPr>
          <w:rFonts w:hint="default"/>
          <w:sz w:val="21"/>
          <w:szCs w:val="21"/>
          <w:lang w:val="en-US" w:eastAsia="zh-CN"/>
        </w:rPr>
        <w:t>GB/T 27663</w:t>
      </w:r>
      <w:r>
        <w:rPr>
          <w:rFonts w:hint="eastAsia"/>
          <w:sz w:val="21"/>
          <w:szCs w:val="21"/>
          <w:lang w:eastAsia="zh-CN"/>
        </w:rPr>
        <w:t>－</w:t>
      </w:r>
      <w:r>
        <w:rPr>
          <w:rFonts w:hint="default"/>
          <w:sz w:val="21"/>
          <w:szCs w:val="21"/>
          <w:lang w:val="en-US" w:eastAsia="zh-CN"/>
        </w:rPr>
        <w:t>2011</w:t>
      </w:r>
      <w:r>
        <w:rPr>
          <w:rFonts w:hint="default"/>
          <w:sz w:val="21"/>
          <w:szCs w:val="21"/>
          <w:lang w:val="en-US" w:eastAsia="zh-CN"/>
        </w:rPr>
        <w:fldChar w:fldCharType="end"/>
      </w:r>
      <w:r>
        <w:rPr>
          <w:rFonts w:hint="eastAsia"/>
          <w:sz w:val="21"/>
          <w:szCs w:val="21"/>
          <w:lang w:val="en-US" w:eastAsia="zh-CN"/>
        </w:rPr>
        <w:t>《全站仪》；</w:t>
      </w:r>
    </w:p>
    <w:p>
      <w:pPr>
        <w:pageBreakBefore w:val="0"/>
        <w:numPr>
          <w:ilvl w:val="0"/>
          <w:numId w:val="0"/>
        </w:numPr>
        <w:kinsoku/>
        <w:wordWrap/>
        <w:overflowPunct/>
        <w:topLinePunct w:val="0"/>
        <w:autoSpaceDE/>
        <w:autoSpaceDN/>
        <w:bidi w:val="0"/>
        <w:adjustRightInd/>
        <w:snapToGrid/>
        <w:textAlignment w:val="auto"/>
        <w:rPr>
          <w:rFonts w:hint="eastAsia"/>
          <w:sz w:val="21"/>
          <w:szCs w:val="21"/>
        </w:rPr>
      </w:pPr>
      <w:r>
        <w:rPr>
          <w:rFonts w:hint="eastAsia"/>
          <w:sz w:val="21"/>
          <w:szCs w:val="21"/>
          <w:lang w:val="en-US" w:eastAsia="zh-CN"/>
        </w:rPr>
        <w:fldChar w:fldCharType="begin"/>
      </w:r>
      <w:r>
        <w:rPr>
          <w:rFonts w:hint="eastAsia"/>
          <w:sz w:val="21"/>
          <w:szCs w:val="21"/>
          <w:lang w:val="en-US" w:eastAsia="zh-CN"/>
        </w:rPr>
        <w:instrText xml:space="preserve"> HYPERLINK "javascript:void(0)" </w:instrText>
      </w:r>
      <w:r>
        <w:rPr>
          <w:rFonts w:hint="eastAsia"/>
          <w:sz w:val="21"/>
          <w:szCs w:val="21"/>
          <w:lang w:val="en-US" w:eastAsia="zh-CN"/>
        </w:rPr>
        <w:fldChar w:fldCharType="separate"/>
      </w:r>
      <w:r>
        <w:rPr>
          <w:rFonts w:hint="default"/>
          <w:sz w:val="21"/>
          <w:szCs w:val="21"/>
          <w:lang w:val="en-US" w:eastAsia="zh-CN"/>
        </w:rPr>
        <w:t>GB/T 10156</w:t>
      </w:r>
      <w:r>
        <w:rPr>
          <w:rFonts w:hint="eastAsia"/>
          <w:sz w:val="21"/>
          <w:szCs w:val="21"/>
          <w:lang w:eastAsia="zh-CN"/>
        </w:rPr>
        <w:t>－</w:t>
      </w:r>
      <w:r>
        <w:rPr>
          <w:rFonts w:hint="default"/>
          <w:sz w:val="21"/>
          <w:szCs w:val="21"/>
          <w:lang w:val="en-US" w:eastAsia="zh-CN"/>
        </w:rPr>
        <w:t>2009</w:t>
      </w:r>
      <w:r>
        <w:rPr>
          <w:rFonts w:hint="default"/>
          <w:sz w:val="21"/>
          <w:szCs w:val="21"/>
          <w:lang w:val="en-US" w:eastAsia="zh-CN"/>
        </w:rPr>
        <w:fldChar w:fldCharType="end"/>
      </w:r>
      <w:r>
        <w:rPr>
          <w:rFonts w:hint="eastAsia"/>
          <w:sz w:val="21"/>
          <w:szCs w:val="21"/>
          <w:lang w:val="en-US" w:eastAsia="zh-CN"/>
        </w:rPr>
        <w:t>《水准仪》。</w:t>
      </w:r>
    </w:p>
    <w:p>
      <w:pPr>
        <w:pStyle w:val="2"/>
        <w:pageBreakBefore w:val="0"/>
        <w:kinsoku/>
        <w:wordWrap/>
        <w:overflowPunct/>
        <w:topLinePunct w:val="0"/>
        <w:autoSpaceDE/>
        <w:autoSpaceDN/>
        <w:bidi w:val="0"/>
        <w:adjustRightInd/>
        <w:snapToGrid/>
        <w:ind w:left="0" w:leftChars="0" w:firstLine="422" w:firstLineChars="200"/>
        <w:textAlignment w:val="auto"/>
        <w:rPr>
          <w:rFonts w:hint="eastAsia" w:asciiTheme="minorHAnsi" w:hAnsiTheme="minorHAnsi" w:eastAsiaTheme="minorEastAsia" w:cstheme="minorBidi"/>
          <w:b/>
          <w:bCs/>
          <w:i w:val="0"/>
          <w:iCs w:val="0"/>
          <w:color w:val="auto"/>
          <w:kern w:val="2"/>
          <w:sz w:val="21"/>
          <w:szCs w:val="21"/>
          <w:lang w:val="en-US" w:eastAsia="zh-CN" w:bidi="ar-SA"/>
        </w:rPr>
      </w:pPr>
      <w:r>
        <w:rPr>
          <w:rFonts w:hint="eastAsia" w:asciiTheme="minorHAnsi" w:hAnsiTheme="minorHAnsi" w:eastAsiaTheme="minorEastAsia" w:cstheme="minorBidi"/>
          <w:b/>
          <w:bCs/>
          <w:i w:val="0"/>
          <w:iCs w:val="0"/>
          <w:color w:val="auto"/>
          <w:kern w:val="2"/>
          <w:sz w:val="21"/>
          <w:szCs w:val="21"/>
          <w:lang w:val="en-US" w:eastAsia="zh-CN" w:bidi="ar-SA"/>
        </w:rPr>
        <w:t>（2）参数指标要求：</w:t>
      </w:r>
    </w:p>
    <w:p>
      <w:pPr>
        <w:keepNext w:val="0"/>
        <w:keepLines w:val="0"/>
        <w:pageBreakBefore w:val="0"/>
        <w:widowControl w:val="0"/>
        <w:shd w:val="clear"/>
        <w:kinsoku/>
        <w:wordWrap/>
        <w:overflowPunct/>
        <w:topLinePunct w:val="0"/>
        <w:autoSpaceDE/>
        <w:autoSpaceDN/>
        <w:bidi w:val="0"/>
        <w:adjustRightInd/>
        <w:snapToGrid/>
        <w:spacing w:line="320" w:lineRule="exact"/>
        <w:ind w:firstLine="420" w:firstLineChars="200"/>
        <w:textAlignment w:val="auto"/>
        <w:rPr>
          <w:color w:val="auto"/>
          <w:sz w:val="21"/>
          <w:szCs w:val="21"/>
        </w:rPr>
      </w:pPr>
      <w:r>
        <w:rPr>
          <w:rFonts w:hint="eastAsia"/>
          <w:color w:val="auto"/>
          <w:sz w:val="21"/>
          <w:szCs w:val="21"/>
        </w:rPr>
        <w:t>①指标按重要性分为“</w:t>
      </w:r>
      <w:r>
        <w:rPr>
          <w:rFonts w:hint="eastAsia" w:ascii="微软雅黑" w:hAnsi="微软雅黑" w:eastAsia="微软雅黑" w:cs="微软雅黑"/>
          <w:color w:val="auto"/>
          <w:sz w:val="21"/>
          <w:szCs w:val="21"/>
        </w:rPr>
        <w:t>▲</w:t>
      </w:r>
      <w:r>
        <w:rPr>
          <w:rFonts w:hint="eastAsia"/>
          <w:color w:val="auto"/>
          <w:sz w:val="21"/>
          <w:szCs w:val="21"/>
        </w:rPr>
        <w:t>”、“#”和“△”。</w:t>
      </w:r>
      <w:r>
        <w:rPr>
          <w:rFonts w:hint="eastAsia" w:ascii="微软雅黑" w:hAnsi="微软雅黑" w:eastAsia="微软雅黑" w:cs="微软雅黑"/>
          <w:color w:val="auto"/>
          <w:sz w:val="21"/>
          <w:szCs w:val="21"/>
        </w:rPr>
        <w:t>▲</w:t>
      </w:r>
      <w:r>
        <w:rPr>
          <w:rFonts w:hint="eastAsia"/>
          <w:color w:val="auto"/>
          <w:sz w:val="21"/>
          <w:szCs w:val="21"/>
        </w:rPr>
        <w:t>代表</w:t>
      </w:r>
      <w:r>
        <w:rPr>
          <w:rFonts w:hint="eastAsia"/>
          <w:color w:val="auto"/>
          <w:sz w:val="21"/>
          <w:szCs w:val="21"/>
          <w:lang w:val="en-US" w:eastAsia="zh-CN"/>
        </w:rPr>
        <w:t>关键</w:t>
      </w:r>
      <w:r>
        <w:rPr>
          <w:rFonts w:hint="eastAsia"/>
          <w:color w:val="auto"/>
          <w:sz w:val="21"/>
          <w:szCs w:val="21"/>
        </w:rPr>
        <w:t>指标，#代表重要指标，△则表示一般指标项。</w:t>
      </w:r>
    </w:p>
    <w:p>
      <w:pPr>
        <w:ind w:firstLine="420" w:firstLineChars="200"/>
        <w:rPr>
          <w:rFonts w:hint="eastAsia"/>
          <w:color w:val="auto"/>
          <w:sz w:val="21"/>
          <w:szCs w:val="21"/>
        </w:rPr>
      </w:pPr>
      <w:r>
        <w:rPr>
          <w:rFonts w:hint="eastAsia"/>
          <w:color w:val="auto"/>
          <w:sz w:val="21"/>
          <w:szCs w:val="21"/>
        </w:rPr>
        <w:t>②“证明材料要求”项可填“是”和“否”。填“是”的，投标人须提供包含相关指标项的证明材料，证明材料可以使用生产厂家官方网站截图或产品白皮书或第三方机构检验报告或其他相关证明材料</w:t>
      </w:r>
      <w:r>
        <w:rPr>
          <w:rFonts w:hint="eastAsia"/>
          <w:color w:val="auto"/>
          <w:sz w:val="21"/>
          <w:szCs w:val="21"/>
          <w:lang w:eastAsia="zh-CN"/>
        </w:rPr>
        <w:t>。</w:t>
      </w:r>
      <w:r>
        <w:rPr>
          <w:rFonts w:hint="eastAsia"/>
          <w:b/>
          <w:bCs/>
          <w:sz w:val="21"/>
          <w:szCs w:val="21"/>
        </w:rPr>
        <w:t>产品所属类型在定型要求范围内，定型检测报告已包含的参数以定型检测报告结果为准，定型检测报告未包含的参数以投标人提供的其他技术资料和技术文件为准。定型检测报告及定型检测比测报告要求是中国地震局各检测机构出具的定型检测报告或有省级以上计量资质的第三方机构出具的证书报告，</w:t>
      </w:r>
      <w:r>
        <w:rPr>
          <w:rFonts w:hint="eastAsia"/>
          <w:color w:val="auto"/>
          <w:sz w:val="21"/>
          <w:szCs w:val="21"/>
        </w:rPr>
        <w:t>未提供有效证明材料或证明材料中内容与所填报指标不一致的，该指标按不满足处理。</w:t>
      </w:r>
    </w:p>
    <w:p>
      <w:pPr>
        <w:ind w:firstLine="420" w:firstLineChars="200"/>
        <w:rPr>
          <w:rFonts w:hint="eastAsia"/>
          <w:color w:val="auto"/>
          <w:sz w:val="21"/>
          <w:szCs w:val="21"/>
          <w:lang w:val="en-US" w:eastAsia="zh-CN"/>
        </w:rPr>
      </w:pPr>
    </w:p>
    <w:p>
      <w:pPr>
        <w:pStyle w:val="10"/>
        <w:outlineLvl w:val="3"/>
        <w:rPr>
          <w:rFonts w:hint="eastAsia"/>
          <w:b/>
          <w:sz w:val="24"/>
          <w:lang w:val="en-US" w:eastAsia="zh-CN"/>
        </w:rPr>
      </w:pPr>
      <w:r>
        <w:rPr>
          <w:rFonts w:hint="eastAsia"/>
          <w:b/>
          <w:sz w:val="24"/>
          <w:lang w:val="en-US" w:eastAsia="zh-CN"/>
        </w:rPr>
        <w:t>3.5.4服务要求</w:t>
      </w:r>
    </w:p>
    <w:p>
      <w:pPr>
        <w:keepNext w:val="0"/>
        <w:keepLines w:val="0"/>
        <w:pageBreakBefore w:val="0"/>
        <w:widowControl w:val="0"/>
        <w:shd w:val="clear"/>
        <w:kinsoku/>
        <w:wordWrap/>
        <w:overflowPunct/>
        <w:topLinePunct w:val="0"/>
        <w:autoSpaceDE/>
        <w:autoSpaceDN/>
        <w:bidi w:val="0"/>
        <w:adjustRightInd/>
        <w:snapToGrid/>
        <w:spacing w:line="320" w:lineRule="exact"/>
        <w:ind w:firstLine="425"/>
        <w:textAlignment w:val="auto"/>
        <w:rPr>
          <w:rFonts w:ascii="宋体" w:hAnsi="宋体" w:eastAsia="宋体"/>
          <w:sz w:val="21"/>
          <w:szCs w:val="21"/>
        </w:rPr>
      </w:pPr>
      <w:r>
        <w:rPr>
          <w:rFonts w:hint="eastAsia"/>
          <w:color w:val="auto"/>
          <w:sz w:val="21"/>
          <w:szCs w:val="21"/>
        </w:rPr>
        <w:t>重要性分为“</w:t>
      </w:r>
      <w:r>
        <w:rPr>
          <w:color w:val="000000" w:themeColor="text1"/>
          <w:sz w:val="21"/>
          <w:szCs w:val="21"/>
          <w14:textFill>
            <w14:solidFill>
              <w14:schemeClr w14:val="tx1"/>
            </w14:solidFill>
          </w14:textFill>
        </w:rPr>
        <w:t>★</w:t>
      </w:r>
      <w:r>
        <w:rPr>
          <w:rFonts w:hint="eastAsia"/>
          <w:color w:val="auto"/>
          <w:sz w:val="21"/>
          <w:szCs w:val="21"/>
        </w:rPr>
        <w:t>”</w:t>
      </w:r>
      <w:r>
        <w:rPr>
          <w:rFonts w:hint="eastAsia"/>
          <w:color w:val="auto"/>
          <w:sz w:val="21"/>
          <w:szCs w:val="21"/>
          <w:lang w:eastAsia="zh-CN"/>
        </w:rPr>
        <w:t>、</w:t>
      </w:r>
      <w:r>
        <w:rPr>
          <w:rFonts w:hint="eastAsia"/>
          <w:color w:val="auto"/>
          <w:sz w:val="21"/>
          <w:szCs w:val="21"/>
        </w:rPr>
        <w:t>“#”和“△”。</w:t>
      </w:r>
      <w:r>
        <w:rPr>
          <w:color w:val="000000" w:themeColor="text1"/>
          <w:sz w:val="21"/>
          <w:szCs w:val="21"/>
          <w14:textFill>
            <w14:solidFill>
              <w14:schemeClr w14:val="tx1"/>
            </w14:solidFill>
          </w14:textFill>
        </w:rPr>
        <w:t>★</w:t>
      </w:r>
      <w:r>
        <w:rPr>
          <w:rFonts w:hint="eastAsia"/>
          <w:color w:val="auto"/>
          <w:sz w:val="21"/>
          <w:szCs w:val="21"/>
        </w:rPr>
        <w:t>代表</w:t>
      </w:r>
      <w:r>
        <w:rPr>
          <w:rFonts w:hint="eastAsia"/>
          <w:color w:val="auto"/>
          <w:sz w:val="21"/>
          <w:szCs w:val="21"/>
          <w:lang w:val="en-US" w:eastAsia="zh-CN"/>
        </w:rPr>
        <w:t>实质性</w:t>
      </w:r>
      <w:r>
        <w:rPr>
          <w:rFonts w:hint="eastAsia"/>
          <w:color w:val="auto"/>
          <w:sz w:val="21"/>
          <w:szCs w:val="21"/>
        </w:rPr>
        <w:t>指标，#代表重要指标，△则表示一般指标项。</w:t>
      </w:r>
    </w:p>
    <w:tbl>
      <w:tblPr>
        <w:tblStyle w:val="8"/>
        <w:tblW w:w="86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07"/>
        <w:gridCol w:w="1000"/>
        <w:gridCol w:w="5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shd w:val="clear" w:color="auto" w:fill="A4A4A4" w:themeFill="background1" w:themeFillShade="A5"/>
            <w:vAlign w:val="center"/>
          </w:tcPr>
          <w:p>
            <w:pPr>
              <w:jc w:val="center"/>
              <w:rPr>
                <w:sz w:val="21"/>
                <w:szCs w:val="21"/>
              </w:rPr>
            </w:pPr>
            <w:r>
              <w:rPr>
                <w:rFonts w:hint="eastAsia"/>
                <w:sz w:val="21"/>
                <w:szCs w:val="21"/>
              </w:rPr>
              <w:t>序号</w:t>
            </w:r>
          </w:p>
        </w:tc>
        <w:tc>
          <w:tcPr>
            <w:tcW w:w="1507" w:type="dxa"/>
            <w:shd w:val="clear" w:color="auto" w:fill="A4A4A4" w:themeFill="background1" w:themeFillShade="A5"/>
            <w:vAlign w:val="center"/>
          </w:tcPr>
          <w:p>
            <w:pPr>
              <w:jc w:val="center"/>
              <w:rPr>
                <w:sz w:val="21"/>
                <w:szCs w:val="21"/>
              </w:rPr>
            </w:pPr>
            <w:r>
              <w:rPr>
                <w:rFonts w:hint="eastAsia"/>
                <w:sz w:val="21"/>
                <w:szCs w:val="21"/>
              </w:rPr>
              <w:t>内容</w:t>
            </w:r>
          </w:p>
        </w:tc>
        <w:tc>
          <w:tcPr>
            <w:tcW w:w="1000" w:type="dxa"/>
            <w:shd w:val="clear" w:color="auto" w:fill="A4A4A4" w:themeFill="background1" w:themeFillShade="A5"/>
            <w:vAlign w:val="center"/>
          </w:tcPr>
          <w:p>
            <w:pPr>
              <w:jc w:val="center"/>
              <w:rPr>
                <w:sz w:val="21"/>
                <w:szCs w:val="21"/>
              </w:rPr>
            </w:pPr>
            <w:r>
              <w:rPr>
                <w:rFonts w:hint="eastAsia"/>
                <w:sz w:val="21"/>
                <w:szCs w:val="21"/>
              </w:rPr>
              <w:t>重要性</w:t>
            </w:r>
          </w:p>
        </w:tc>
        <w:tc>
          <w:tcPr>
            <w:tcW w:w="5440" w:type="dxa"/>
            <w:shd w:val="clear" w:color="auto" w:fill="A4A4A4" w:themeFill="background1" w:themeFillShade="A5"/>
            <w:vAlign w:val="center"/>
          </w:tcPr>
          <w:p>
            <w:pPr>
              <w:jc w:val="center"/>
              <w:rPr>
                <w:sz w:val="21"/>
                <w:szCs w:val="21"/>
              </w:rPr>
            </w:pPr>
            <w:r>
              <w:rPr>
                <w:rFonts w:hint="eastAsia"/>
                <w:sz w:val="21"/>
                <w:szCs w:val="21"/>
              </w:rPr>
              <w:t>服务要求标准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jc w:val="center"/>
              <w:rPr>
                <w:rFonts w:hint="eastAsia" w:ascii="宋体" w:hAnsi="宋体" w:eastAsia="宋体" w:cstheme="minorBidi"/>
                <w:kern w:val="2"/>
                <w:sz w:val="21"/>
                <w:szCs w:val="21"/>
                <w:lang w:val="en-US" w:eastAsia="zh-CN" w:bidi="ar-SA"/>
              </w:rPr>
            </w:pPr>
            <w:r>
              <w:rPr>
                <w:rFonts w:hint="eastAsia" w:ascii="宋体" w:hAnsi="宋体" w:eastAsia="宋体"/>
                <w:sz w:val="21"/>
                <w:szCs w:val="21"/>
              </w:rPr>
              <w:t>1</w:t>
            </w:r>
          </w:p>
        </w:tc>
        <w:tc>
          <w:tcPr>
            <w:tcW w:w="1507" w:type="dxa"/>
            <w:vAlign w:val="center"/>
          </w:tcPr>
          <w:p>
            <w:pPr>
              <w:jc w:val="center"/>
              <w:rPr>
                <w:rFonts w:hint="eastAsia" w:ascii="宋体" w:hAnsi="宋体" w:eastAsia="宋体" w:cstheme="minorBidi"/>
                <w:kern w:val="2"/>
                <w:sz w:val="21"/>
                <w:szCs w:val="21"/>
                <w:lang w:val="en-US" w:eastAsia="zh-CN" w:bidi="ar-SA"/>
              </w:rPr>
            </w:pPr>
            <w:r>
              <w:rPr>
                <w:rFonts w:hint="eastAsia" w:ascii="宋体" w:hAnsi="宋体" w:eastAsia="宋体"/>
                <w:sz w:val="21"/>
                <w:szCs w:val="21"/>
              </w:rPr>
              <w:t>包装和运输</w:t>
            </w:r>
          </w:p>
        </w:tc>
        <w:tc>
          <w:tcPr>
            <w:tcW w:w="1000" w:type="dxa"/>
            <w:vAlign w:val="center"/>
          </w:tcPr>
          <w:p>
            <w:pPr>
              <w:jc w:val="center"/>
              <w:rPr>
                <w:rFonts w:hint="eastAsia" w:ascii="宋体" w:hAnsi="宋体" w:eastAsia="宋体" w:cstheme="minorBidi"/>
                <w:kern w:val="2"/>
                <w:sz w:val="21"/>
                <w:szCs w:val="21"/>
                <w:lang w:val="en-US" w:eastAsia="zh-CN" w:bidi="ar-SA"/>
              </w:rPr>
            </w:pPr>
            <w:r>
              <w:rPr>
                <w:rFonts w:hint="eastAsia"/>
                <w:color w:val="auto"/>
                <w:sz w:val="21"/>
                <w:szCs w:val="21"/>
              </w:rPr>
              <w:t>△</w:t>
            </w:r>
          </w:p>
        </w:tc>
        <w:tc>
          <w:tcPr>
            <w:tcW w:w="5440" w:type="dxa"/>
            <w:vAlign w:val="center"/>
          </w:tcPr>
          <w:p>
            <w:pPr>
              <w:ind w:firstLine="420" w:firstLineChars="200"/>
              <w:rPr>
                <w:rFonts w:hint="eastAsia" w:ascii="宋体" w:hAnsi="宋体" w:eastAsia="宋体" w:cstheme="minorBidi"/>
                <w:kern w:val="2"/>
                <w:sz w:val="21"/>
                <w:szCs w:val="21"/>
                <w:lang w:val="en-US" w:eastAsia="zh-CN" w:bidi="ar-SA"/>
              </w:rPr>
            </w:pPr>
            <w:r>
              <w:rPr>
                <w:rFonts w:hint="eastAsia"/>
                <w:sz w:val="21"/>
                <w:szCs w:val="21"/>
                <w:lang w:val="en-US" w:eastAsia="zh-CN" w:bidi="ar"/>
              </w:rPr>
              <w:t>中标人</w:t>
            </w:r>
            <w:r>
              <w:rPr>
                <w:rFonts w:hint="eastAsia"/>
                <w:sz w:val="21"/>
                <w:szCs w:val="21"/>
                <w:lang w:bidi="ar"/>
              </w:rPr>
              <w:t>提供的全部货物均应按标准保护措施进行包装。该包装应适用于远距离运输、防潮、防震、防锈和防野蛮装卸，以确保货物安全无损运抵指定现场。由于包装不善所引起的货物锈蚀、损坏和损失均由</w:t>
            </w:r>
            <w:r>
              <w:rPr>
                <w:rFonts w:hint="eastAsia"/>
                <w:sz w:val="21"/>
                <w:szCs w:val="21"/>
                <w:lang w:val="en-US" w:eastAsia="zh-CN" w:bidi="ar"/>
              </w:rPr>
              <w:t>中标人</w:t>
            </w:r>
            <w:r>
              <w:rPr>
                <w:rFonts w:hint="eastAsia"/>
                <w:sz w:val="21"/>
                <w:szCs w:val="21"/>
                <w:lang w:bidi="ar"/>
              </w:rPr>
              <w:t>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jc w:val="center"/>
              <w:rPr>
                <w:rFonts w:hint="eastAsia" w:eastAsiaTheme="minorEastAsia"/>
                <w:sz w:val="21"/>
                <w:szCs w:val="21"/>
                <w:lang w:eastAsia="zh-CN"/>
              </w:rPr>
            </w:pPr>
            <w:r>
              <w:rPr>
                <w:rFonts w:hint="eastAsia"/>
                <w:sz w:val="21"/>
                <w:szCs w:val="21"/>
                <w:lang w:val="en-US" w:eastAsia="zh-CN"/>
              </w:rPr>
              <w:t>2</w:t>
            </w:r>
          </w:p>
        </w:tc>
        <w:tc>
          <w:tcPr>
            <w:tcW w:w="1507" w:type="dxa"/>
            <w:vAlign w:val="center"/>
          </w:tcPr>
          <w:p>
            <w:pPr>
              <w:jc w:val="center"/>
              <w:rPr>
                <w:color w:val="auto"/>
                <w:sz w:val="21"/>
                <w:szCs w:val="21"/>
              </w:rPr>
            </w:pPr>
            <w:r>
              <w:rPr>
                <w:rFonts w:hint="eastAsia"/>
                <w:color w:val="auto"/>
                <w:sz w:val="21"/>
                <w:szCs w:val="21"/>
              </w:rPr>
              <w:t>原厂售后服务</w:t>
            </w:r>
          </w:p>
        </w:tc>
        <w:tc>
          <w:tcPr>
            <w:tcW w:w="1000" w:type="dxa"/>
            <w:vAlign w:val="center"/>
          </w:tcPr>
          <w:p>
            <w:pPr>
              <w:jc w:val="center"/>
              <w:rPr>
                <w:color w:val="auto"/>
                <w:sz w:val="21"/>
                <w:szCs w:val="21"/>
              </w:rPr>
            </w:pPr>
            <w:r>
              <w:rPr>
                <w:color w:val="000000" w:themeColor="text1"/>
                <w:sz w:val="21"/>
                <w:szCs w:val="21"/>
                <w14:textFill>
                  <w14:solidFill>
                    <w14:schemeClr w14:val="tx1"/>
                  </w14:solidFill>
                </w14:textFill>
              </w:rPr>
              <w:t>★</w:t>
            </w:r>
          </w:p>
        </w:tc>
        <w:tc>
          <w:tcPr>
            <w:tcW w:w="5440" w:type="dxa"/>
            <w:vAlign w:val="center"/>
          </w:tcPr>
          <w:p>
            <w:pPr>
              <w:ind w:firstLine="480"/>
              <w:rPr>
                <w:rStyle w:val="13"/>
                <w:rFonts w:hint="default"/>
                <w:color w:val="auto"/>
                <w:sz w:val="21"/>
                <w:szCs w:val="21"/>
              </w:rPr>
            </w:pPr>
            <w:r>
              <w:rPr>
                <w:rStyle w:val="13"/>
                <w:rFonts w:hint="default"/>
                <w:b/>
                <w:bCs/>
                <w:color w:val="auto"/>
                <w:sz w:val="21"/>
                <w:szCs w:val="21"/>
              </w:rPr>
              <w:t>1.采购人对所有中标设备签署验收合格证书之日起，中标人必须提供至少</w:t>
            </w:r>
            <w:r>
              <w:rPr>
                <w:rStyle w:val="13"/>
                <w:rFonts w:hint="eastAsia" w:eastAsia="宋体"/>
                <w:b/>
                <w:bCs/>
                <w:color w:val="000000" w:themeColor="text1"/>
                <w:sz w:val="21"/>
                <w:szCs w:val="21"/>
                <w:lang w:val="en-US" w:eastAsia="zh-CN"/>
                <w14:textFill>
                  <w14:solidFill>
                    <w14:schemeClr w14:val="tx1"/>
                  </w14:solidFill>
                </w14:textFill>
              </w:rPr>
              <w:t>3</w:t>
            </w:r>
            <w:r>
              <w:rPr>
                <w:rStyle w:val="13"/>
                <w:rFonts w:hint="default"/>
                <w:b/>
                <w:bCs/>
                <w:color w:val="auto"/>
                <w:sz w:val="21"/>
                <w:szCs w:val="21"/>
              </w:rPr>
              <w:t>年免费维修服务，软件部分免费升级。</w:t>
            </w:r>
            <w:r>
              <w:rPr>
                <w:rStyle w:val="13"/>
                <w:rFonts w:hint="default"/>
                <w:color w:val="auto"/>
                <w:sz w:val="21"/>
                <w:szCs w:val="21"/>
              </w:rPr>
              <w:t>中标人免费维修故障设备，并承担返厂维修的往返运保费及其它所有费用，保证采购合同执行完毕后继续提供设备维修服务。在质保期内如发现设备性能指标与合同中规定的存在较大偏离，</w:t>
            </w:r>
            <w:r>
              <w:rPr>
                <w:rStyle w:val="13"/>
                <w:rFonts w:hint="eastAsia" w:eastAsia="宋体"/>
                <w:color w:val="auto"/>
                <w:sz w:val="21"/>
                <w:szCs w:val="21"/>
                <w:lang w:val="en-US" w:eastAsia="zh-CN"/>
              </w:rPr>
              <w:t>中标人</w:t>
            </w:r>
            <w:r>
              <w:rPr>
                <w:rStyle w:val="13"/>
                <w:rFonts w:hint="default"/>
                <w:color w:val="auto"/>
                <w:sz w:val="21"/>
                <w:szCs w:val="21"/>
              </w:rPr>
              <w:t>需在48小时内更换同型号设备，更换设备须提供采购人认可的检测机构出具的检测报告。</w:t>
            </w:r>
          </w:p>
          <w:p>
            <w:pPr>
              <w:ind w:firstLine="422" w:firstLineChars="200"/>
              <w:rPr>
                <w:rFonts w:hint="eastAsia" w:ascii="宋体" w:hAnsi="宋体" w:eastAsia="宋体"/>
                <w:sz w:val="21"/>
                <w:szCs w:val="21"/>
              </w:rPr>
            </w:pPr>
            <w:r>
              <w:rPr>
                <w:rFonts w:hint="eastAsia" w:ascii="宋体" w:hAnsi="宋体" w:eastAsia="宋体"/>
                <w:b/>
                <w:bCs/>
                <w:sz w:val="21"/>
                <w:szCs w:val="21"/>
              </w:rPr>
              <w:t>2.</w:t>
            </w:r>
            <w:r>
              <w:rPr>
                <w:rFonts w:ascii="宋体" w:hAnsi="宋体" w:eastAsia="宋体"/>
                <w:b/>
                <w:bCs/>
                <w:sz w:val="21"/>
                <w:szCs w:val="21"/>
              </w:rPr>
              <w:t>售后服务期内</w:t>
            </w:r>
            <w:r>
              <w:rPr>
                <w:rFonts w:hint="eastAsia" w:ascii="宋体" w:hAnsi="宋体" w:eastAsia="宋体"/>
                <w:b/>
                <w:bCs/>
                <w:sz w:val="21"/>
                <w:szCs w:val="21"/>
              </w:rPr>
              <w:t>，</w:t>
            </w:r>
            <w:r>
              <w:rPr>
                <w:rFonts w:hint="eastAsia" w:ascii="宋体" w:hAnsi="宋体" w:eastAsia="宋体"/>
                <w:b/>
                <w:bCs/>
                <w:sz w:val="21"/>
                <w:szCs w:val="21"/>
                <w:lang w:val="en-US" w:eastAsia="zh-CN"/>
              </w:rPr>
              <w:t>中标人</w:t>
            </w:r>
            <w:r>
              <w:rPr>
                <w:rFonts w:ascii="宋体" w:hAnsi="宋体" w:eastAsia="宋体"/>
                <w:b/>
                <w:bCs/>
                <w:sz w:val="21"/>
                <w:szCs w:val="21"/>
              </w:rPr>
              <w:t>必须保证</w:t>
            </w:r>
            <w:r>
              <w:rPr>
                <w:rFonts w:hint="eastAsia" w:ascii="宋体" w:hAnsi="宋体" w:eastAsia="宋体"/>
                <w:b/>
                <w:bCs/>
                <w:sz w:val="21"/>
                <w:szCs w:val="21"/>
                <w:lang w:val="en-US" w:eastAsia="zh-CN"/>
              </w:rPr>
              <w:t>采购人</w:t>
            </w:r>
            <w:r>
              <w:rPr>
                <w:rFonts w:ascii="宋体" w:hAnsi="宋体" w:eastAsia="宋体"/>
                <w:b/>
                <w:bCs/>
                <w:sz w:val="21"/>
                <w:szCs w:val="21"/>
              </w:rPr>
              <w:t>项目所包含设备及系统的安全、稳定、高效运行。</w:t>
            </w:r>
            <w:r>
              <w:rPr>
                <w:rFonts w:hint="eastAsia" w:ascii="宋体" w:hAnsi="宋体" w:eastAsia="宋体"/>
                <w:sz w:val="21"/>
                <w:szCs w:val="21"/>
                <w:lang w:val="en-US" w:eastAsia="zh-CN"/>
              </w:rPr>
              <w:t>中标人</w:t>
            </w:r>
            <w:r>
              <w:rPr>
                <w:rFonts w:ascii="宋体" w:hAnsi="宋体" w:eastAsia="宋体"/>
                <w:sz w:val="21"/>
                <w:szCs w:val="21"/>
              </w:rPr>
              <w:t>需提供 7×24小时的电话技术支持，解答用户在设备和软件系统使用中的常见问题。对于</w:t>
            </w:r>
            <w:r>
              <w:rPr>
                <w:rFonts w:hint="eastAsia" w:ascii="宋体" w:hAnsi="宋体" w:eastAsia="宋体"/>
                <w:sz w:val="21"/>
                <w:szCs w:val="21"/>
                <w:lang w:val="en-US" w:eastAsia="zh-CN"/>
              </w:rPr>
              <w:t>采购人</w:t>
            </w:r>
            <w:r>
              <w:rPr>
                <w:rFonts w:ascii="宋体" w:hAnsi="宋体" w:eastAsia="宋体"/>
                <w:sz w:val="21"/>
                <w:szCs w:val="21"/>
              </w:rPr>
              <w:t>设备或系统出现的任何故障，</w:t>
            </w:r>
            <w:r>
              <w:rPr>
                <w:rFonts w:hint="eastAsia" w:ascii="宋体" w:hAnsi="宋体" w:eastAsia="宋体"/>
                <w:sz w:val="21"/>
                <w:szCs w:val="21"/>
                <w:lang w:val="en-US" w:eastAsia="zh-CN"/>
              </w:rPr>
              <w:t>中标人</w:t>
            </w:r>
            <w:r>
              <w:rPr>
                <w:rFonts w:ascii="宋体" w:hAnsi="宋体" w:eastAsia="宋体"/>
                <w:sz w:val="21"/>
                <w:szCs w:val="21"/>
              </w:rPr>
              <w:t>接到</w:t>
            </w:r>
            <w:r>
              <w:rPr>
                <w:rFonts w:hint="eastAsia" w:ascii="宋体" w:hAnsi="宋体" w:eastAsia="宋体"/>
                <w:sz w:val="21"/>
                <w:szCs w:val="21"/>
                <w:lang w:val="en-US" w:eastAsia="zh-CN"/>
              </w:rPr>
              <w:t>采购人</w:t>
            </w:r>
            <w:r>
              <w:rPr>
                <w:rFonts w:ascii="宋体" w:hAnsi="宋体" w:eastAsia="宋体"/>
                <w:sz w:val="21"/>
                <w:szCs w:val="21"/>
              </w:rPr>
              <w:t>通过书面或电话提出的技术服务要求或维修通知后，应在15分钟内给出实质性响应，若可远程解决的问题应在2小时内完成故障处置；若远程无法解决，或</w:t>
            </w:r>
            <w:r>
              <w:rPr>
                <w:rFonts w:hint="eastAsia" w:ascii="宋体" w:hAnsi="宋体" w:eastAsia="宋体"/>
                <w:sz w:val="21"/>
                <w:szCs w:val="21"/>
                <w:lang w:val="en-US" w:eastAsia="zh-CN"/>
              </w:rPr>
              <w:t>采购人</w:t>
            </w:r>
            <w:r>
              <w:rPr>
                <w:rFonts w:ascii="宋体" w:hAnsi="宋体" w:eastAsia="宋体"/>
                <w:sz w:val="21"/>
                <w:szCs w:val="21"/>
              </w:rPr>
              <w:t>有要求或必要时，应在</w:t>
            </w:r>
            <w:r>
              <w:rPr>
                <w:rFonts w:hint="eastAsia" w:ascii="宋体" w:hAnsi="宋体" w:eastAsia="宋体"/>
                <w:sz w:val="21"/>
                <w:szCs w:val="21"/>
                <w:lang w:val="en-US" w:eastAsia="zh-CN"/>
              </w:rPr>
              <w:t>2</w:t>
            </w:r>
            <w:r>
              <w:rPr>
                <w:rFonts w:ascii="宋体" w:hAnsi="宋体" w:eastAsia="宋体"/>
                <w:sz w:val="21"/>
                <w:szCs w:val="21"/>
              </w:rPr>
              <w:t>日内派专业技术人员到达</w:t>
            </w:r>
            <w:r>
              <w:rPr>
                <w:rFonts w:hint="eastAsia" w:ascii="宋体" w:hAnsi="宋体" w:eastAsia="宋体"/>
                <w:sz w:val="21"/>
                <w:szCs w:val="21"/>
                <w:lang w:val="en-US" w:eastAsia="zh-CN"/>
              </w:rPr>
              <w:t>采购人</w:t>
            </w:r>
            <w:r>
              <w:rPr>
                <w:rFonts w:ascii="宋体" w:hAnsi="宋体" w:eastAsia="宋体"/>
                <w:sz w:val="21"/>
                <w:szCs w:val="21"/>
              </w:rPr>
              <w:t>指定的故障现场，采取有效措施，如出现</w:t>
            </w:r>
            <w:r>
              <w:rPr>
                <w:rFonts w:hint="eastAsia" w:ascii="宋体" w:hAnsi="宋体" w:eastAsia="宋体"/>
                <w:sz w:val="21"/>
                <w:szCs w:val="21"/>
                <w:lang w:val="en-US" w:eastAsia="zh-CN"/>
              </w:rPr>
              <w:t>中标人</w:t>
            </w:r>
            <w:r>
              <w:rPr>
                <w:rFonts w:ascii="宋体" w:hAnsi="宋体" w:eastAsia="宋体"/>
                <w:sz w:val="21"/>
                <w:szCs w:val="21"/>
              </w:rPr>
              <w:t>无法解决的故障问题，需及时联系设备或软件的原厂提供相应服务，确保4日内解决故障。</w:t>
            </w:r>
          </w:p>
          <w:p>
            <w:pPr>
              <w:ind w:firstLine="480"/>
              <w:rPr>
                <w:rFonts w:ascii="宋体" w:hAnsi="宋体" w:eastAsia="宋体"/>
                <w:color w:val="FF0000"/>
                <w:sz w:val="21"/>
                <w:szCs w:val="21"/>
              </w:rPr>
            </w:pPr>
            <w:r>
              <w:rPr>
                <w:rStyle w:val="13"/>
                <w:rFonts w:hint="default"/>
                <w:b/>
                <w:bCs/>
                <w:color w:val="auto"/>
                <w:sz w:val="21"/>
                <w:szCs w:val="21"/>
              </w:rPr>
              <w:t>3.</w:t>
            </w:r>
            <w:r>
              <w:rPr>
                <w:rStyle w:val="13"/>
                <w:rFonts w:hint="eastAsia" w:eastAsia="宋体"/>
                <w:b/>
                <w:bCs/>
                <w:color w:val="auto"/>
                <w:sz w:val="21"/>
                <w:szCs w:val="21"/>
                <w:lang w:val="en-US" w:eastAsia="zh-CN"/>
              </w:rPr>
              <w:t>投标人</w:t>
            </w:r>
            <w:r>
              <w:rPr>
                <w:rStyle w:val="13"/>
                <w:rFonts w:hint="default"/>
                <w:b/>
                <w:bCs/>
                <w:color w:val="auto"/>
                <w:sz w:val="21"/>
                <w:szCs w:val="21"/>
              </w:rPr>
              <w:t>对设备提供配件和技术支持服务，质保期外只适当收取零配件费和维修成本费用。</w:t>
            </w:r>
            <w:r>
              <w:rPr>
                <w:rStyle w:val="13"/>
                <w:rFonts w:hint="eastAsia" w:eastAsia="宋体"/>
                <w:color w:val="auto"/>
                <w:sz w:val="21"/>
                <w:szCs w:val="21"/>
                <w:lang w:val="en-US" w:eastAsia="zh-CN"/>
              </w:rPr>
              <w:t>中标</w:t>
            </w:r>
            <w:r>
              <w:rPr>
                <w:rStyle w:val="13"/>
                <w:rFonts w:hint="default"/>
                <w:color w:val="auto"/>
                <w:sz w:val="21"/>
                <w:szCs w:val="21"/>
              </w:rPr>
              <w:t>人需提供尽可能详细的主要零配件、易损件的报价及服务费用（不计入投标报价），作为未来设备维修价格的</w:t>
            </w:r>
            <w:r>
              <w:rPr>
                <w:rFonts w:hint="eastAsia" w:ascii="宋体" w:hAnsi="宋体" w:eastAsia="宋体" w:cs="宋体"/>
                <w:bCs/>
                <w:sz w:val="21"/>
                <w:szCs w:val="21"/>
                <w:lang w:val="en-US" w:eastAsia="zh-CN"/>
              </w:rPr>
              <w:t>参考依据</w:t>
            </w:r>
            <w:r>
              <w:rPr>
                <w:rFonts w:ascii="宋体" w:hAnsi="宋体" w:eastAsia="宋体" w:cs="宋体"/>
                <w:bCs/>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jc w:val="center"/>
              <w:rPr>
                <w:rFonts w:hint="eastAsia" w:eastAsiaTheme="minorEastAsia"/>
                <w:color w:val="auto"/>
                <w:sz w:val="21"/>
                <w:szCs w:val="21"/>
                <w:lang w:eastAsia="zh-CN"/>
              </w:rPr>
            </w:pPr>
            <w:r>
              <w:rPr>
                <w:rFonts w:hint="eastAsia"/>
                <w:color w:val="auto"/>
                <w:sz w:val="21"/>
                <w:szCs w:val="21"/>
                <w:lang w:val="en-US" w:eastAsia="zh-CN"/>
              </w:rPr>
              <w:t>3</w:t>
            </w:r>
          </w:p>
        </w:tc>
        <w:tc>
          <w:tcPr>
            <w:tcW w:w="1507" w:type="dxa"/>
            <w:vAlign w:val="center"/>
          </w:tcPr>
          <w:p>
            <w:pPr>
              <w:jc w:val="center"/>
              <w:rPr>
                <w:rFonts w:hint="eastAsia"/>
                <w:color w:val="auto"/>
                <w:sz w:val="21"/>
                <w:szCs w:val="21"/>
              </w:rPr>
            </w:pPr>
            <w:r>
              <w:rPr>
                <w:rFonts w:hint="eastAsia"/>
                <w:color w:val="auto"/>
                <w:sz w:val="21"/>
                <w:szCs w:val="21"/>
              </w:rPr>
              <w:t>设备测试</w:t>
            </w:r>
          </w:p>
        </w:tc>
        <w:tc>
          <w:tcPr>
            <w:tcW w:w="1000" w:type="dxa"/>
            <w:vAlign w:val="center"/>
          </w:tcPr>
          <w:p>
            <w:pPr>
              <w:jc w:val="center"/>
              <w:rPr>
                <w:color w:val="auto"/>
                <w:sz w:val="21"/>
                <w:szCs w:val="21"/>
              </w:rPr>
            </w:pPr>
            <w:r>
              <w:rPr>
                <w:color w:val="000000" w:themeColor="text1"/>
                <w:sz w:val="21"/>
                <w:szCs w:val="21"/>
                <w14:textFill>
                  <w14:solidFill>
                    <w14:schemeClr w14:val="tx1"/>
                  </w14:solidFill>
                </w14:textFill>
              </w:rPr>
              <w:t>★</w:t>
            </w:r>
          </w:p>
        </w:tc>
        <w:tc>
          <w:tcPr>
            <w:tcW w:w="5440" w:type="dxa"/>
            <w:vAlign w:val="center"/>
          </w:tcPr>
          <w:p>
            <w:pPr>
              <w:numPr>
                <w:ilvl w:val="0"/>
                <w:numId w:val="0"/>
              </w:numPr>
              <w:ind w:firstLine="422" w:firstLineChars="200"/>
              <w:jc w:val="left"/>
              <w:rPr>
                <w:rFonts w:ascii="宋体" w:hAnsi="宋体" w:eastAsia="宋体"/>
                <w:sz w:val="21"/>
                <w:szCs w:val="21"/>
              </w:rPr>
            </w:pPr>
            <w:r>
              <w:rPr>
                <w:rFonts w:hint="eastAsia" w:ascii="宋体" w:hAnsi="宋体" w:eastAsia="宋体"/>
                <w:b/>
                <w:sz w:val="21"/>
                <w:szCs w:val="21"/>
                <w:lang w:val="en-US" w:eastAsia="zh-CN"/>
              </w:rPr>
              <w:t>1.</w:t>
            </w:r>
            <w:r>
              <w:rPr>
                <w:rFonts w:hint="eastAsia" w:ascii="宋体" w:hAnsi="宋体" w:eastAsia="宋体"/>
                <w:b/>
                <w:sz w:val="21"/>
                <w:szCs w:val="21"/>
              </w:rPr>
              <w:t>设备出厂测试。</w:t>
            </w:r>
            <w:r>
              <w:rPr>
                <w:rFonts w:hint="eastAsia" w:ascii="宋体" w:hAnsi="宋体" w:eastAsia="宋体"/>
                <w:sz w:val="21"/>
                <w:szCs w:val="21"/>
              </w:rPr>
              <w:t>生产厂商应严格按照技术指标要求对供货设备进行完整测试，出具出厂检测报告(测试报告)、合格证、产品说明书等资料，</w:t>
            </w:r>
            <w:r>
              <w:rPr>
                <w:rFonts w:hint="eastAsia" w:ascii="宋体" w:hAnsi="宋体" w:eastAsia="宋体" w:cs="Times New Roman"/>
                <w:sz w:val="21"/>
                <w:szCs w:val="21"/>
              </w:rPr>
              <w:t>加盖公章</w:t>
            </w:r>
            <w:r>
              <w:rPr>
                <w:rFonts w:hint="eastAsia" w:ascii="宋体" w:hAnsi="宋体" w:eastAsia="宋体"/>
                <w:sz w:val="21"/>
                <w:szCs w:val="21"/>
              </w:rPr>
              <w:t>。</w:t>
            </w:r>
          </w:p>
          <w:p>
            <w:pPr>
              <w:numPr>
                <w:ilvl w:val="0"/>
                <w:numId w:val="0"/>
              </w:numPr>
              <w:ind w:firstLine="422" w:firstLineChars="200"/>
              <w:jc w:val="left"/>
              <w:rPr>
                <w:rFonts w:ascii="宋体" w:hAnsi="宋体" w:eastAsia="宋体"/>
                <w:sz w:val="21"/>
                <w:szCs w:val="21"/>
              </w:rPr>
            </w:pPr>
            <w:r>
              <w:rPr>
                <w:rFonts w:hint="eastAsia" w:ascii="宋体" w:hAnsi="宋体" w:eastAsia="宋体"/>
                <w:b/>
                <w:sz w:val="21"/>
                <w:szCs w:val="21"/>
                <w:lang w:val="en-US" w:eastAsia="zh-CN"/>
              </w:rPr>
              <w:t>2.</w:t>
            </w:r>
            <w:r>
              <w:rPr>
                <w:rFonts w:hint="eastAsia" w:ascii="宋体" w:hAnsi="宋体" w:eastAsia="宋体"/>
                <w:b/>
                <w:sz w:val="21"/>
                <w:szCs w:val="21"/>
              </w:rPr>
              <w:t>单位现场检查。</w:t>
            </w:r>
            <w:r>
              <w:rPr>
                <w:rFonts w:hint="eastAsia" w:ascii="宋体" w:hAnsi="宋体" w:eastAsia="宋体"/>
                <w:sz w:val="21"/>
                <w:szCs w:val="21"/>
              </w:rPr>
              <w:t>供货前，采购人可组织到生产厂商现场进行查验，查验内容主要包括：出厂测试报告的完整性，设备数量、型号与投标要求的一致性，附表及包装是否满足合同要求等。</w:t>
            </w:r>
          </w:p>
          <w:p>
            <w:pPr>
              <w:numPr>
                <w:ilvl w:val="0"/>
                <w:numId w:val="0"/>
              </w:numPr>
              <w:ind w:firstLine="422" w:firstLineChars="200"/>
              <w:jc w:val="left"/>
              <w:rPr>
                <w:rFonts w:ascii="宋体" w:hAnsi="宋体" w:eastAsia="宋体"/>
                <w:b/>
                <w:sz w:val="21"/>
                <w:szCs w:val="21"/>
              </w:rPr>
            </w:pPr>
            <w:r>
              <w:rPr>
                <w:rFonts w:hint="eastAsia" w:ascii="宋体" w:hAnsi="宋体" w:eastAsia="宋体"/>
                <w:b/>
                <w:sz w:val="21"/>
                <w:szCs w:val="21"/>
                <w:lang w:val="en-US" w:eastAsia="zh-CN"/>
              </w:rPr>
              <w:t>3.</w:t>
            </w:r>
            <w:r>
              <w:rPr>
                <w:rFonts w:hint="eastAsia" w:ascii="宋体" w:hAnsi="宋体" w:eastAsia="宋体"/>
                <w:b/>
                <w:sz w:val="21"/>
                <w:szCs w:val="21"/>
              </w:rPr>
              <w:t>已开展定型的专业设备供货测试。</w:t>
            </w:r>
          </w:p>
          <w:p>
            <w:pPr>
              <w:ind w:firstLine="480"/>
              <w:rPr>
                <w:rFonts w:hint="eastAsia" w:ascii="宋体" w:hAnsi="宋体" w:eastAsia="宋体" w:cs="Times New Roman"/>
                <w:sz w:val="21"/>
                <w:szCs w:val="21"/>
              </w:rPr>
            </w:pPr>
            <w:r>
              <w:rPr>
                <w:rFonts w:hint="eastAsia" w:ascii="宋体" w:hAnsi="宋体" w:eastAsia="宋体"/>
                <w:color w:val="000000" w:themeColor="text1"/>
                <w:sz w:val="21"/>
                <w:szCs w:val="21"/>
                <w14:textFill>
                  <w14:solidFill>
                    <w14:schemeClr w14:val="tx1"/>
                  </w14:solidFill>
                </w14:textFill>
              </w:rPr>
              <w:t>采购人根据中国地震局</w:t>
            </w:r>
            <w:r>
              <w:rPr>
                <w:rFonts w:ascii="宋体" w:hAnsi="宋体" w:eastAsia="宋体"/>
                <w:color w:val="000000" w:themeColor="text1"/>
                <w:sz w:val="21"/>
                <w:szCs w:val="21"/>
                <w14:textFill>
                  <w14:solidFill>
                    <w14:schemeClr w14:val="tx1"/>
                  </w14:solidFill>
                </w14:textFill>
              </w:rPr>
              <w:t>《地震监测专业设备定型结果》</w:t>
            </w:r>
            <w:r>
              <w:rPr>
                <w:rFonts w:hint="eastAsia" w:ascii="宋体" w:hAnsi="宋体" w:eastAsia="宋体"/>
                <w:color w:val="000000" w:themeColor="text1"/>
                <w:sz w:val="21"/>
                <w:szCs w:val="21"/>
                <w14:textFill>
                  <w14:solidFill>
                    <w14:schemeClr w14:val="tx1"/>
                  </w14:solidFill>
                </w14:textFill>
              </w:rPr>
              <w:t>、《地震监测专业设备管理办法》</w:t>
            </w:r>
            <w:r>
              <w:rPr>
                <w:rFonts w:hint="eastAsia" w:ascii="宋体" w:hAnsi="宋体" w:eastAsia="宋体"/>
                <w:color w:val="000000" w:themeColor="text1"/>
                <w:sz w:val="21"/>
                <w:szCs w:val="21"/>
                <w:lang w:eastAsia="zh-CN"/>
                <w14:textFill>
                  <w14:solidFill>
                    <w14:schemeClr w14:val="tx1"/>
                  </w14:solidFill>
                </w14:textFill>
              </w:rPr>
              <w:t>等</w:t>
            </w:r>
            <w:r>
              <w:rPr>
                <w:rFonts w:hint="eastAsia" w:ascii="宋体" w:hAnsi="宋体" w:eastAsia="宋体"/>
                <w:color w:val="000000" w:themeColor="text1"/>
                <w:sz w:val="21"/>
                <w:szCs w:val="21"/>
                <w14:textFill>
                  <w14:solidFill>
                    <w14:schemeClr w14:val="tx1"/>
                  </w14:solidFill>
                </w14:textFill>
              </w:rPr>
              <w:t>要求，</w:t>
            </w:r>
            <w:r>
              <w:rPr>
                <w:rFonts w:hint="eastAsia" w:ascii="宋体" w:hAnsi="宋体" w:eastAsia="宋体"/>
                <w:sz w:val="21"/>
                <w:szCs w:val="21"/>
              </w:rPr>
              <w:t>按</w:t>
            </w:r>
            <w:r>
              <w:rPr>
                <w:rFonts w:hint="eastAsia" w:ascii="宋体" w:hAnsi="宋体" w:eastAsia="宋体"/>
                <w:sz w:val="21"/>
                <w:szCs w:val="21"/>
                <w:lang w:val="en-US" w:eastAsia="zh-CN"/>
              </w:rPr>
              <w:t>100%</w:t>
            </w:r>
            <w:r>
              <w:rPr>
                <w:rFonts w:hint="eastAsia" w:ascii="宋体" w:hAnsi="宋体" w:eastAsia="宋体"/>
                <w:sz w:val="21"/>
                <w:szCs w:val="21"/>
              </w:rPr>
              <w:t>比例对</w:t>
            </w:r>
            <w:r>
              <w:rPr>
                <w:rFonts w:hint="eastAsia" w:ascii="宋体" w:hAnsi="宋体" w:eastAsia="宋体"/>
                <w:sz w:val="21"/>
                <w:szCs w:val="21"/>
                <w:lang w:val="en-US" w:eastAsia="zh-CN"/>
              </w:rPr>
              <w:t>采购设备进行</w:t>
            </w:r>
            <w:r>
              <w:rPr>
                <w:rFonts w:hint="eastAsia" w:ascii="宋体" w:hAnsi="宋体" w:eastAsia="宋体"/>
                <w:sz w:val="21"/>
                <w:szCs w:val="21"/>
              </w:rPr>
              <w:t>测试，记录产品序列号并报送一测中心。由生产厂商委托</w:t>
            </w:r>
            <w:r>
              <w:rPr>
                <w:rFonts w:ascii="宋体" w:hAnsi="宋体" w:eastAsia="宋体"/>
                <w:sz w:val="21"/>
                <w:szCs w:val="21"/>
              </w:rPr>
              <w:t>省级以上法定计量机构或地震系统相关测试机构进行</w:t>
            </w:r>
            <w:r>
              <w:rPr>
                <w:rFonts w:hint="eastAsia" w:ascii="宋体" w:hAnsi="宋体" w:eastAsia="宋体"/>
                <w:sz w:val="21"/>
                <w:szCs w:val="21"/>
              </w:rPr>
              <w:t>第三方测试，经一测中心复核确认后，由生产厂商将</w:t>
            </w:r>
            <w:r>
              <w:rPr>
                <w:rFonts w:hint="eastAsia" w:ascii="宋体" w:hAnsi="宋体" w:eastAsia="宋体" w:cs="Times New Roman"/>
                <w:sz w:val="21"/>
                <w:szCs w:val="21"/>
              </w:rPr>
              <w:t>设备发至测试机构，测试机构根据测试技术指标清单开展测试，进度和测试结果随时报一测中心。测试结果满足采购合同约定后，由采购人通知生产厂商供货。测试费用由中标人承担。</w:t>
            </w:r>
          </w:p>
          <w:p>
            <w:pPr>
              <w:numPr>
                <w:ilvl w:val="0"/>
                <w:numId w:val="1"/>
              </w:numPr>
              <w:ind w:left="0" w:leftChars="0" w:firstLine="0" w:firstLineChars="0"/>
              <w:rPr>
                <w:rFonts w:hint="eastAsia" w:ascii="宋体" w:hAnsi="宋体" w:eastAsia="宋体" w:cs="Times New Roman"/>
                <w:kern w:val="0"/>
                <w:sz w:val="21"/>
                <w:szCs w:val="21"/>
                <w:lang w:eastAsia="zh-CN"/>
              </w:rPr>
            </w:pPr>
            <w:r>
              <w:rPr>
                <w:rFonts w:hint="eastAsia" w:ascii="宋体" w:hAnsi="宋体" w:eastAsia="宋体" w:cs="Times New Roman"/>
                <w:sz w:val="21"/>
                <w:szCs w:val="21"/>
                <w:lang w:val="en-US" w:eastAsia="zh-CN"/>
              </w:rPr>
              <w:t>相对重力仪：</w:t>
            </w:r>
            <w:r>
              <w:rPr>
                <w:rFonts w:hint="eastAsia" w:ascii="宋体" w:hAnsi="宋体" w:eastAsia="宋体"/>
                <w:sz w:val="21"/>
                <w:szCs w:val="21"/>
              </w:rPr>
              <w:t>抽</w:t>
            </w:r>
            <w:r>
              <w:rPr>
                <w:rFonts w:hint="eastAsia" w:ascii="宋体" w:hAnsi="宋体" w:eastAsia="宋体" w:cs="Times New Roman"/>
                <w:sz w:val="21"/>
                <w:szCs w:val="21"/>
              </w:rPr>
              <w:t>检比例为100%</w:t>
            </w:r>
            <w:r>
              <w:rPr>
                <w:rFonts w:hint="eastAsia" w:ascii="宋体" w:hAnsi="宋体" w:eastAsia="宋体" w:cs="Times New Roman"/>
                <w:sz w:val="21"/>
                <w:szCs w:val="21"/>
                <w:lang w:eastAsia="zh-CN"/>
              </w:rPr>
              <w:t>；</w:t>
            </w:r>
            <w:r>
              <w:rPr>
                <w:rFonts w:hint="eastAsia" w:ascii="宋体" w:hAnsi="宋体" w:eastAsia="宋体" w:cs="Times New Roman"/>
                <w:sz w:val="21"/>
                <w:szCs w:val="21"/>
              </w:rPr>
              <w:t>测试的主要技术指标为：</w:t>
            </w:r>
            <w:r>
              <w:rPr>
                <w:rFonts w:hint="eastAsia" w:ascii="宋体" w:hAnsi="宋体" w:eastAsia="宋体" w:cs="Times New Roman"/>
                <w:kern w:val="0"/>
                <w:sz w:val="21"/>
                <w:szCs w:val="21"/>
              </w:rPr>
              <w:t>直接测程、格值精度、分辨力、重复性标准差、残余漂移率、精度、接口要求</w:t>
            </w:r>
            <w:r>
              <w:rPr>
                <w:rFonts w:hint="eastAsia" w:ascii="宋体" w:hAnsi="宋体" w:eastAsia="宋体" w:cs="Times New Roman"/>
                <w:kern w:val="0"/>
                <w:sz w:val="21"/>
                <w:szCs w:val="21"/>
                <w:lang w:eastAsia="zh-CN"/>
              </w:rPr>
              <w:t>。</w:t>
            </w:r>
          </w:p>
          <w:p>
            <w:pPr>
              <w:numPr>
                <w:ilvl w:val="0"/>
                <w:numId w:val="1"/>
              </w:numPr>
              <w:ind w:left="0" w:leftChars="0" w:firstLine="0" w:firstLineChars="0"/>
              <w:rPr>
                <w:rFonts w:hint="eastAsia" w:ascii="宋体" w:hAnsi="宋体" w:eastAsia="宋体" w:cs="Times New Roman"/>
                <w:kern w:val="0"/>
                <w:sz w:val="21"/>
                <w:szCs w:val="21"/>
                <w:lang w:val="en-US" w:eastAsia="zh-CN"/>
              </w:rPr>
            </w:pPr>
            <w:r>
              <w:rPr>
                <w:rFonts w:hint="eastAsia" w:ascii="宋体" w:hAnsi="宋体" w:eastAsia="宋体" w:cs="宋体"/>
                <w:kern w:val="0"/>
                <w:sz w:val="21"/>
                <w:szCs w:val="21"/>
              </w:rPr>
              <w:t>磁通门经纬仪(</w:t>
            </w:r>
            <w:r>
              <w:rPr>
                <w:rFonts w:ascii="宋体" w:hAnsi="宋体" w:eastAsia="宋体" w:cs="宋体"/>
                <w:kern w:val="0"/>
                <w:sz w:val="21"/>
                <w:szCs w:val="21"/>
              </w:rPr>
              <w:t>6</w:t>
            </w:r>
            <w:r>
              <w:rPr>
                <w:rFonts w:hint="eastAsia" w:ascii="宋体" w:hAnsi="宋体" w:eastAsia="宋体" w:cs="宋体"/>
                <w:kern w:val="0"/>
                <w:sz w:val="21"/>
                <w:szCs w:val="21"/>
              </w:rPr>
              <w:t>″</w:t>
            </w:r>
            <w:r>
              <w:rPr>
                <w:rFonts w:ascii="宋体" w:hAnsi="宋体" w:eastAsia="宋体" w:cs="宋体"/>
                <w:kern w:val="0"/>
                <w:sz w:val="21"/>
                <w:szCs w:val="21"/>
              </w:rPr>
              <w:t>)</w:t>
            </w:r>
            <w:r>
              <w:rPr>
                <w:rFonts w:hint="eastAsia" w:ascii="宋体" w:hAnsi="宋体" w:eastAsia="宋体" w:cs="宋体"/>
                <w:kern w:val="0"/>
                <w:sz w:val="21"/>
                <w:szCs w:val="21"/>
                <w:lang w:eastAsia="zh-CN"/>
              </w:rPr>
              <w:t>：</w:t>
            </w:r>
            <w:r>
              <w:rPr>
                <w:rFonts w:hint="eastAsia" w:ascii="宋体" w:hAnsi="宋体" w:eastAsia="宋体"/>
                <w:sz w:val="21"/>
                <w:szCs w:val="21"/>
              </w:rPr>
              <w:t>抽</w:t>
            </w:r>
            <w:r>
              <w:rPr>
                <w:rFonts w:hint="eastAsia" w:ascii="宋体" w:hAnsi="宋体" w:eastAsia="宋体" w:cs="Times New Roman"/>
                <w:sz w:val="21"/>
                <w:szCs w:val="21"/>
              </w:rPr>
              <w:t>检比例为</w:t>
            </w:r>
            <w:r>
              <w:rPr>
                <w:rFonts w:hint="eastAsia" w:ascii="宋体" w:hAnsi="宋体" w:eastAsia="宋体" w:cs="Times New Roman"/>
                <w:sz w:val="21"/>
                <w:szCs w:val="21"/>
                <w:lang w:val="en-US" w:eastAsia="zh-CN"/>
              </w:rPr>
              <w:t>10</w:t>
            </w:r>
            <w:r>
              <w:rPr>
                <w:rFonts w:hint="eastAsia" w:ascii="宋体" w:hAnsi="宋体" w:eastAsia="宋体" w:cs="Times New Roman"/>
                <w:sz w:val="21"/>
                <w:szCs w:val="21"/>
              </w:rPr>
              <w:t>0%</w:t>
            </w:r>
            <w:r>
              <w:rPr>
                <w:rFonts w:hint="eastAsia" w:ascii="宋体" w:hAnsi="宋体" w:eastAsia="宋体" w:cs="Times New Roman"/>
                <w:sz w:val="21"/>
                <w:szCs w:val="21"/>
                <w:lang w:eastAsia="zh-CN"/>
              </w:rPr>
              <w:t>；</w:t>
            </w:r>
            <w:r>
              <w:rPr>
                <w:rFonts w:hint="eastAsia" w:ascii="宋体" w:hAnsi="宋体" w:eastAsia="宋体" w:cs="Times New Roman"/>
                <w:sz w:val="21"/>
                <w:szCs w:val="21"/>
              </w:rPr>
              <w:t>测试的主要技术指标为：</w:t>
            </w:r>
            <w:r>
              <w:rPr>
                <w:rFonts w:hint="eastAsia" w:ascii="宋体" w:hAnsi="宋体" w:eastAsia="宋体" w:cs="Times New Roman"/>
                <w:kern w:val="0"/>
                <w:sz w:val="21"/>
                <w:szCs w:val="21"/>
              </w:rPr>
              <w:t>最大允许误差、重复性、转向差、经纬仪等级、线性度、修正系数、示值分辨力、测量范围、显示单元至磁通门传感器最小安全距离、水平夹角、垂直夹角、零点偏移</w:t>
            </w:r>
            <w:r>
              <w:rPr>
                <w:rFonts w:hint="eastAsia" w:ascii="宋体" w:hAnsi="宋体" w:eastAsia="宋体" w:cs="Times New Roman"/>
                <w:kern w:val="0"/>
                <w:sz w:val="21"/>
                <w:szCs w:val="21"/>
                <w:lang w:eastAsia="zh-CN"/>
              </w:rPr>
              <w:t>。</w:t>
            </w:r>
          </w:p>
          <w:p>
            <w:pPr>
              <w:numPr>
                <w:ilvl w:val="0"/>
                <w:numId w:val="1"/>
              </w:numPr>
              <w:ind w:left="0" w:leftChars="0" w:firstLine="0" w:firstLineChars="0"/>
              <w:rPr>
                <w:rFonts w:hint="eastAsia" w:ascii="宋体" w:hAnsi="宋体" w:eastAsia="宋体" w:cs="Times New Roman"/>
                <w:kern w:val="0"/>
                <w:sz w:val="21"/>
                <w:szCs w:val="21"/>
                <w:lang w:val="en-US" w:eastAsia="zh-CN"/>
              </w:rPr>
            </w:pPr>
            <w:r>
              <w:rPr>
                <w:rFonts w:hint="eastAsia" w:ascii="宋体" w:hAnsi="宋体" w:eastAsia="宋体" w:cs="宋体"/>
                <w:kern w:val="0"/>
                <w:sz w:val="21"/>
                <w:szCs w:val="21"/>
              </w:rPr>
              <w:t>质子</w:t>
            </w:r>
            <w:r>
              <w:rPr>
                <w:rFonts w:hint="eastAsia" w:ascii="宋体" w:hAnsi="宋体" w:eastAsia="宋体" w:cs="宋体"/>
                <w:color w:val="auto"/>
                <w:kern w:val="2"/>
                <w:sz w:val="21"/>
                <w:szCs w:val="21"/>
                <w:lang w:val="en-US" w:eastAsia="zh-CN" w:bidi="ar-SA"/>
              </w:rPr>
              <w:t>旋进</w:t>
            </w:r>
            <w:r>
              <w:rPr>
                <w:rFonts w:hint="eastAsia" w:ascii="宋体" w:hAnsi="宋体" w:eastAsia="宋体" w:cs="宋体"/>
                <w:kern w:val="0"/>
                <w:sz w:val="21"/>
                <w:szCs w:val="21"/>
              </w:rPr>
              <w:t>磁力仪</w:t>
            </w:r>
            <w:r>
              <w:rPr>
                <w:rFonts w:hint="eastAsia" w:ascii="宋体" w:hAnsi="宋体" w:eastAsia="宋体" w:cs="宋体"/>
                <w:kern w:val="0"/>
                <w:sz w:val="21"/>
                <w:szCs w:val="21"/>
                <w:lang w:eastAsia="zh-CN"/>
              </w:rPr>
              <w:t>：</w:t>
            </w:r>
            <w:r>
              <w:rPr>
                <w:rFonts w:hint="eastAsia" w:ascii="宋体" w:hAnsi="宋体" w:eastAsia="宋体"/>
                <w:sz w:val="21"/>
                <w:szCs w:val="21"/>
              </w:rPr>
              <w:t>抽</w:t>
            </w:r>
            <w:r>
              <w:rPr>
                <w:rFonts w:hint="eastAsia" w:ascii="宋体" w:hAnsi="宋体" w:eastAsia="宋体" w:cs="Times New Roman"/>
                <w:sz w:val="21"/>
                <w:szCs w:val="21"/>
              </w:rPr>
              <w:t>检比例为</w:t>
            </w:r>
            <w:r>
              <w:rPr>
                <w:rFonts w:hint="eastAsia" w:ascii="宋体" w:hAnsi="宋体" w:eastAsia="宋体" w:cs="Times New Roman"/>
                <w:sz w:val="21"/>
                <w:szCs w:val="21"/>
                <w:lang w:val="en-US" w:eastAsia="zh-CN"/>
              </w:rPr>
              <w:t>10</w:t>
            </w:r>
            <w:r>
              <w:rPr>
                <w:rFonts w:hint="eastAsia" w:ascii="宋体" w:hAnsi="宋体" w:eastAsia="宋体" w:cs="Times New Roman"/>
                <w:sz w:val="21"/>
                <w:szCs w:val="21"/>
              </w:rPr>
              <w:t>0%</w:t>
            </w:r>
            <w:r>
              <w:rPr>
                <w:rFonts w:hint="eastAsia" w:ascii="宋体" w:hAnsi="宋体" w:eastAsia="宋体" w:cs="Times New Roman"/>
                <w:sz w:val="21"/>
                <w:szCs w:val="21"/>
                <w:lang w:eastAsia="zh-CN"/>
              </w:rPr>
              <w:t>；</w:t>
            </w:r>
            <w:r>
              <w:rPr>
                <w:rFonts w:hint="eastAsia" w:ascii="宋体" w:hAnsi="宋体" w:eastAsia="宋体" w:cs="Times New Roman"/>
                <w:sz w:val="21"/>
                <w:szCs w:val="21"/>
              </w:rPr>
              <w:t>测试的主要技术指标为：</w:t>
            </w:r>
            <w:r>
              <w:rPr>
                <w:rFonts w:hint="eastAsia" w:ascii="宋体" w:hAnsi="宋体" w:eastAsia="宋体" w:cs="Times New Roman"/>
                <w:kern w:val="0"/>
                <w:sz w:val="21"/>
                <w:szCs w:val="21"/>
              </w:rPr>
              <w:t>测量范围、噪声、最大允许误差、采样率、示值分辨力、通信接口及协议、供电、数据传输线长度</w:t>
            </w:r>
            <w:r>
              <w:rPr>
                <w:rFonts w:hint="eastAsia" w:ascii="宋体" w:hAnsi="宋体" w:eastAsia="宋体" w:cs="Times New Roman"/>
                <w:kern w:val="0"/>
                <w:sz w:val="21"/>
                <w:szCs w:val="21"/>
                <w:lang w:eastAsia="zh-CN"/>
              </w:rPr>
              <w:t>。</w:t>
            </w:r>
          </w:p>
          <w:p>
            <w:pPr>
              <w:numPr>
                <w:ilvl w:val="0"/>
                <w:numId w:val="0"/>
              </w:numPr>
              <w:ind w:firstLine="422" w:firstLineChars="200"/>
              <w:jc w:val="left"/>
              <w:rPr>
                <w:rFonts w:ascii="宋体" w:hAnsi="宋体" w:eastAsia="宋体"/>
                <w:b/>
                <w:sz w:val="21"/>
                <w:szCs w:val="21"/>
              </w:rPr>
            </w:pPr>
            <w:r>
              <w:rPr>
                <w:rFonts w:hint="eastAsia" w:ascii="宋体" w:hAnsi="宋体" w:eastAsia="宋体"/>
                <w:b/>
                <w:sz w:val="21"/>
                <w:szCs w:val="21"/>
                <w:lang w:val="en-US" w:eastAsia="zh-CN"/>
              </w:rPr>
              <w:t>4.</w:t>
            </w:r>
            <w:r>
              <w:rPr>
                <w:rFonts w:hint="eastAsia" w:ascii="宋体" w:hAnsi="宋体" w:eastAsia="宋体"/>
                <w:b/>
                <w:sz w:val="21"/>
                <w:szCs w:val="21"/>
              </w:rPr>
              <w:t>未开展定型的专业设备供货三方测试。</w:t>
            </w:r>
          </w:p>
          <w:p>
            <w:pPr>
              <w:pStyle w:val="5"/>
              <w:ind w:firstLine="420" w:firstLineChars="200"/>
              <w:rPr>
                <w:rFonts w:ascii="宋体" w:hAnsi="宋体" w:cstheme="minorBidi"/>
                <w:sz w:val="21"/>
                <w:szCs w:val="21"/>
              </w:rPr>
            </w:pPr>
            <w:r>
              <w:rPr>
                <w:rFonts w:hint="eastAsia" w:ascii="宋体" w:hAnsi="宋体" w:cstheme="minorBidi"/>
                <w:color w:val="000000" w:themeColor="text1"/>
                <w:sz w:val="21"/>
                <w:szCs w:val="21"/>
                <w14:textFill>
                  <w14:solidFill>
                    <w14:schemeClr w14:val="tx1"/>
                  </w14:solidFill>
                </w14:textFill>
              </w:rPr>
              <w:t>采购人根据中国地震局</w:t>
            </w:r>
            <w:r>
              <w:rPr>
                <w:rFonts w:ascii="宋体" w:hAnsi="宋体" w:cstheme="minorBidi"/>
                <w:color w:val="000000" w:themeColor="text1"/>
                <w:sz w:val="21"/>
                <w:szCs w:val="21"/>
                <w14:textFill>
                  <w14:solidFill>
                    <w14:schemeClr w14:val="tx1"/>
                  </w14:solidFill>
                </w14:textFill>
              </w:rPr>
              <w:t>《地震监测专业设备定型结果》</w:t>
            </w:r>
            <w:r>
              <w:rPr>
                <w:rFonts w:hint="eastAsia" w:ascii="宋体" w:hAnsi="宋体" w:cstheme="minorBidi"/>
                <w:color w:val="000000" w:themeColor="text1"/>
                <w:sz w:val="21"/>
                <w:szCs w:val="21"/>
                <w14:textFill>
                  <w14:solidFill>
                    <w14:schemeClr w14:val="tx1"/>
                  </w14:solidFill>
                </w14:textFill>
              </w:rPr>
              <w:t>、《地震监测专业设备管理办法》</w:t>
            </w:r>
            <w:r>
              <w:rPr>
                <w:rFonts w:hint="eastAsia" w:ascii="宋体" w:hAnsi="宋体" w:cstheme="minorBidi"/>
                <w:color w:val="000000" w:themeColor="text1"/>
                <w:sz w:val="21"/>
                <w:szCs w:val="21"/>
                <w:lang w:val="en-US" w:eastAsia="zh-CN"/>
                <w14:textFill>
                  <w14:solidFill>
                    <w14:schemeClr w14:val="tx1"/>
                  </w14:solidFill>
                </w14:textFill>
              </w:rPr>
              <w:t>等</w:t>
            </w:r>
            <w:r>
              <w:rPr>
                <w:rFonts w:hint="eastAsia" w:ascii="宋体" w:hAnsi="宋体" w:cstheme="minorBidi"/>
                <w:color w:val="000000" w:themeColor="text1"/>
                <w:sz w:val="21"/>
                <w:szCs w:val="21"/>
                <w14:textFill>
                  <w14:solidFill>
                    <w14:schemeClr w14:val="tx1"/>
                  </w14:solidFill>
                </w14:textFill>
              </w:rPr>
              <w:t>要求，</w:t>
            </w:r>
            <w:r>
              <w:rPr>
                <w:rFonts w:hint="eastAsia" w:ascii="宋体" w:hAnsi="宋体" w:cstheme="minorBidi"/>
                <w:sz w:val="21"/>
                <w:szCs w:val="21"/>
              </w:rPr>
              <w:t>对未开展定型的专业设备开展第三方测试。生产厂商按照主要技术指标清单，委托法定计量机构对拟供货设备进行检定/校准/测试（相应设备有计量技术规范的，按计量技术规范进行检定/校准），形成检定/校准证书或测试报告，随设备一并提供。生产厂商对送测设备和供货设备的一致性负责。供货前，生产厂商将检定/校准证书或测试报告及拟供货产品序列号发采购人，一测中心配合采购人确认后通知生产厂商供货。</w:t>
            </w:r>
          </w:p>
          <w:p>
            <w:pPr>
              <w:pStyle w:val="5"/>
              <w:numPr>
                <w:ilvl w:val="0"/>
                <w:numId w:val="0"/>
              </w:numPr>
              <w:rPr>
                <w:rFonts w:hint="eastAsia" w:ascii="宋体" w:hAnsi="宋体" w:cstheme="minorBidi"/>
                <w:sz w:val="21"/>
                <w:szCs w:val="21"/>
              </w:rPr>
            </w:pPr>
            <w:r>
              <w:rPr>
                <w:rFonts w:hint="eastAsia" w:ascii="宋体" w:hAnsi="宋体" w:cstheme="minorBidi"/>
                <w:sz w:val="21"/>
                <w:szCs w:val="21"/>
                <w:lang w:val="en-US" w:eastAsia="zh-CN"/>
              </w:rPr>
              <w:t>（1）全站仪</w:t>
            </w:r>
            <w:r>
              <w:rPr>
                <w:rFonts w:hint="eastAsia" w:ascii="宋体" w:hAnsi="宋体" w:cstheme="minorBidi"/>
                <w:sz w:val="21"/>
                <w:szCs w:val="21"/>
              </w:rPr>
              <w:t>：三方测试比例为100%。测试的主要技术指标为：</w:t>
            </w:r>
            <w:r>
              <w:rPr>
                <w:rFonts w:hint="eastAsia" w:ascii="宋体" w:hAnsi="宋体" w:eastAsia="宋体" w:cs="宋体"/>
                <w:bCs/>
                <w:sz w:val="21"/>
                <w:szCs w:val="21"/>
              </w:rPr>
              <w:t>测角精度、单次测量精度（棱镜）、距离测量范围、连续测量精度（棱镜）、</w:t>
            </w:r>
            <w:r>
              <w:rPr>
                <w:rFonts w:hint="eastAsia" w:ascii="宋体" w:hAnsi="宋体" w:eastAsia="宋体" w:cs="宋体"/>
                <w:sz w:val="21"/>
                <w:szCs w:val="21"/>
              </w:rPr>
              <w:t>测距最小显示、测角最小显示、</w:t>
            </w:r>
            <w:r>
              <w:rPr>
                <w:rFonts w:hint="eastAsia" w:ascii="宋体" w:hAnsi="宋体" w:eastAsia="宋体" w:cs="宋体"/>
                <w:bCs/>
                <w:sz w:val="21"/>
                <w:szCs w:val="21"/>
              </w:rPr>
              <w:t>工作温度、</w:t>
            </w:r>
            <w:r>
              <w:rPr>
                <w:rFonts w:hint="eastAsia" w:ascii="宋体" w:hAnsi="宋体" w:eastAsia="宋体" w:cs="宋体"/>
                <w:sz w:val="21"/>
                <w:szCs w:val="21"/>
              </w:rPr>
              <w:t>测角方式、</w:t>
            </w:r>
            <w:r>
              <w:rPr>
                <w:rFonts w:hint="eastAsia" w:ascii="宋体" w:hAnsi="宋体" w:eastAsia="宋体" w:cs="宋体"/>
                <w:bCs/>
                <w:sz w:val="21"/>
                <w:szCs w:val="21"/>
              </w:rPr>
              <w:t>望远镜放大倍数/焦距范围、ATR、重复照准精度、</w:t>
            </w:r>
            <w:r>
              <w:rPr>
                <w:rFonts w:hint="eastAsia" w:ascii="宋体" w:hAnsi="宋体" w:eastAsia="宋体" w:cs="宋体"/>
                <w:sz w:val="21"/>
                <w:szCs w:val="21"/>
              </w:rPr>
              <w:t>数据通讯、防尘防水</w:t>
            </w:r>
            <w:r>
              <w:rPr>
                <w:rFonts w:hint="eastAsia" w:ascii="宋体" w:hAnsi="宋体" w:cstheme="minorBidi"/>
                <w:sz w:val="21"/>
                <w:szCs w:val="21"/>
              </w:rPr>
              <w:t>。</w:t>
            </w:r>
          </w:p>
          <w:p>
            <w:pPr>
              <w:numPr>
                <w:ilvl w:val="0"/>
                <w:numId w:val="0"/>
              </w:numPr>
              <w:rPr>
                <w:rFonts w:hint="eastAsia" w:ascii="宋体" w:hAnsi="宋体" w:eastAsia="宋体" w:cs="Times New Roman"/>
                <w:kern w:val="0"/>
                <w:sz w:val="21"/>
                <w:szCs w:val="21"/>
                <w:lang w:val="en-US" w:eastAsia="zh-CN"/>
              </w:rPr>
            </w:pPr>
            <w:r>
              <w:rPr>
                <w:rFonts w:hint="eastAsia" w:ascii="宋体" w:hAnsi="宋体" w:eastAsia="宋体" w:cs="Times New Roman"/>
                <w:kern w:val="0"/>
                <w:sz w:val="21"/>
                <w:szCs w:val="21"/>
                <w:lang w:val="en-US" w:eastAsia="zh-CN"/>
              </w:rPr>
              <w:t>（2）数字水准仪：</w:t>
            </w:r>
            <w:r>
              <w:rPr>
                <w:rFonts w:hint="eastAsia" w:ascii="宋体" w:hAnsi="宋体" w:eastAsia="宋体"/>
                <w:sz w:val="21"/>
                <w:szCs w:val="21"/>
              </w:rPr>
              <w:t>抽</w:t>
            </w:r>
            <w:r>
              <w:rPr>
                <w:rFonts w:hint="eastAsia" w:ascii="宋体" w:hAnsi="宋体" w:eastAsia="宋体" w:cs="Times New Roman"/>
                <w:sz w:val="21"/>
                <w:szCs w:val="21"/>
              </w:rPr>
              <w:t>检比例为100%</w:t>
            </w:r>
            <w:r>
              <w:rPr>
                <w:rFonts w:hint="eastAsia" w:ascii="宋体" w:hAnsi="宋体" w:eastAsia="宋体" w:cs="Times New Roman"/>
                <w:sz w:val="21"/>
                <w:szCs w:val="21"/>
                <w:lang w:eastAsia="zh-CN"/>
              </w:rPr>
              <w:t>；</w:t>
            </w:r>
            <w:r>
              <w:rPr>
                <w:rFonts w:hint="eastAsia" w:ascii="宋体" w:hAnsi="宋体" w:eastAsia="宋体" w:cs="Times New Roman"/>
                <w:sz w:val="21"/>
                <w:szCs w:val="21"/>
              </w:rPr>
              <w:t>测试的主要技术指标为：</w:t>
            </w:r>
            <w:r>
              <w:rPr>
                <w:rFonts w:hint="eastAsia" w:ascii="宋体" w:hAnsi="宋体" w:eastAsia="宋体" w:cs="宋体"/>
                <w:sz w:val="21"/>
                <w:szCs w:val="21"/>
              </w:rPr>
              <w:t>测量精度、最小显示、</w:t>
            </w:r>
            <w:r>
              <w:rPr>
                <w:rFonts w:hint="eastAsia" w:ascii="宋体" w:hAnsi="宋体" w:eastAsia="宋体" w:cs="宋体"/>
                <w:bCs/>
                <w:sz w:val="21"/>
                <w:szCs w:val="21"/>
              </w:rPr>
              <w:t>测量范围、</w:t>
            </w:r>
            <w:r>
              <w:rPr>
                <w:rFonts w:hint="eastAsia" w:ascii="宋体" w:hAnsi="宋体" w:eastAsia="宋体" w:cs="宋体"/>
                <w:sz w:val="21"/>
                <w:szCs w:val="21"/>
              </w:rPr>
              <w:t>补偿范围、补偿误差、视准线误差、</w:t>
            </w:r>
            <w:r>
              <w:rPr>
                <w:rFonts w:hint="eastAsia" w:ascii="宋体" w:hAnsi="宋体" w:eastAsia="宋体" w:cs="宋体"/>
                <w:bCs/>
                <w:sz w:val="21"/>
                <w:szCs w:val="21"/>
              </w:rPr>
              <w:t>工作温度、</w:t>
            </w:r>
            <w:r>
              <w:rPr>
                <w:rFonts w:hint="eastAsia" w:ascii="宋体" w:hAnsi="宋体" w:eastAsia="宋体" w:cs="宋体"/>
                <w:sz w:val="21"/>
                <w:szCs w:val="21"/>
              </w:rPr>
              <w:t>数据通讯、防尘防水、外部指令控制</w:t>
            </w:r>
            <w:r>
              <w:rPr>
                <w:rFonts w:hint="eastAsia" w:ascii="宋体" w:hAnsi="宋体" w:eastAsia="宋体" w:cs="宋体"/>
                <w:sz w:val="21"/>
                <w:szCs w:val="21"/>
                <w:lang w:eastAsia="zh-CN"/>
              </w:rPr>
              <w:t>。</w:t>
            </w:r>
          </w:p>
          <w:p>
            <w:pPr>
              <w:pStyle w:val="5"/>
              <w:ind w:left="0" w:leftChars="0" w:firstLine="0" w:firstLineChars="0"/>
              <w:rPr>
                <w:rFonts w:hint="eastAsia" w:ascii="宋体" w:hAnsi="宋体" w:eastAsia="宋体" w:cs="Times New Roman"/>
                <w:kern w:val="0"/>
                <w:sz w:val="21"/>
                <w:szCs w:val="21"/>
                <w:lang w:val="en-US" w:eastAsia="zh-CN"/>
              </w:rPr>
            </w:pPr>
            <w:r>
              <w:rPr>
                <w:rFonts w:hint="eastAsia" w:ascii="宋体" w:hAnsi="宋体" w:cstheme="minorBidi"/>
                <w:sz w:val="21"/>
                <w:szCs w:val="21"/>
                <w:lang w:val="en-US" w:eastAsia="zh-CN"/>
              </w:rPr>
              <w:t>（3）差分定位仪</w:t>
            </w:r>
            <w:r>
              <w:rPr>
                <w:rFonts w:hint="eastAsia" w:ascii="宋体" w:hAnsi="宋体" w:cstheme="minorBidi"/>
                <w:sz w:val="21"/>
                <w:szCs w:val="21"/>
              </w:rPr>
              <w:t>：三方测试比例为</w:t>
            </w:r>
            <w:r>
              <w:rPr>
                <w:rFonts w:hint="eastAsia" w:ascii="宋体" w:hAnsi="宋体" w:cstheme="minorBidi"/>
                <w:sz w:val="21"/>
                <w:szCs w:val="21"/>
                <w:lang w:val="en-US" w:eastAsia="zh-CN"/>
              </w:rPr>
              <w:t>100</w:t>
            </w:r>
            <w:r>
              <w:rPr>
                <w:rFonts w:hint="eastAsia" w:ascii="宋体" w:hAnsi="宋体" w:cstheme="minorBidi"/>
                <w:sz w:val="21"/>
                <w:szCs w:val="21"/>
              </w:rPr>
              <w:t>%。测试的主要技术指标为：</w:t>
            </w:r>
            <w:r>
              <w:rPr>
                <w:rFonts w:hint="eastAsia" w:ascii="宋体" w:hAnsi="宋体" w:eastAsia="宋体" w:cs="宋体"/>
                <w:sz w:val="21"/>
                <w:szCs w:val="21"/>
              </w:rPr>
              <w:t>静态测量时，10分钟内两次地理方位角测量之差、静态测量性能、采集软件显示功能、支持卫星系统、方位角计算软件、静态测量的记录间隔、通讯接口、内存储量、电池类型、电池待机时间、机壳密封</w:t>
            </w:r>
            <w:r>
              <w:rPr>
                <w:rFonts w:hint="eastAsia" w:ascii="宋体" w:hAnsi="宋体" w:cstheme="minorBidi"/>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jc w:val="center"/>
              <w:rPr>
                <w:rFonts w:hint="eastAsia" w:eastAsiaTheme="minorEastAsia"/>
                <w:color w:val="auto"/>
                <w:sz w:val="21"/>
                <w:szCs w:val="21"/>
                <w:lang w:eastAsia="zh-CN"/>
              </w:rPr>
            </w:pPr>
            <w:r>
              <w:rPr>
                <w:rFonts w:hint="eastAsia"/>
                <w:color w:val="auto"/>
                <w:sz w:val="21"/>
                <w:szCs w:val="21"/>
                <w:lang w:val="en-US" w:eastAsia="zh-CN"/>
              </w:rPr>
              <w:t>4</w:t>
            </w:r>
          </w:p>
        </w:tc>
        <w:tc>
          <w:tcPr>
            <w:tcW w:w="1507" w:type="dxa"/>
            <w:vAlign w:val="center"/>
          </w:tcPr>
          <w:p>
            <w:pPr>
              <w:jc w:val="center"/>
              <w:rPr>
                <w:rFonts w:hint="eastAsia"/>
                <w:color w:val="auto"/>
                <w:sz w:val="21"/>
                <w:szCs w:val="21"/>
                <w:lang w:val="en-US" w:eastAsia="zh-CN"/>
              </w:rPr>
            </w:pPr>
            <w:r>
              <w:rPr>
                <w:rFonts w:hint="eastAsia"/>
                <w:color w:val="auto"/>
                <w:sz w:val="21"/>
                <w:szCs w:val="21"/>
                <w:lang w:val="en-US" w:eastAsia="zh-CN"/>
              </w:rPr>
              <w:t>售后服务</w:t>
            </w:r>
          </w:p>
          <w:p>
            <w:pPr>
              <w:jc w:val="center"/>
              <w:rPr>
                <w:color w:val="auto"/>
                <w:sz w:val="21"/>
                <w:szCs w:val="21"/>
              </w:rPr>
            </w:pPr>
            <w:r>
              <w:rPr>
                <w:rFonts w:hint="eastAsia"/>
                <w:color w:val="auto"/>
                <w:sz w:val="21"/>
                <w:szCs w:val="21"/>
                <w:lang w:val="en-US" w:eastAsia="zh-CN"/>
              </w:rPr>
              <w:t>及</w:t>
            </w:r>
            <w:r>
              <w:rPr>
                <w:rFonts w:hint="eastAsia"/>
                <w:color w:val="auto"/>
                <w:sz w:val="21"/>
                <w:szCs w:val="21"/>
              </w:rPr>
              <w:t>培训</w:t>
            </w:r>
          </w:p>
        </w:tc>
        <w:tc>
          <w:tcPr>
            <w:tcW w:w="1000" w:type="dxa"/>
            <w:vAlign w:val="center"/>
          </w:tcPr>
          <w:p>
            <w:pPr>
              <w:jc w:val="center"/>
              <w:rPr>
                <w:color w:val="auto"/>
                <w:sz w:val="21"/>
                <w:szCs w:val="21"/>
              </w:rPr>
            </w:pPr>
            <w:r>
              <w:rPr>
                <w:rFonts w:hint="eastAsia"/>
                <w:color w:val="auto"/>
                <w:sz w:val="21"/>
                <w:szCs w:val="21"/>
              </w:rPr>
              <w:t>#</w:t>
            </w:r>
          </w:p>
        </w:tc>
        <w:tc>
          <w:tcPr>
            <w:tcW w:w="5440" w:type="dxa"/>
            <w:vAlign w:val="center"/>
          </w:tcPr>
          <w:p>
            <w:pPr>
              <w:ind w:firstLine="420" w:firstLineChars="200"/>
              <w:rPr>
                <w:rStyle w:val="13"/>
                <w:rFonts w:hint="default"/>
                <w:color w:val="auto"/>
                <w:sz w:val="21"/>
                <w:szCs w:val="21"/>
              </w:rPr>
            </w:pPr>
            <w:r>
              <w:rPr>
                <w:rFonts w:hint="eastAsia" w:ascii="宋体" w:hAnsi="宋体" w:eastAsia="宋体" w:cs="宋体"/>
                <w:color w:val="000000" w:themeColor="text1"/>
                <w:sz w:val="21"/>
                <w:szCs w:val="21"/>
                <w:lang w:bidi="ar"/>
                <w14:textFill>
                  <w14:solidFill>
                    <w14:schemeClr w14:val="tx1"/>
                  </w14:solidFill>
                </w14:textFill>
              </w:rPr>
              <w:t>提供详尽的培训方案及培训计划，技术培训方案包括但不限于：①安装操作与测试方案；②故障解决等应急处理方案；③维护保养等质量保障措施；④人员培训计划</w:t>
            </w:r>
            <w:r>
              <w:rPr>
                <w:rFonts w:hint="eastAsia" w:ascii="宋体" w:hAnsi="宋体" w:eastAsia="宋体" w:cs="宋体"/>
                <w:color w:val="000000" w:themeColor="text1"/>
                <w:sz w:val="21"/>
                <w:szCs w:val="21"/>
                <w:lang w:eastAsia="zh-CN" w:bidi="ar"/>
                <w14:textFill>
                  <w14:solidFill>
                    <w14:schemeClr w14:val="tx1"/>
                  </w14:solidFill>
                </w14:textFill>
              </w:rPr>
              <w:t>，</w:t>
            </w:r>
            <w:r>
              <w:rPr>
                <w:rFonts w:hint="eastAsia" w:ascii="宋体" w:hAnsi="宋体" w:eastAsia="宋体" w:cs="宋体"/>
                <w:color w:val="000000" w:themeColor="text1"/>
                <w:sz w:val="21"/>
                <w:szCs w:val="21"/>
                <w:lang w:bidi="ar"/>
                <w14:textFill>
                  <w14:solidFill>
                    <w14:schemeClr w14:val="tx1"/>
                  </w14:solidFill>
                </w14:textFill>
              </w:rPr>
              <w:t>并列出培训的具体内容及方式，确保使用人员能够独立操作，并进行简单故障排查处理（包括：培训人数、培训时间、培训内容、培训方式等）。</w:t>
            </w:r>
          </w:p>
        </w:tc>
      </w:tr>
    </w:tbl>
    <w:p>
      <w:pPr>
        <w:pStyle w:val="3"/>
        <w:numPr>
          <w:ilvl w:val="0"/>
          <w:numId w:val="0"/>
        </w:numPr>
        <w:ind w:leftChars="0"/>
        <w:rPr>
          <w:rFonts w:hint="eastAsia"/>
          <w:b/>
          <w:bCs/>
          <w:color w:val="auto"/>
          <w:sz w:val="21"/>
          <w:szCs w:val="21"/>
        </w:rPr>
      </w:pPr>
      <w:r>
        <w:rPr>
          <w:rFonts w:hint="eastAsia"/>
          <w:b/>
          <w:bCs/>
          <w:color w:val="auto"/>
          <w:sz w:val="21"/>
          <w:szCs w:val="21"/>
          <w:lang w:val="en-US" w:eastAsia="zh-CN"/>
        </w:rPr>
        <w:t>3.5.5</w:t>
      </w:r>
      <w:r>
        <w:rPr>
          <w:rFonts w:hint="eastAsia"/>
          <w:b/>
          <w:bCs/>
          <w:color w:val="auto"/>
          <w:sz w:val="21"/>
          <w:szCs w:val="21"/>
        </w:rPr>
        <w:t>实施方案</w:t>
      </w:r>
    </w:p>
    <w:p>
      <w:pPr>
        <w:keepNext w:val="0"/>
        <w:keepLines w:val="0"/>
        <w:pageBreakBefore w:val="0"/>
        <w:widowControl w:val="0"/>
        <w:kinsoku/>
        <w:wordWrap/>
        <w:overflowPunct/>
        <w:topLinePunct w:val="0"/>
        <w:autoSpaceDE/>
        <w:autoSpaceDN/>
        <w:bidi w:val="0"/>
        <w:adjustRightInd/>
        <w:snapToGrid/>
        <w:spacing w:line="320" w:lineRule="exact"/>
        <w:ind w:firstLine="425"/>
        <w:textAlignment w:val="auto"/>
        <w:rPr>
          <w:rFonts w:hint="eastAsia" w:ascii="宋体" w:hAnsi="宋体" w:eastAsia="宋体"/>
          <w:sz w:val="21"/>
          <w:szCs w:val="21"/>
        </w:rPr>
      </w:pPr>
      <w:r>
        <w:rPr>
          <w:rFonts w:hint="eastAsia"/>
          <w:color w:val="auto"/>
          <w:sz w:val="21"/>
          <w:szCs w:val="21"/>
        </w:rPr>
        <w:t>重要性分为“</w:t>
      </w:r>
      <w:r>
        <w:rPr>
          <w:color w:val="000000" w:themeColor="text1"/>
          <w:sz w:val="21"/>
          <w:szCs w:val="21"/>
          <w14:textFill>
            <w14:solidFill>
              <w14:schemeClr w14:val="tx1"/>
            </w14:solidFill>
          </w14:textFill>
        </w:rPr>
        <w:t>★</w:t>
      </w:r>
      <w:r>
        <w:rPr>
          <w:rFonts w:hint="eastAsia"/>
          <w:color w:val="auto"/>
          <w:sz w:val="21"/>
          <w:szCs w:val="21"/>
        </w:rPr>
        <w:t>”</w:t>
      </w:r>
      <w:r>
        <w:rPr>
          <w:rFonts w:hint="eastAsia"/>
          <w:color w:val="auto"/>
          <w:sz w:val="21"/>
          <w:szCs w:val="21"/>
          <w:lang w:eastAsia="zh-CN"/>
        </w:rPr>
        <w:t>、</w:t>
      </w:r>
      <w:r>
        <w:rPr>
          <w:rFonts w:hint="eastAsia"/>
          <w:color w:val="auto"/>
          <w:sz w:val="21"/>
          <w:szCs w:val="21"/>
        </w:rPr>
        <w:t>“#”和“△”。</w:t>
      </w:r>
      <w:r>
        <w:rPr>
          <w:color w:val="000000" w:themeColor="text1"/>
          <w:sz w:val="21"/>
          <w:szCs w:val="21"/>
          <w14:textFill>
            <w14:solidFill>
              <w14:schemeClr w14:val="tx1"/>
            </w14:solidFill>
          </w14:textFill>
        </w:rPr>
        <w:t>★</w:t>
      </w:r>
      <w:r>
        <w:rPr>
          <w:rFonts w:hint="eastAsia"/>
          <w:color w:val="auto"/>
          <w:sz w:val="21"/>
          <w:szCs w:val="21"/>
        </w:rPr>
        <w:t>代表</w:t>
      </w:r>
      <w:r>
        <w:rPr>
          <w:rFonts w:hint="eastAsia"/>
          <w:color w:val="auto"/>
          <w:sz w:val="21"/>
          <w:szCs w:val="21"/>
          <w:lang w:val="en-US" w:eastAsia="zh-CN"/>
        </w:rPr>
        <w:t>实质性</w:t>
      </w:r>
      <w:r>
        <w:rPr>
          <w:rFonts w:hint="eastAsia"/>
          <w:color w:val="auto"/>
          <w:sz w:val="21"/>
          <w:szCs w:val="21"/>
        </w:rPr>
        <w:t>指标，#代表重要指标，△则表示一般指标项。</w:t>
      </w:r>
    </w:p>
    <w:tbl>
      <w:tblPr>
        <w:tblStyle w:val="8"/>
        <w:tblW w:w="86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27"/>
        <w:gridCol w:w="938"/>
        <w:gridCol w:w="54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shd w:val="clear" w:color="auto" w:fill="A4A4A4" w:themeFill="background1" w:themeFillShade="A5"/>
          </w:tcPr>
          <w:p>
            <w:pPr>
              <w:jc w:val="center"/>
              <w:rPr>
                <w:color w:val="auto"/>
                <w:sz w:val="21"/>
                <w:szCs w:val="21"/>
              </w:rPr>
            </w:pPr>
            <w:r>
              <w:rPr>
                <w:rFonts w:hint="eastAsia"/>
                <w:color w:val="auto"/>
                <w:sz w:val="21"/>
                <w:szCs w:val="21"/>
              </w:rPr>
              <w:t>序号</w:t>
            </w:r>
          </w:p>
        </w:tc>
        <w:tc>
          <w:tcPr>
            <w:tcW w:w="1527" w:type="dxa"/>
            <w:shd w:val="clear" w:color="auto" w:fill="A4A4A4" w:themeFill="background1" w:themeFillShade="A5"/>
          </w:tcPr>
          <w:p>
            <w:pPr>
              <w:jc w:val="center"/>
              <w:rPr>
                <w:color w:val="auto"/>
                <w:sz w:val="21"/>
                <w:szCs w:val="21"/>
              </w:rPr>
            </w:pPr>
            <w:r>
              <w:rPr>
                <w:rFonts w:hint="eastAsia"/>
                <w:color w:val="auto"/>
                <w:sz w:val="21"/>
                <w:szCs w:val="21"/>
              </w:rPr>
              <w:t>内容</w:t>
            </w:r>
          </w:p>
        </w:tc>
        <w:tc>
          <w:tcPr>
            <w:tcW w:w="938" w:type="dxa"/>
            <w:shd w:val="clear" w:color="auto" w:fill="A4A4A4" w:themeFill="background1" w:themeFillShade="A5"/>
          </w:tcPr>
          <w:p>
            <w:pPr>
              <w:jc w:val="center"/>
              <w:rPr>
                <w:color w:val="auto"/>
                <w:sz w:val="21"/>
                <w:szCs w:val="21"/>
              </w:rPr>
            </w:pPr>
            <w:r>
              <w:rPr>
                <w:rFonts w:hint="eastAsia"/>
                <w:color w:val="auto"/>
                <w:sz w:val="21"/>
                <w:szCs w:val="21"/>
              </w:rPr>
              <w:t>重要性</w:t>
            </w:r>
          </w:p>
        </w:tc>
        <w:tc>
          <w:tcPr>
            <w:tcW w:w="5491" w:type="dxa"/>
            <w:shd w:val="clear" w:color="auto" w:fill="A4A4A4" w:themeFill="background1" w:themeFillShade="A5"/>
          </w:tcPr>
          <w:p>
            <w:pPr>
              <w:jc w:val="center"/>
              <w:rPr>
                <w:color w:val="auto"/>
                <w:sz w:val="21"/>
                <w:szCs w:val="21"/>
              </w:rPr>
            </w:pPr>
            <w:r>
              <w:rPr>
                <w:rFonts w:hint="eastAsia"/>
                <w:color w:val="auto"/>
                <w:sz w:val="21"/>
                <w:szCs w:val="21"/>
              </w:rPr>
              <w:t>实施标准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jc w:val="center"/>
              <w:rPr>
                <w:color w:val="auto"/>
                <w:sz w:val="21"/>
                <w:szCs w:val="21"/>
              </w:rPr>
            </w:pPr>
            <w:r>
              <w:rPr>
                <w:color w:val="auto"/>
                <w:sz w:val="21"/>
                <w:szCs w:val="21"/>
              </w:rPr>
              <w:t>1</w:t>
            </w:r>
          </w:p>
        </w:tc>
        <w:tc>
          <w:tcPr>
            <w:tcW w:w="1527" w:type="dxa"/>
            <w:vAlign w:val="center"/>
          </w:tcPr>
          <w:p>
            <w:pPr>
              <w:jc w:val="center"/>
              <w:rPr>
                <w:color w:val="auto"/>
                <w:sz w:val="21"/>
                <w:szCs w:val="21"/>
              </w:rPr>
            </w:pPr>
            <w:r>
              <w:rPr>
                <w:rFonts w:hint="eastAsia"/>
                <w:color w:val="auto"/>
                <w:sz w:val="21"/>
                <w:szCs w:val="21"/>
              </w:rPr>
              <w:t>项目实施进度安排</w:t>
            </w:r>
          </w:p>
        </w:tc>
        <w:tc>
          <w:tcPr>
            <w:tcW w:w="938" w:type="dxa"/>
            <w:vAlign w:val="center"/>
          </w:tcPr>
          <w:p>
            <w:pPr>
              <w:jc w:val="center"/>
              <w:rPr>
                <w:color w:val="auto"/>
                <w:sz w:val="21"/>
                <w:szCs w:val="21"/>
              </w:rPr>
            </w:pPr>
            <w:r>
              <w:rPr>
                <w:rFonts w:hint="eastAsia"/>
                <w:color w:val="auto"/>
                <w:sz w:val="21"/>
                <w:szCs w:val="21"/>
              </w:rPr>
              <w:t>#</w:t>
            </w:r>
          </w:p>
        </w:tc>
        <w:tc>
          <w:tcPr>
            <w:tcW w:w="5491" w:type="dxa"/>
          </w:tcPr>
          <w:p>
            <w:pPr>
              <w:pStyle w:val="14"/>
              <w:spacing w:line="240" w:lineRule="auto"/>
              <w:rPr>
                <w:rFonts w:hint="eastAsia" w:ascii="宋体" w:hAnsi="宋体" w:eastAsia="宋体" w:cs="宋体"/>
                <w:sz w:val="21"/>
                <w:szCs w:val="21"/>
              </w:rPr>
            </w:pPr>
            <w:r>
              <w:rPr>
                <w:rFonts w:hint="eastAsia" w:ascii="宋体" w:hAnsi="宋体" w:eastAsia="宋体" w:cs="宋体"/>
                <w:sz w:val="21"/>
                <w:szCs w:val="21"/>
              </w:rPr>
              <w:t>合同签订后</w:t>
            </w:r>
            <w:r>
              <w:rPr>
                <w:rFonts w:hint="eastAsia" w:ascii="宋体" w:hAnsi="宋体" w:eastAsia="宋体" w:cs="宋体"/>
                <w:sz w:val="21"/>
                <w:szCs w:val="21"/>
                <w:lang w:val="en-US" w:eastAsia="zh-CN"/>
              </w:rPr>
              <w:t>9</w:t>
            </w:r>
            <w:r>
              <w:rPr>
                <w:rFonts w:hint="eastAsia" w:ascii="宋体" w:hAnsi="宋体" w:eastAsia="宋体" w:cs="宋体"/>
                <w:sz w:val="21"/>
                <w:szCs w:val="21"/>
              </w:rPr>
              <w:t>0日历天内设备全部到货，并配送至采购人指定地点。120日历天内配合采购人完成全部设备测试工作。150日历天内完成</w:t>
            </w:r>
            <w:r>
              <w:rPr>
                <w:rFonts w:hint="eastAsia" w:ascii="宋体" w:hAnsi="宋体" w:eastAsia="宋体" w:cs="宋体"/>
                <w:sz w:val="21"/>
                <w:szCs w:val="21"/>
                <w:lang w:bidi="en-US"/>
              </w:rPr>
              <w:t>项目验收</w:t>
            </w:r>
            <w:r>
              <w:rPr>
                <w:rFonts w:hint="eastAsia" w:ascii="宋体" w:hAnsi="宋体" w:eastAsia="宋体" w:cs="宋体"/>
                <w:sz w:val="21"/>
                <w:szCs w:val="21"/>
              </w:rPr>
              <w:t>。</w:t>
            </w:r>
          </w:p>
          <w:p>
            <w:pPr>
              <w:pStyle w:val="14"/>
              <w:spacing w:line="240" w:lineRule="auto"/>
              <w:rPr>
                <w:rFonts w:hint="default" w:ascii="宋体" w:hAnsi="宋体" w:eastAsia="宋体" w:cs="宋体"/>
                <w:sz w:val="21"/>
                <w:szCs w:val="21"/>
                <w:lang w:val="en-US"/>
              </w:rPr>
            </w:pPr>
            <w:r>
              <w:rPr>
                <w:rFonts w:hint="eastAsia" w:ascii="Calibri" w:hAnsi="Calibri" w:eastAsia="宋体" w:cs="Times New Roman"/>
                <w:color w:val="000000"/>
                <w:kern w:val="2"/>
                <w:sz w:val="21"/>
                <w:szCs w:val="21"/>
                <w:lang w:val="en-US" w:eastAsia="zh-CN" w:bidi="en-US"/>
              </w:rPr>
              <w:t>中标人在完成本次采购所涉及设备的</w:t>
            </w:r>
            <w:r>
              <w:rPr>
                <w:rFonts w:hint="eastAsia" w:ascii="宋体" w:hAnsi="宋体" w:eastAsia="宋体" w:cs="宋体"/>
                <w:sz w:val="21"/>
                <w:szCs w:val="21"/>
              </w:rPr>
              <w:t>出厂测试</w:t>
            </w:r>
            <w:r>
              <w:rPr>
                <w:rFonts w:hint="eastAsia" w:ascii="宋体" w:hAnsi="宋体" w:eastAsia="宋体" w:cs="宋体"/>
                <w:sz w:val="21"/>
                <w:szCs w:val="21"/>
                <w:lang w:eastAsia="zh-CN"/>
              </w:rPr>
              <w:t>、</w:t>
            </w:r>
            <w:r>
              <w:rPr>
                <w:rFonts w:hint="eastAsia" w:ascii="Calibri" w:hAnsi="Calibri" w:eastAsia="宋体" w:cs="Times New Roman"/>
                <w:color w:val="000000"/>
                <w:kern w:val="2"/>
                <w:sz w:val="21"/>
                <w:szCs w:val="21"/>
                <w:lang w:val="en-US" w:eastAsia="zh-CN" w:bidi="en-US"/>
              </w:rPr>
              <w:t>第三方计量机构鉴定</w:t>
            </w:r>
            <w:r>
              <w:rPr>
                <w:rFonts w:hint="eastAsia" w:ascii="宋体" w:hAnsi="宋体" w:eastAsia="宋体" w:cs="宋体"/>
                <w:sz w:val="21"/>
                <w:szCs w:val="21"/>
                <w:lang w:val="en-US" w:eastAsia="zh-CN"/>
              </w:rPr>
              <w:t>测试后，应配合采购人完成相关的场地测试，具体测试内容如下：</w:t>
            </w:r>
          </w:p>
          <w:p>
            <w:pPr>
              <w:ind w:firstLine="422" w:firstLineChars="200"/>
              <w:rPr>
                <w:rFonts w:hint="eastAsia" w:ascii="宋体" w:hAnsi="宋体" w:eastAsia="宋体" w:cs="宋体"/>
                <w:color w:val="auto"/>
                <w:sz w:val="21"/>
                <w:szCs w:val="21"/>
              </w:rPr>
            </w:pPr>
            <w:r>
              <w:rPr>
                <w:rFonts w:hint="eastAsia" w:ascii="宋体" w:hAnsi="宋体" w:eastAsia="宋体" w:cs="宋体"/>
                <w:b/>
                <w:bCs/>
                <w:color w:val="auto"/>
                <w:sz w:val="21"/>
                <w:szCs w:val="21"/>
                <w:lang w:val="en-US" w:eastAsia="zh-CN"/>
              </w:rPr>
              <w:t>1、相对重力仪：</w:t>
            </w:r>
            <w:r>
              <w:rPr>
                <w:rFonts w:hint="eastAsia" w:ascii="宋体" w:hAnsi="宋体" w:eastAsia="宋体" w:cs="宋体"/>
                <w:color w:val="auto"/>
                <w:sz w:val="21"/>
                <w:szCs w:val="21"/>
              </w:rPr>
              <w:t>主要测试内容：（1）重力仪格值系数检测。一、二次项系数可由长基线标定场地检定，选用的标定基线应覆盖测区的读数段，需进行往返观测，至少取得4个合格的单程测量成果，标定的相对精度不低于</w:t>
            </w:r>
            <w:bookmarkStart w:id="5" w:name="OLE_LINK23"/>
            <w:r>
              <w:rPr>
                <w:rFonts w:hint="eastAsia" w:ascii="宋体" w:hAnsi="宋体" w:eastAsia="宋体" w:cs="宋体"/>
                <w:color w:val="auto"/>
                <w:sz w:val="21"/>
                <w:szCs w:val="21"/>
              </w:rPr>
              <w:t>5×10</w:t>
            </w:r>
            <w:r>
              <w:rPr>
                <w:rFonts w:hint="eastAsia" w:ascii="宋体" w:hAnsi="宋体" w:eastAsia="宋体" w:cs="宋体"/>
                <w:color w:val="auto"/>
                <w:sz w:val="21"/>
                <w:szCs w:val="21"/>
                <w:vertAlign w:val="superscript"/>
              </w:rPr>
              <w:t>-5</w:t>
            </w:r>
            <w:bookmarkEnd w:id="5"/>
            <w:r>
              <w:rPr>
                <w:rFonts w:hint="eastAsia" w:ascii="宋体" w:hAnsi="宋体" w:eastAsia="宋体" w:cs="宋体"/>
                <w:color w:val="auto"/>
                <w:sz w:val="21"/>
                <w:szCs w:val="21"/>
              </w:rPr>
              <w:t>；（2）重力仪的周期误差检测。可选用短基线进行检定，在标定基线上均匀选择计划标定的周期值能覆盖的5个或9个基线点，在这些基线点上进行往返观测，至少取得4个合格的单程测量成果，标定结果的精度：初始相位应优于±（30°～35°）振幅误差比应优于1.5～2，否则视为标定精度不够或该周期误差不显著；（3）分辨力检测。相对观测仪器的</w:t>
            </w:r>
            <w:bookmarkStart w:id="6" w:name="OLE_LINK26"/>
            <w:r>
              <w:rPr>
                <w:rFonts w:hint="eastAsia" w:ascii="宋体" w:hAnsi="宋体" w:eastAsia="宋体" w:cs="宋体"/>
                <w:color w:val="auto"/>
                <w:sz w:val="21"/>
                <w:szCs w:val="21"/>
              </w:rPr>
              <w:t>检测场地宜选在环境温度变化小，周围无振动干扰，地基较稳定的室内</w:t>
            </w:r>
            <w:bookmarkEnd w:id="6"/>
            <w:r>
              <w:rPr>
                <w:rFonts w:hint="eastAsia" w:ascii="宋体" w:hAnsi="宋体" w:eastAsia="宋体" w:cs="宋体"/>
                <w:color w:val="auto"/>
                <w:sz w:val="21"/>
                <w:szCs w:val="21"/>
              </w:rPr>
              <w:t>，检测时间宜在大潮期间固体潮变化速率快的时段。对于相对观测仪器宜每10min获取一组观测值，每组不少于6个；（4）重复性标准差的检测。宜在重力固体潮变化缓慢的时段进行，在相同条件下，短时间内（不超过1h）多次对同一测点进行重复测量，检测仪器提供相近示值的能力，重力仪重复性用检测示值的标准差表示；（5）准确度和精度检测。重力仪的准确度和精度的检测在重力仪格值校准时进行，格值短基线校准的观测中误差即为重力仪的观测精度，由于基线值是约定真值，因此中误差也就是重力仪的准确度；（6）静态零点漂移检测。场地要求：环境温度变化小，周围无振动干扰，地基较稳定的室内。将仪器安置好后固定不动，整个检测期间保持重力仪的纵横水准器处于正确位置，测试仪器处于开摆状态，重力仪须经24～48h稳定观测，待漂移率趋于稳定后在持续观测48h以上，采用间隔小于60min；（7）重力仪动态零点漂移检测。场地要求：测站间距离不大于30km，重力差不小于50×10</w:t>
            </w:r>
            <w:r>
              <w:rPr>
                <w:rFonts w:hint="eastAsia" w:ascii="宋体" w:hAnsi="宋体" w:eastAsia="宋体" w:cs="宋体"/>
                <w:color w:val="auto"/>
                <w:sz w:val="21"/>
                <w:szCs w:val="21"/>
                <w:vertAlign w:val="superscript"/>
              </w:rPr>
              <w:t>-5</w:t>
            </w:r>
            <w:r>
              <w:rPr>
                <w:rFonts w:hint="eastAsia" w:ascii="宋体" w:hAnsi="宋体" w:eastAsia="宋体" w:cs="宋体"/>
                <w:color w:val="auto"/>
                <w:sz w:val="21"/>
                <w:szCs w:val="21"/>
              </w:rPr>
              <w:t>ms</w:t>
            </w:r>
            <w:r>
              <w:rPr>
                <w:rFonts w:hint="eastAsia" w:ascii="宋体" w:hAnsi="宋体" w:eastAsia="宋体" w:cs="宋体"/>
                <w:color w:val="auto"/>
                <w:sz w:val="21"/>
                <w:szCs w:val="21"/>
                <w:vertAlign w:val="superscript"/>
              </w:rPr>
              <w:t>-2</w:t>
            </w:r>
            <w:r>
              <w:rPr>
                <w:rFonts w:hint="eastAsia" w:ascii="宋体" w:hAnsi="宋体" w:eastAsia="宋体" w:cs="宋体"/>
                <w:color w:val="auto"/>
                <w:sz w:val="21"/>
                <w:szCs w:val="21"/>
              </w:rPr>
              <w:t>，周围无振动干扰，测站间环境温差小。使用正式作业时的运输工具，按A</w:t>
            </w:r>
            <w:bookmarkStart w:id="7" w:name="OLE_LINK24"/>
            <w:r>
              <w:rPr>
                <w:rFonts w:hint="eastAsia" w:ascii="宋体" w:hAnsi="宋体" w:eastAsia="宋体" w:cs="宋体"/>
                <w:color w:val="auto"/>
                <w:sz w:val="21"/>
                <w:szCs w:val="21"/>
              </w:rPr>
              <w:t>→</w:t>
            </w:r>
            <w:bookmarkEnd w:id="7"/>
            <w:r>
              <w:rPr>
                <w:rFonts w:hint="eastAsia" w:ascii="宋体" w:hAnsi="宋体" w:eastAsia="宋体" w:cs="宋体"/>
                <w:color w:val="auto"/>
                <w:sz w:val="21"/>
                <w:szCs w:val="21"/>
              </w:rPr>
              <w:t>B→A→B…测点的顺序重复进行观测，也可以在多个测点A→B→C→…→C→B→A→B→C→…顺序重复观测，持续时间不得少于8h。</w:t>
            </w:r>
          </w:p>
          <w:p>
            <w:pPr>
              <w:pStyle w:val="14"/>
              <w:spacing w:line="240" w:lineRule="auto"/>
              <w:ind w:firstLine="422"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b/>
                <w:bCs/>
                <w:color w:val="auto"/>
                <w:kern w:val="2"/>
                <w:sz w:val="21"/>
                <w:szCs w:val="21"/>
                <w:lang w:val="en-US" w:eastAsia="zh-CN" w:bidi="ar-SA"/>
              </w:rPr>
              <w:t>2、数字水准仪</w:t>
            </w:r>
            <w:r>
              <w:rPr>
                <w:rFonts w:hint="eastAsia" w:ascii="宋体" w:hAnsi="宋体" w:eastAsia="宋体" w:cs="宋体"/>
                <w:color w:val="auto"/>
                <w:kern w:val="2"/>
                <w:sz w:val="21"/>
                <w:szCs w:val="21"/>
                <w:lang w:val="en-US" w:eastAsia="zh-CN" w:bidi="ar-SA"/>
              </w:rPr>
              <w:t>：测试内容分为两部分：（1）仪器性能和技术参数测试；（2）水准观测成果精度测试。选取专门的水准仪器检定场或者实际跨断层水准作业场地开展测试工作，测试工作严格按照国家一、二等水准测量规范要求进行。</w:t>
            </w:r>
          </w:p>
          <w:p>
            <w:pPr>
              <w:pStyle w:val="14"/>
              <w:spacing w:line="240" w:lineRule="auto"/>
              <w:ind w:firstLine="422"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b/>
                <w:bCs/>
                <w:color w:val="auto"/>
                <w:kern w:val="2"/>
                <w:sz w:val="21"/>
                <w:szCs w:val="21"/>
                <w:lang w:val="en-US" w:eastAsia="zh-CN" w:bidi="ar-SA"/>
              </w:rPr>
              <w:t>3、全站仪</w:t>
            </w:r>
            <w:r>
              <w:rPr>
                <w:rFonts w:hint="eastAsia" w:ascii="宋体" w:hAnsi="宋体" w:eastAsia="宋体" w:cs="宋体"/>
                <w:color w:val="auto"/>
                <w:kern w:val="2"/>
                <w:sz w:val="21"/>
                <w:szCs w:val="21"/>
                <w:lang w:val="en-US" w:eastAsia="zh-CN" w:bidi="ar-SA"/>
              </w:rPr>
              <w:t>：测试内容为水平角检验、垂直角检验、水平距离检验等性能指标进行测试。此外，还需要进行全站仪功能检验，包括电源检验、视野检验、角度检验、距离检验和通讯检验。测试目的是为了检验全站仪的指标参数是否符合规范要求及是否满足采购人实际需求。</w:t>
            </w:r>
          </w:p>
          <w:p>
            <w:pPr>
              <w:pStyle w:val="14"/>
              <w:spacing w:line="240" w:lineRule="auto"/>
              <w:ind w:firstLine="422"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b/>
                <w:bCs/>
                <w:color w:val="auto"/>
                <w:kern w:val="2"/>
                <w:sz w:val="21"/>
                <w:szCs w:val="21"/>
                <w:lang w:val="en-US" w:eastAsia="zh-CN" w:bidi="ar-SA"/>
              </w:rPr>
              <w:t>4、磁通门经纬仪（6″）：</w:t>
            </w:r>
            <w:r>
              <w:rPr>
                <w:rFonts w:hint="eastAsia" w:ascii="宋体" w:hAnsi="宋体" w:eastAsia="宋体" w:cs="宋体"/>
                <w:color w:val="auto"/>
                <w:kern w:val="2"/>
                <w:sz w:val="21"/>
                <w:szCs w:val="21"/>
                <w:lang w:val="en-US" w:eastAsia="zh-CN" w:bidi="ar-SA"/>
              </w:rPr>
              <w:t>需开展台站测试工作，主要内容为：在台站测试最大允许误差和重复性、转向差、线性度和修正系数以及其他指标值检测。</w:t>
            </w:r>
          </w:p>
          <w:p>
            <w:pPr>
              <w:pStyle w:val="14"/>
              <w:spacing w:line="240" w:lineRule="auto"/>
              <w:ind w:firstLine="422" w:firstLineChars="200"/>
              <w:rPr>
                <w:rFonts w:hint="default" w:ascii="宋体" w:hAnsi="宋体" w:eastAsia="宋体" w:cs="宋体"/>
                <w:color w:val="auto"/>
                <w:kern w:val="2"/>
                <w:sz w:val="21"/>
                <w:szCs w:val="21"/>
                <w:lang w:val="en-US" w:eastAsia="zh-CN" w:bidi="ar-SA"/>
              </w:rPr>
            </w:pPr>
            <w:r>
              <w:rPr>
                <w:rFonts w:hint="eastAsia" w:ascii="宋体" w:hAnsi="宋体" w:eastAsia="宋体" w:cstheme="minorBidi"/>
                <w:b/>
                <w:bCs/>
                <w:kern w:val="2"/>
                <w:sz w:val="21"/>
                <w:szCs w:val="21"/>
                <w:lang w:val="en-US" w:eastAsia="zh-CN" w:bidi="ar-SA"/>
              </w:rPr>
              <w:t>场地测试所发生的一切费用均由中标人承担(并入投标报价内)。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jc w:val="center"/>
              <w:rPr>
                <w:color w:val="auto"/>
                <w:sz w:val="21"/>
                <w:szCs w:val="21"/>
              </w:rPr>
            </w:pPr>
            <w:r>
              <w:rPr>
                <w:color w:val="auto"/>
                <w:sz w:val="21"/>
                <w:szCs w:val="21"/>
              </w:rPr>
              <w:t>2</w:t>
            </w:r>
          </w:p>
        </w:tc>
        <w:tc>
          <w:tcPr>
            <w:tcW w:w="1527" w:type="dxa"/>
            <w:vAlign w:val="center"/>
          </w:tcPr>
          <w:p>
            <w:pPr>
              <w:jc w:val="center"/>
              <w:rPr>
                <w:color w:val="auto"/>
                <w:sz w:val="21"/>
                <w:szCs w:val="21"/>
              </w:rPr>
            </w:pPr>
            <w:r>
              <w:rPr>
                <w:rFonts w:hint="eastAsia"/>
                <w:color w:val="auto"/>
                <w:sz w:val="21"/>
                <w:szCs w:val="21"/>
              </w:rPr>
              <w:t>项目验收安排</w:t>
            </w:r>
          </w:p>
        </w:tc>
        <w:tc>
          <w:tcPr>
            <w:tcW w:w="938" w:type="dxa"/>
            <w:vAlign w:val="center"/>
          </w:tcPr>
          <w:p>
            <w:pPr>
              <w:jc w:val="center"/>
              <w:rPr>
                <w:color w:val="auto"/>
                <w:sz w:val="21"/>
                <w:szCs w:val="21"/>
              </w:rPr>
            </w:pPr>
            <w:r>
              <w:rPr>
                <w:rFonts w:hint="eastAsia"/>
                <w:color w:val="auto"/>
                <w:sz w:val="21"/>
                <w:szCs w:val="21"/>
              </w:rPr>
              <w:t>#</w:t>
            </w:r>
          </w:p>
        </w:tc>
        <w:tc>
          <w:tcPr>
            <w:tcW w:w="5491" w:type="dxa"/>
          </w:tcPr>
          <w:p>
            <w:pPr>
              <w:spacing w:line="360" w:lineRule="exact"/>
              <w:ind w:firstLine="422" w:firstLineChars="200"/>
              <w:jc w:val="left"/>
              <w:rPr>
                <w:rFonts w:hint="eastAsia" w:ascii="宋体" w:hAnsi="宋体" w:eastAsia="宋体" w:cstheme="minorBidi"/>
                <w:b/>
                <w:bCs/>
                <w:kern w:val="2"/>
                <w:sz w:val="21"/>
                <w:szCs w:val="21"/>
                <w:lang w:val="en-US" w:eastAsia="zh-CN" w:bidi="ar-SA"/>
              </w:rPr>
            </w:pPr>
            <w:r>
              <w:rPr>
                <w:rFonts w:hint="eastAsia" w:ascii="宋体" w:hAnsi="宋体" w:eastAsia="宋体" w:cstheme="minorBidi"/>
                <w:b/>
                <w:bCs/>
                <w:kern w:val="2"/>
                <w:sz w:val="21"/>
                <w:szCs w:val="21"/>
                <w:lang w:val="en-US" w:eastAsia="zh-CN" w:bidi="ar-SA"/>
              </w:rPr>
              <w:t>1．到货检验</w:t>
            </w:r>
          </w:p>
          <w:p>
            <w:pPr>
              <w:spacing w:line="360" w:lineRule="exact"/>
              <w:ind w:firstLine="420" w:firstLineChars="200"/>
              <w:jc w:val="left"/>
              <w:rPr>
                <w:rFonts w:hint="eastAsia" w:ascii="宋体" w:hAnsi="宋体" w:eastAsia="宋体" w:cstheme="minorBidi"/>
                <w:kern w:val="2"/>
                <w:sz w:val="21"/>
                <w:szCs w:val="21"/>
                <w:lang w:val="en-US" w:eastAsia="zh-CN" w:bidi="ar-SA"/>
              </w:rPr>
            </w:pPr>
            <w:r>
              <w:rPr>
                <w:rFonts w:hint="eastAsia" w:ascii="宋体" w:hAnsi="宋体" w:eastAsia="宋体" w:cstheme="minorBidi"/>
                <w:kern w:val="2"/>
                <w:sz w:val="21"/>
                <w:szCs w:val="21"/>
                <w:lang w:val="en-US" w:eastAsia="zh-CN" w:bidi="ar-SA"/>
              </w:rPr>
              <w:t>(1)中标人在产品出厂前，应按产品技术标准规定的检验项目和检验方法进行全面检验，中标人应随同货物出具产地证书、出厂检验报告和产品质量合格证等。同时需要第三方计量机构鉴定报告。</w:t>
            </w:r>
          </w:p>
          <w:p>
            <w:pPr>
              <w:spacing w:line="360" w:lineRule="exact"/>
              <w:ind w:firstLine="420" w:firstLineChars="200"/>
              <w:jc w:val="left"/>
              <w:rPr>
                <w:rFonts w:hint="eastAsia" w:ascii="宋体" w:hAnsi="宋体" w:eastAsia="宋体" w:cstheme="minorBidi"/>
                <w:kern w:val="2"/>
                <w:sz w:val="21"/>
                <w:szCs w:val="21"/>
                <w:lang w:val="en-US" w:eastAsia="zh-CN" w:bidi="ar-SA"/>
              </w:rPr>
            </w:pPr>
            <w:r>
              <w:rPr>
                <w:rFonts w:hint="eastAsia" w:ascii="宋体" w:hAnsi="宋体" w:eastAsia="宋体" w:cstheme="minorBidi"/>
                <w:kern w:val="2"/>
                <w:sz w:val="21"/>
                <w:szCs w:val="21"/>
                <w:lang w:val="en-US" w:eastAsia="zh-CN" w:bidi="ar-SA"/>
              </w:rPr>
              <w:t>（2）中标人自检，要求中标人对所有货物的性能进行自检，检验结果必须符合招标文件技术要求以及合同中相关条款，并向采购人提供自检记录。</w:t>
            </w:r>
          </w:p>
          <w:p>
            <w:pPr>
              <w:spacing w:line="360" w:lineRule="exact"/>
              <w:ind w:firstLine="420" w:firstLineChars="200"/>
              <w:jc w:val="left"/>
              <w:rPr>
                <w:rFonts w:hint="eastAsia" w:ascii="宋体" w:hAnsi="宋体" w:eastAsia="宋体" w:cstheme="minorBidi"/>
                <w:kern w:val="2"/>
                <w:sz w:val="21"/>
                <w:szCs w:val="21"/>
                <w:lang w:val="en-US" w:eastAsia="zh-CN" w:bidi="ar-SA"/>
              </w:rPr>
            </w:pPr>
            <w:r>
              <w:rPr>
                <w:rFonts w:hint="eastAsia" w:ascii="宋体" w:hAnsi="宋体" w:eastAsia="宋体" w:cstheme="minorBidi"/>
                <w:kern w:val="2"/>
                <w:sz w:val="21"/>
                <w:szCs w:val="21"/>
                <w:lang w:val="en-US" w:eastAsia="zh-CN" w:bidi="ar-SA"/>
              </w:rPr>
              <w:t>（3）开箱检验，中标人与采购人按招标文件以及合同相关条款要求一同对货物进行验收，验收结果应符合采购人使用要求。若发现未符合招标文件及合同相关条款要求，需立即进行整改。</w:t>
            </w:r>
          </w:p>
          <w:p>
            <w:pPr>
              <w:spacing w:line="360" w:lineRule="exact"/>
              <w:ind w:firstLine="420" w:firstLineChars="200"/>
              <w:jc w:val="both"/>
              <w:rPr>
                <w:rFonts w:hint="eastAsia" w:ascii="宋体" w:hAnsi="宋体" w:eastAsia="宋体" w:cstheme="minorBidi"/>
                <w:kern w:val="2"/>
                <w:sz w:val="21"/>
                <w:szCs w:val="21"/>
                <w:lang w:val="en-US" w:eastAsia="zh-CN" w:bidi="ar-SA"/>
              </w:rPr>
            </w:pPr>
            <w:r>
              <w:rPr>
                <w:rFonts w:hint="eastAsia" w:ascii="宋体" w:hAnsi="宋体" w:eastAsia="宋体" w:cstheme="minorBidi"/>
                <w:kern w:val="2"/>
                <w:sz w:val="21"/>
                <w:szCs w:val="21"/>
                <w:lang w:val="en-US" w:eastAsia="zh-CN" w:bidi="ar-SA"/>
              </w:rPr>
              <w:t>（4）测试验收，中标人应按采购人要求对</w:t>
            </w:r>
            <w:r>
              <w:rPr>
                <w:rFonts w:hint="eastAsia" w:ascii="宋体" w:hAnsi="宋体" w:eastAsia="宋体" w:cs="Times New Roman"/>
                <w:sz w:val="21"/>
                <w:szCs w:val="21"/>
                <w:lang w:val="en-US" w:eastAsia="zh-CN"/>
              </w:rPr>
              <w:t>本次采购的货物进行测试，用以检验仪器的性能，并出具相关的测试报告，完成测试验收。</w:t>
            </w:r>
          </w:p>
          <w:p>
            <w:pPr>
              <w:ind w:firstLine="422" w:firstLineChars="200"/>
              <w:rPr>
                <w:rFonts w:hint="eastAsia" w:ascii="宋体" w:hAnsi="宋体" w:eastAsia="宋体" w:cstheme="minorBidi"/>
                <w:b/>
                <w:bCs/>
                <w:kern w:val="2"/>
                <w:sz w:val="21"/>
                <w:szCs w:val="21"/>
                <w:lang w:val="en-US" w:eastAsia="zh-CN" w:bidi="ar-SA"/>
              </w:rPr>
            </w:pPr>
            <w:r>
              <w:rPr>
                <w:rFonts w:hint="eastAsia" w:ascii="宋体" w:hAnsi="宋体" w:eastAsia="宋体" w:cstheme="minorBidi"/>
                <w:b/>
                <w:bCs/>
                <w:kern w:val="2"/>
                <w:sz w:val="21"/>
                <w:szCs w:val="21"/>
                <w:lang w:val="en-US" w:eastAsia="zh-CN" w:bidi="ar-SA"/>
              </w:rPr>
              <w:t>2.验收费用</w:t>
            </w:r>
          </w:p>
          <w:p>
            <w:pPr>
              <w:ind w:firstLine="420" w:firstLineChars="200"/>
              <w:rPr>
                <w:color w:val="auto"/>
                <w:sz w:val="21"/>
                <w:szCs w:val="21"/>
              </w:rPr>
            </w:pPr>
            <w:r>
              <w:rPr>
                <w:rFonts w:hint="eastAsia" w:ascii="宋体" w:hAnsi="宋体" w:eastAsia="宋体" w:cstheme="minorBidi"/>
                <w:b w:val="0"/>
                <w:bCs w:val="0"/>
                <w:kern w:val="2"/>
                <w:sz w:val="21"/>
                <w:szCs w:val="21"/>
                <w:lang w:val="en-US" w:eastAsia="zh-CN" w:bidi="ar-SA"/>
              </w:rPr>
              <w:t>验收所发生的一切费用均由中标人承担(并入投标报价内)。</w:t>
            </w:r>
          </w:p>
        </w:tc>
      </w:tr>
    </w:tbl>
    <w:p>
      <w:pPr>
        <w:pStyle w:val="10"/>
        <w:pageBreakBefore w:val="0"/>
        <w:kinsoku/>
        <w:wordWrap/>
        <w:overflowPunct/>
        <w:topLinePunct w:val="0"/>
        <w:autoSpaceDE/>
        <w:autoSpaceDN/>
        <w:bidi w:val="0"/>
        <w:adjustRightInd/>
        <w:snapToGrid/>
        <w:jc w:val="left"/>
        <w:textAlignment w:val="auto"/>
        <w:outlineLvl w:val="2"/>
        <w:rPr>
          <w:rFonts w:hint="eastAsia"/>
          <w:color w:val="auto"/>
          <w:sz w:val="21"/>
          <w:szCs w:val="21"/>
        </w:rPr>
      </w:pPr>
    </w:p>
    <w:p>
      <w:pPr>
        <w:pStyle w:val="3"/>
        <w:numPr>
          <w:ilvl w:val="0"/>
          <w:numId w:val="0"/>
        </w:numPr>
        <w:rPr>
          <w:rFonts w:hint="eastAsia"/>
          <w:b/>
          <w:bCs/>
          <w:color w:val="auto"/>
          <w:sz w:val="21"/>
          <w:szCs w:val="21"/>
          <w:lang w:val="en-US" w:eastAsia="zh-CN"/>
        </w:rPr>
      </w:pPr>
      <w:r>
        <w:rPr>
          <w:rFonts w:hint="eastAsia"/>
          <w:b/>
          <w:bCs/>
          <w:color w:val="auto"/>
          <w:sz w:val="21"/>
          <w:szCs w:val="21"/>
          <w:lang w:val="en-US" w:eastAsia="zh-CN"/>
        </w:rPr>
        <w:t>3.5.6对国产设备承诺的要求</w:t>
      </w:r>
    </w:p>
    <w:p>
      <w:pPr>
        <w:pStyle w:val="3"/>
        <w:numPr>
          <w:ilvl w:val="0"/>
          <w:numId w:val="0"/>
        </w:numPr>
        <w:ind w:firstLine="420" w:firstLineChars="200"/>
        <w:rPr>
          <w:rFonts w:hint="eastAsia"/>
          <w:b w:val="0"/>
          <w:bCs w:val="0"/>
          <w:color w:val="auto"/>
          <w:sz w:val="21"/>
          <w:szCs w:val="21"/>
          <w:lang w:val="en-US" w:eastAsia="zh-CN"/>
        </w:rPr>
      </w:pPr>
      <w:r>
        <w:rPr>
          <w:rFonts w:hint="eastAsia"/>
          <w:b w:val="0"/>
          <w:bCs w:val="0"/>
          <w:color w:val="auto"/>
          <w:sz w:val="21"/>
          <w:szCs w:val="21"/>
          <w:lang w:val="en-US" w:eastAsia="zh-CN"/>
        </w:rPr>
        <w:t>本项目</w:t>
      </w:r>
      <w:r>
        <w:rPr>
          <w:rFonts w:hint="eastAsia"/>
          <w:b w:val="0"/>
          <w:bCs w:val="0"/>
          <w:color w:val="auto"/>
          <w:sz w:val="21"/>
          <w:szCs w:val="21"/>
        </w:rPr>
        <w:t>未特别标注为“进口产品”字样，均必须采购国产产品。所采购的货物、服务必须符合国家强制性标准。</w:t>
      </w:r>
      <w:r>
        <w:rPr>
          <w:rFonts w:hint="eastAsia"/>
          <w:b w:val="0"/>
          <w:bCs w:val="0"/>
          <w:color w:val="auto"/>
          <w:sz w:val="21"/>
          <w:szCs w:val="21"/>
          <w:lang w:val="en-US" w:eastAsia="zh-CN"/>
        </w:rPr>
        <w:t>投标人须提供国产设备承诺函。</w:t>
      </w:r>
    </w:p>
    <w:p>
      <w:pPr>
        <w:rPr>
          <w:rFonts w:hint="default"/>
          <w:lang w:val="en-US" w:eastAsia="zh-CN"/>
        </w:rPr>
      </w:pPr>
    </w:p>
    <w:p>
      <w:pPr>
        <w:pStyle w:val="3"/>
        <w:numPr>
          <w:ilvl w:val="0"/>
          <w:numId w:val="0"/>
        </w:numPr>
        <w:rPr>
          <w:rFonts w:hint="eastAsia" w:cstheme="minorBidi"/>
          <w:b/>
          <w:kern w:val="0"/>
          <w:sz w:val="21"/>
          <w:szCs w:val="16"/>
          <w:lang w:val="en-US" w:eastAsia="zh-CN" w:bidi="ar-SA"/>
        </w:rPr>
      </w:pPr>
      <w:r>
        <w:rPr>
          <w:rFonts w:hint="eastAsia" w:cstheme="minorBidi"/>
          <w:b/>
          <w:kern w:val="0"/>
          <w:sz w:val="21"/>
          <w:szCs w:val="16"/>
          <w:lang w:val="en-US" w:eastAsia="zh-CN" w:bidi="ar-SA"/>
        </w:rPr>
        <w:t>3.5.7投标报价要求</w:t>
      </w:r>
    </w:p>
    <w:p>
      <w:r>
        <w:rPr>
          <w:rFonts w:hint="default" w:ascii="宋体" w:hAnsi="宋体" w:eastAsia="宋体"/>
          <w:sz w:val="21"/>
          <w:szCs w:val="21"/>
          <w:lang w:val="en-US" w:eastAsia="zh-CN"/>
        </w:rPr>
        <w:t>投标人的采购包投标报价不得允许超过最高限价，且标的报价不允许超过标的单价，否则其投标文件将按无效处理。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D5897F"/>
    <w:multiLevelType w:val="singleLevel"/>
    <w:tmpl w:val="09D5897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2Y2NjMTA2OGY2YzgxNDNlNTNhZjEzMjRhOTZiNTEifQ=="/>
  </w:docVars>
  <w:rsids>
    <w:rsidRoot w:val="4EF624B3"/>
    <w:rsid w:val="4EF624B3"/>
    <w:rsid w:val="57FE5F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9"/>
    <w:basedOn w:val="1"/>
    <w:next w:val="1"/>
    <w:unhideWhenUsed/>
    <w:qFormat/>
    <w:uiPriority w:val="0"/>
    <w:pPr>
      <w:keepNext/>
      <w:keepLines/>
      <w:spacing w:before="200"/>
      <w:ind w:firstLine="420" w:firstLineChars="200"/>
      <w:jc w:val="left"/>
      <w:outlineLvl w:val="8"/>
    </w:pPr>
    <w:rPr>
      <w:rFonts w:ascii="Calibri" w:hAnsi="Calibri" w:eastAsia="宋体" w:cs="Arial"/>
      <w:i/>
      <w:iCs/>
      <w:color w:val="404040"/>
      <w:szCs w:val="24"/>
    </w:rPr>
  </w:style>
  <w:style w:type="character" w:default="1" w:styleId="9">
    <w:name w:val="Default Paragraph Font"/>
    <w:semiHidden/>
    <w:uiPriority w:val="0"/>
  </w:style>
  <w:style w:type="table" w:default="1" w:styleId="8">
    <w:name w:val="Normal Table"/>
    <w:autoRedefine/>
    <w:semiHidden/>
    <w:uiPriority w:val="0"/>
    <w:tblPr>
      <w:tblCellMar>
        <w:top w:w="0" w:type="dxa"/>
        <w:left w:w="108" w:type="dxa"/>
        <w:bottom w:w="0" w:type="dxa"/>
        <w:right w:w="108" w:type="dxa"/>
      </w:tblCellMar>
    </w:tblPr>
  </w:style>
  <w:style w:type="paragraph" w:styleId="3">
    <w:name w:val="index 5"/>
    <w:basedOn w:val="1"/>
    <w:next w:val="1"/>
    <w:qFormat/>
    <w:uiPriority w:val="0"/>
    <w:pPr>
      <w:ind w:left="218" w:hanging="218" w:hangingChars="104"/>
      <w:jc w:val="left"/>
    </w:pPr>
    <w:rPr>
      <w:szCs w:val="24"/>
    </w:rPr>
  </w:style>
  <w:style w:type="paragraph" w:styleId="4">
    <w:name w:val="Body Text"/>
    <w:basedOn w:val="1"/>
    <w:next w:val="1"/>
    <w:autoRedefine/>
    <w:semiHidden/>
    <w:qFormat/>
    <w:uiPriority w:val="0"/>
    <w:pPr>
      <w:widowControl/>
      <w:kinsoku w:val="0"/>
      <w:autoSpaceDE w:val="0"/>
      <w:autoSpaceDN w:val="0"/>
      <w:adjustRightInd w:val="0"/>
      <w:snapToGrid w:val="0"/>
      <w:jc w:val="left"/>
      <w:textAlignment w:val="baseline"/>
    </w:pPr>
    <w:rPr>
      <w:rFonts w:ascii="Arial" w:hAnsi="Arial" w:eastAsia="Arial" w:cs="Arial"/>
      <w:snapToGrid w:val="0"/>
      <w:color w:val="000000"/>
      <w:kern w:val="0"/>
      <w:szCs w:val="21"/>
      <w:lang w:eastAsia="en-US"/>
    </w:rPr>
  </w:style>
  <w:style w:type="paragraph" w:styleId="5">
    <w:name w:val="Body Text Indent"/>
    <w:basedOn w:val="1"/>
    <w:next w:val="1"/>
    <w:autoRedefine/>
    <w:qFormat/>
    <w:uiPriority w:val="0"/>
    <w:pPr>
      <w:ind w:firstLine="360"/>
    </w:pPr>
    <w:rPr>
      <w:rFonts w:hAnsi="Calibri" w:eastAsia="宋体" w:cs="Times New Roman"/>
      <w:sz w:val="24"/>
    </w:rPr>
  </w:style>
  <w:style w:type="paragraph" w:styleId="6">
    <w:name w:val="Body Text First Indent"/>
    <w:basedOn w:val="4"/>
    <w:next w:val="1"/>
    <w:autoRedefine/>
    <w:unhideWhenUsed/>
    <w:qFormat/>
    <w:uiPriority w:val="0"/>
    <w:pPr>
      <w:ind w:firstLine="100" w:firstLineChars="100"/>
    </w:pPr>
  </w:style>
  <w:style w:type="paragraph" w:styleId="7">
    <w:name w:val="Body Text First Indent 2"/>
    <w:basedOn w:val="5"/>
    <w:next w:val="6"/>
    <w:qFormat/>
    <w:uiPriority w:val="0"/>
    <w:pPr>
      <w:spacing w:line="360" w:lineRule="auto"/>
      <w:ind w:firstLine="0"/>
      <w:jc w:val="left"/>
    </w:pPr>
    <w:rPr>
      <w:rFonts w:ascii="华文仿宋" w:hAnsi="华文仿宋" w:eastAsia="华文仿宋"/>
      <w:kern w:val="0"/>
      <w:sz w:val="28"/>
      <w:szCs w:val="28"/>
    </w:rPr>
  </w:style>
  <w:style w:type="paragraph" w:customStyle="1" w:styleId="10">
    <w:name w:val="null3"/>
    <w:autoRedefine/>
    <w:hidden/>
    <w:qFormat/>
    <w:uiPriority w:val="0"/>
    <w:rPr>
      <w:rFonts w:hint="eastAsia" w:asciiTheme="minorHAnsi" w:hAnsiTheme="minorHAnsi" w:eastAsiaTheme="minorEastAsia" w:cstheme="minorBidi"/>
      <w:lang w:val="en-US" w:eastAsia="zh-Hans"/>
    </w:rPr>
  </w:style>
  <w:style w:type="paragraph" w:customStyle="1" w:styleId="11">
    <w:name w:val="无间隔1"/>
    <w:autoRedefine/>
    <w:qFormat/>
    <w:uiPriority w:val="0"/>
    <w:pPr>
      <w:widowControl w:val="0"/>
      <w:ind w:firstLine="200" w:firstLineChars="200"/>
      <w:jc w:val="both"/>
    </w:pPr>
    <w:rPr>
      <w:rFonts w:ascii="Times New Roman" w:hAnsi="Times New Roman" w:eastAsia="仿宋_GB2312" w:cs="Times New Roman"/>
      <w:kern w:val="2"/>
      <w:sz w:val="22"/>
      <w:lang w:val="en-US" w:eastAsia="zh-CN" w:bidi="ar-SA"/>
    </w:rPr>
  </w:style>
  <w:style w:type="paragraph" w:styleId="12">
    <w:name w:val="List Paragraph"/>
    <w:basedOn w:val="1"/>
    <w:autoRedefine/>
    <w:qFormat/>
    <w:uiPriority w:val="34"/>
    <w:pPr>
      <w:ind w:firstLine="420" w:firstLineChars="200"/>
    </w:pPr>
  </w:style>
  <w:style w:type="character" w:customStyle="1" w:styleId="13">
    <w:name w:val="fontstyle01"/>
    <w:basedOn w:val="9"/>
    <w:autoRedefine/>
    <w:qFormat/>
    <w:uiPriority w:val="0"/>
    <w:rPr>
      <w:rFonts w:hint="eastAsia" w:ascii="宋体" w:hAnsi="宋体" w:eastAsia="宋体"/>
      <w:color w:val="000000"/>
      <w:sz w:val="24"/>
      <w:szCs w:val="24"/>
    </w:rPr>
  </w:style>
  <w:style w:type="paragraph" w:customStyle="1" w:styleId="14">
    <w:name w:val="List Paragraph1"/>
    <w:basedOn w:val="1"/>
    <w:autoRedefine/>
    <w:qFormat/>
    <w:uiPriority w:val="0"/>
    <w:pPr>
      <w:ind w:firstLine="420" w:firstLineChars="200"/>
    </w:pPr>
    <w:rPr>
      <w:rFonts w:ascii="等线" w:hAnsi="等线" w:eastAsia="等线" w:cs="Times New Roman"/>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2</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2024-05-10T11:54:00Z</dcterms:created>
  <dc:creator>vicky2526</dc:creator>
  <cp:lastModifiedBy>vicky2526</cp:lastModifiedBy>
  <dcterms:modified xsi:type="dcterms:W3CDTF">2024-05-10T11:58:21Z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D7665EA20D984A4397825FE99562E50C_11</vt:lpwstr>
  </property>
</Properties>
</file>