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left"/>
        <w:outlineLvl w:val="2"/>
        <w:rPr>
          <w:rFonts w:hint="eastAsia" w:asciiTheme="minorHAnsi" w:hAnsiTheme="minorHAnsi" w:eastAsiaTheme="minorEastAsia" w:cstheme="minorBidi"/>
          <w:b/>
          <w:kern w:val="0"/>
          <w:sz w:val="24"/>
          <w:szCs w:val="20"/>
          <w:lang w:val="en-US" w:eastAsia="zh-CN"/>
        </w:rPr>
      </w:pPr>
      <w:r>
        <w:rPr>
          <w:b/>
          <w:sz w:val="28"/>
        </w:rPr>
        <w:t>3.5其他要求</w:t>
      </w:r>
    </w:p>
    <w:p>
      <w:pPr>
        <w:rPr>
          <w:rFonts w:hint="eastAsia" w:asciiTheme="minorHAnsi" w:hAnsiTheme="minorHAnsi" w:eastAsiaTheme="minorEastAsia" w:cstheme="minorBidi"/>
          <w:b/>
          <w:kern w:val="0"/>
          <w:sz w:val="24"/>
          <w:szCs w:val="20"/>
          <w:lang w:val="en-US" w:eastAsia="zh-Hans"/>
        </w:rPr>
      </w:pPr>
      <w:r>
        <w:rPr>
          <w:rFonts w:hint="eastAsia" w:asciiTheme="minorHAnsi" w:hAnsiTheme="minorHAnsi" w:eastAsiaTheme="minorEastAsia" w:cstheme="minorBidi"/>
          <w:b/>
          <w:kern w:val="0"/>
          <w:sz w:val="24"/>
          <w:szCs w:val="20"/>
          <w:lang w:val="en-US" w:eastAsia="zh-CN"/>
        </w:rPr>
        <w:t>3.5.1</w:t>
      </w:r>
      <w:r>
        <w:rPr>
          <w:rFonts w:hint="eastAsia" w:asciiTheme="minorHAnsi" w:hAnsiTheme="minorHAnsi" w:eastAsiaTheme="minorEastAsia" w:cstheme="minorBidi"/>
          <w:b/>
          <w:kern w:val="0"/>
          <w:sz w:val="24"/>
          <w:szCs w:val="20"/>
          <w:lang w:val="en-US" w:eastAsia="zh-Hans"/>
        </w:rPr>
        <w:t>项目概述</w:t>
      </w:r>
    </w:p>
    <w:tbl>
      <w:tblPr>
        <w:tblStyle w:val="7"/>
        <w:tblpPr w:leftFromText="180" w:rightFromText="180" w:vertAnchor="text" w:horzAnchor="page" w:tblpX="1957" w:tblpY="100"/>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305"/>
        <w:gridCol w:w="6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shd w:val="clear" w:color="auto" w:fill="A6A6A6"/>
            <w:vAlign w:val="center"/>
          </w:tcPr>
          <w:p>
            <w:pPr>
              <w:jc w:val="center"/>
              <w:rPr>
                <w:sz w:val="21"/>
                <w:szCs w:val="21"/>
              </w:rPr>
            </w:pPr>
            <w:r>
              <w:rPr>
                <w:rFonts w:hint="eastAsia"/>
                <w:sz w:val="21"/>
                <w:szCs w:val="21"/>
              </w:rPr>
              <w:t>序号</w:t>
            </w:r>
          </w:p>
        </w:tc>
        <w:tc>
          <w:tcPr>
            <w:tcW w:w="1305" w:type="dxa"/>
            <w:shd w:val="clear" w:color="auto" w:fill="A6A6A6"/>
            <w:vAlign w:val="center"/>
          </w:tcPr>
          <w:p>
            <w:pPr>
              <w:jc w:val="center"/>
              <w:rPr>
                <w:sz w:val="21"/>
                <w:szCs w:val="21"/>
              </w:rPr>
            </w:pPr>
            <w:r>
              <w:rPr>
                <w:rFonts w:hint="eastAsia"/>
                <w:sz w:val="21"/>
                <w:szCs w:val="21"/>
              </w:rPr>
              <w:t>内容</w:t>
            </w:r>
          </w:p>
        </w:tc>
        <w:tc>
          <w:tcPr>
            <w:tcW w:w="6825" w:type="dxa"/>
            <w:shd w:val="clear" w:color="auto" w:fill="A6A6A6"/>
          </w:tcPr>
          <w:p>
            <w:pPr>
              <w:jc w:val="center"/>
              <w:rPr>
                <w:sz w:val="21"/>
                <w:szCs w:val="21"/>
              </w:rPr>
            </w:pPr>
            <w:r>
              <w:rPr>
                <w:rFonts w:hint="eastAsia"/>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sz w:val="21"/>
                <w:szCs w:val="21"/>
              </w:rPr>
            </w:pPr>
            <w:r>
              <w:rPr>
                <w:rFonts w:hint="eastAsia"/>
                <w:sz w:val="21"/>
                <w:szCs w:val="21"/>
              </w:rPr>
              <w:t>1</w:t>
            </w:r>
          </w:p>
        </w:tc>
        <w:tc>
          <w:tcPr>
            <w:tcW w:w="1305" w:type="dxa"/>
            <w:vAlign w:val="center"/>
          </w:tcPr>
          <w:p>
            <w:pPr>
              <w:jc w:val="center"/>
              <w:rPr>
                <w:sz w:val="21"/>
                <w:szCs w:val="21"/>
              </w:rPr>
            </w:pPr>
            <w:r>
              <w:rPr>
                <w:rFonts w:hint="eastAsia"/>
                <w:sz w:val="21"/>
                <w:szCs w:val="21"/>
              </w:rPr>
              <w:t>项目目标</w:t>
            </w:r>
          </w:p>
        </w:tc>
        <w:tc>
          <w:tcPr>
            <w:tcW w:w="6825" w:type="dxa"/>
            <w:vAlign w:val="center"/>
          </w:tcPr>
          <w:p>
            <w:pPr>
              <w:ind w:firstLine="420" w:firstLineChars="200"/>
              <w:rPr>
                <w:rFonts w:hint="eastAsia" w:eastAsiaTheme="minorEastAsia"/>
                <w:color w:val="auto"/>
                <w:sz w:val="21"/>
                <w:szCs w:val="21"/>
                <w:lang w:eastAsia="zh-CN"/>
              </w:rPr>
            </w:pPr>
            <w:r>
              <w:rPr>
                <w:rFonts w:hint="eastAsia"/>
                <w:color w:val="auto"/>
                <w:sz w:val="21"/>
                <w:szCs w:val="21"/>
                <w:lang w:val="en-US" w:eastAsia="zh-CN" w:bidi="en-US"/>
              </w:rPr>
              <w:t>完成</w:t>
            </w:r>
            <w:r>
              <w:rPr>
                <w:rFonts w:hint="eastAsia" w:asciiTheme="minorHAnsi" w:hAnsiTheme="minorHAnsi" w:eastAsiaTheme="minorEastAsia" w:cstheme="minorBidi"/>
                <w:color w:val="auto"/>
                <w:kern w:val="2"/>
                <w:sz w:val="21"/>
                <w:szCs w:val="21"/>
                <w:lang w:val="en-US" w:eastAsia="zh-CN" w:bidi="en-US"/>
              </w:rPr>
              <w:t>1套量子（冷原子）绝对重力仪、1套激光干涉绝对重力仪</w:t>
            </w:r>
            <w:r>
              <w:rPr>
                <w:rFonts w:hint="eastAsia"/>
                <w:color w:val="auto"/>
                <w:sz w:val="21"/>
                <w:szCs w:val="21"/>
                <w:lang w:val="en-US" w:eastAsia="zh-CN" w:bidi="en-US"/>
              </w:rPr>
              <w:t>采购</w:t>
            </w:r>
            <w:r>
              <w:rPr>
                <w:rFonts w:hint="eastAsia"/>
                <w:color w:val="auto"/>
                <w:sz w:val="21"/>
                <w:szCs w:val="21"/>
                <w:lang w:bidi="en-US"/>
              </w:rPr>
              <w:t>，全面提升陕西省地震监测基础能力，提升地震观测的智能化、技术装备的现代化水平。全面推进陕西防震减灾事业高质量发展，以更高水平地震安全为陕西经济社会高质量发展保驾护航</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sz w:val="21"/>
                <w:szCs w:val="21"/>
              </w:rPr>
            </w:pPr>
            <w:r>
              <w:rPr>
                <w:rFonts w:hint="eastAsia"/>
                <w:sz w:val="21"/>
                <w:szCs w:val="21"/>
              </w:rPr>
              <w:t>2</w:t>
            </w:r>
          </w:p>
        </w:tc>
        <w:tc>
          <w:tcPr>
            <w:tcW w:w="1305" w:type="dxa"/>
            <w:vAlign w:val="center"/>
          </w:tcPr>
          <w:p>
            <w:pPr>
              <w:jc w:val="center"/>
              <w:rPr>
                <w:sz w:val="21"/>
                <w:szCs w:val="21"/>
              </w:rPr>
            </w:pPr>
            <w:r>
              <w:rPr>
                <w:rFonts w:hint="eastAsia"/>
                <w:sz w:val="21"/>
                <w:szCs w:val="21"/>
              </w:rPr>
              <w:t>项目内容</w:t>
            </w:r>
          </w:p>
        </w:tc>
        <w:tc>
          <w:tcPr>
            <w:tcW w:w="6825" w:type="dxa"/>
            <w:vAlign w:val="center"/>
          </w:tcPr>
          <w:p>
            <w:pPr>
              <w:pStyle w:val="9"/>
              <w:spacing w:line="240" w:lineRule="auto"/>
              <w:ind w:firstLine="420" w:firstLineChars="200"/>
              <w:rPr>
                <w:rFonts w:hint="eastAsia" w:asciiTheme="minorHAnsi" w:hAnsiTheme="minorHAnsi" w:eastAsiaTheme="minorEastAsia" w:cstheme="minorBidi"/>
                <w:color w:val="auto"/>
                <w:kern w:val="2"/>
                <w:sz w:val="21"/>
                <w:szCs w:val="21"/>
                <w:lang w:val="en-US" w:eastAsia="zh-CN" w:bidi="en-US"/>
              </w:rPr>
            </w:pPr>
            <w:r>
              <w:rPr>
                <w:rFonts w:hint="eastAsia" w:asciiTheme="minorHAnsi" w:hAnsiTheme="minorHAnsi" w:eastAsiaTheme="minorEastAsia" w:cstheme="minorBidi"/>
                <w:color w:val="auto"/>
                <w:sz w:val="21"/>
                <w:szCs w:val="21"/>
                <w:lang w:bidi="en-US"/>
              </w:rPr>
              <w:t>采购</w:t>
            </w:r>
            <w:r>
              <w:rPr>
                <w:rFonts w:hint="eastAsia" w:asciiTheme="minorHAnsi" w:hAnsiTheme="minorHAnsi" w:eastAsiaTheme="minorEastAsia" w:cstheme="minorBidi"/>
                <w:color w:val="auto"/>
                <w:kern w:val="2"/>
                <w:sz w:val="21"/>
                <w:szCs w:val="21"/>
                <w:lang w:val="en-US" w:eastAsia="zh-CN" w:bidi="en-US"/>
              </w:rPr>
              <w:t>量子（冷原子）绝对重力仪1套、激光干涉绝对重力仪1套及重力仪的对比测试，绝对重力仪须提供出厂合格证、省级以上法定计量机构或地震系统相关测试机构出具的检定/校准/测试报告。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sz w:val="21"/>
                <w:szCs w:val="21"/>
              </w:rPr>
            </w:pPr>
            <w:r>
              <w:rPr>
                <w:rFonts w:hint="eastAsia"/>
                <w:sz w:val="21"/>
                <w:szCs w:val="21"/>
              </w:rPr>
              <w:t>3</w:t>
            </w:r>
          </w:p>
        </w:tc>
        <w:tc>
          <w:tcPr>
            <w:tcW w:w="1305" w:type="dxa"/>
            <w:vAlign w:val="center"/>
          </w:tcPr>
          <w:p>
            <w:pPr>
              <w:jc w:val="center"/>
              <w:rPr>
                <w:sz w:val="21"/>
                <w:szCs w:val="21"/>
              </w:rPr>
            </w:pPr>
            <w:r>
              <w:rPr>
                <w:rFonts w:hint="eastAsia"/>
                <w:sz w:val="21"/>
                <w:szCs w:val="21"/>
              </w:rPr>
              <w:t>项目范围</w:t>
            </w:r>
          </w:p>
        </w:tc>
        <w:tc>
          <w:tcPr>
            <w:tcW w:w="6825" w:type="dxa"/>
            <w:vAlign w:val="center"/>
          </w:tcPr>
          <w:p>
            <w:pPr>
              <w:spacing w:line="240" w:lineRule="auto"/>
              <w:ind w:firstLine="420" w:firstLineChars="200"/>
              <w:rPr>
                <w:rFonts w:hint="default" w:ascii="Calibri" w:hAnsi="Calibri" w:eastAsia="宋体" w:cs="Times New Roman"/>
                <w:color w:val="000000"/>
                <w:kern w:val="2"/>
                <w:sz w:val="21"/>
                <w:szCs w:val="21"/>
                <w:lang w:val="en-US" w:eastAsia="zh-CN" w:bidi="en-US"/>
              </w:rPr>
            </w:pPr>
            <w:r>
              <w:rPr>
                <w:rFonts w:hint="eastAsia"/>
                <w:color w:val="auto"/>
                <w:sz w:val="21"/>
                <w:szCs w:val="21"/>
                <w:lang w:bidi="en-US"/>
              </w:rPr>
              <w:t>完成</w:t>
            </w:r>
            <w:r>
              <w:rPr>
                <w:rFonts w:hint="eastAsia"/>
                <w:color w:val="auto"/>
                <w:sz w:val="21"/>
                <w:szCs w:val="21"/>
                <w:lang w:val="en-US" w:eastAsia="zh-CN" w:bidi="en-US"/>
              </w:rPr>
              <w:t>1套</w:t>
            </w:r>
            <w:r>
              <w:rPr>
                <w:rFonts w:hint="eastAsia" w:asciiTheme="minorHAnsi" w:hAnsiTheme="minorHAnsi" w:eastAsiaTheme="minorEastAsia" w:cstheme="minorBidi"/>
                <w:color w:val="auto"/>
                <w:kern w:val="2"/>
                <w:sz w:val="21"/>
                <w:szCs w:val="21"/>
                <w:lang w:val="en-US" w:eastAsia="zh-CN" w:bidi="en-US"/>
              </w:rPr>
              <w:t>量子（冷原子）绝对重力仪、1套激光干涉绝对重力仪</w:t>
            </w:r>
            <w:r>
              <w:rPr>
                <w:color w:val="auto"/>
                <w:sz w:val="21"/>
                <w:szCs w:val="21"/>
                <w:lang w:bidi="en-US"/>
              </w:rPr>
              <w:t>设备购置</w:t>
            </w:r>
            <w:r>
              <w:rPr>
                <w:rFonts w:hint="eastAsia"/>
                <w:color w:val="auto"/>
                <w:sz w:val="21"/>
                <w:szCs w:val="21"/>
                <w:lang w:eastAsia="zh-CN" w:bidi="en-US"/>
              </w:rPr>
              <w:t>、</w:t>
            </w:r>
            <w:r>
              <w:rPr>
                <w:color w:val="auto"/>
                <w:sz w:val="21"/>
                <w:szCs w:val="21"/>
                <w:lang w:bidi="en-US"/>
              </w:rPr>
              <w:t>安装调试</w:t>
            </w:r>
            <w:r>
              <w:rPr>
                <w:rFonts w:hint="eastAsia"/>
                <w:color w:val="auto"/>
                <w:sz w:val="21"/>
                <w:szCs w:val="21"/>
                <w:lang w:eastAsia="zh-CN" w:bidi="en-US"/>
              </w:rPr>
              <w:t>、</w:t>
            </w:r>
            <w:r>
              <w:rPr>
                <w:rFonts w:hint="eastAsia"/>
                <w:color w:val="auto"/>
                <w:sz w:val="21"/>
                <w:szCs w:val="21"/>
                <w:lang w:val="en-US" w:eastAsia="zh-CN" w:bidi="en-US"/>
              </w:rPr>
              <w:t>培训及测试</w:t>
            </w:r>
            <w:r>
              <w:rPr>
                <w:rFonts w:hint="eastAsia"/>
                <w:color w:val="auto"/>
                <w:sz w:val="21"/>
                <w:szCs w:val="21"/>
              </w:rPr>
              <w:t>。</w:t>
            </w:r>
            <w:r>
              <w:rPr>
                <w:rFonts w:hint="eastAsia" w:ascii="Calibri" w:hAnsi="Calibri" w:eastAsia="宋体" w:cs="Times New Roman"/>
                <w:color w:val="000000"/>
                <w:kern w:val="2"/>
                <w:sz w:val="21"/>
                <w:szCs w:val="21"/>
                <w:lang w:val="en-US" w:eastAsia="zh-CN" w:bidi="en-US"/>
              </w:rPr>
              <w:t>结合项目的建设目标和采购内容，该项目所涉及范围包含以下工作：</w:t>
            </w:r>
          </w:p>
          <w:p>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1.完成</w:t>
            </w:r>
            <w:r>
              <w:rPr>
                <w:rFonts w:hint="eastAsia"/>
                <w:color w:val="auto"/>
                <w:sz w:val="21"/>
                <w:szCs w:val="21"/>
                <w:lang w:val="en-US" w:eastAsia="zh-CN" w:bidi="en-US"/>
              </w:rPr>
              <w:t>1</w:t>
            </w:r>
            <w:r>
              <w:rPr>
                <w:rFonts w:hint="eastAsia" w:asciiTheme="minorHAnsi" w:hAnsiTheme="minorHAnsi" w:eastAsiaTheme="minorEastAsia" w:cstheme="minorBidi"/>
                <w:color w:val="auto"/>
                <w:kern w:val="2"/>
                <w:sz w:val="21"/>
                <w:szCs w:val="21"/>
                <w:lang w:val="en-US" w:eastAsia="zh-CN" w:bidi="en-US"/>
              </w:rPr>
              <w:t>套量子（冷原子）绝对重力仪、1套激光干涉绝对重力仪</w:t>
            </w:r>
            <w:r>
              <w:rPr>
                <w:rFonts w:hint="eastAsia" w:ascii="Calibri" w:hAnsi="Calibri" w:eastAsia="宋体" w:cs="Times New Roman"/>
                <w:color w:val="000000"/>
                <w:kern w:val="2"/>
                <w:sz w:val="21"/>
                <w:szCs w:val="21"/>
                <w:lang w:val="en-US" w:eastAsia="zh-CN" w:bidi="en-US"/>
              </w:rPr>
              <w:t>设备采购（包括仪器的出厂检测报告，第三方计量机构鉴定报告等相关资料）。</w:t>
            </w:r>
          </w:p>
          <w:p>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2.完成采购涉及的所有设备、配件、耗材等的供货，现场验收、仪器测试、资产入库、竣工验收等工作。</w:t>
            </w:r>
          </w:p>
          <w:p>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3.向采购人提供相关设备的现场培训、操作指导、技术支持等服务。</w:t>
            </w:r>
          </w:p>
          <w:p>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4.向采购人提供维护服务：质量保证期内，若所提供的产品出现质量问题，供货商及时响应，负责免费退换或修理，质量保证期结束后的维修，只收取工本及耗材费。</w:t>
            </w:r>
          </w:p>
          <w:p>
            <w:pPr>
              <w:spacing w:line="240" w:lineRule="auto"/>
              <w:ind w:firstLine="420" w:firstLineChars="200"/>
              <w:rPr>
                <w:rFonts w:hint="default" w:ascii="Calibri" w:hAnsi="Calibri" w:eastAsia="宋体" w:cs="Times New Roman"/>
                <w:color w:val="000000"/>
                <w:kern w:val="2"/>
                <w:sz w:val="21"/>
                <w:szCs w:val="21"/>
                <w:lang w:val="en-US" w:eastAsia="zh-CN" w:bidi="en-US"/>
              </w:rPr>
            </w:pPr>
            <w:r>
              <w:rPr>
                <w:rFonts w:hint="eastAsia" w:ascii="Calibri" w:hAnsi="Calibri" w:eastAsia="宋体" w:cs="Times New Roman"/>
                <w:color w:val="000000"/>
                <w:kern w:val="2"/>
                <w:sz w:val="21"/>
                <w:szCs w:val="21"/>
                <w:lang w:val="en-US" w:eastAsia="zh-CN" w:bidi="en-US"/>
              </w:rPr>
              <w:t>5.供应商提供软件、系统免费使用及升级服务，并及时处理其他相关情况。</w:t>
            </w:r>
          </w:p>
        </w:tc>
      </w:tr>
    </w:tbl>
    <w:p>
      <w:pPr>
        <w:rPr>
          <w:rFonts w:hint="eastAsia"/>
          <w:b/>
          <w:bCs/>
          <w:sz w:val="21"/>
          <w:szCs w:val="21"/>
          <w:lang w:val="en-US" w:eastAsia="zh-CN"/>
        </w:rPr>
      </w:pPr>
    </w:p>
    <w:p>
      <w:pPr>
        <w:rPr>
          <w:rFonts w:hint="eastAsia" w:asciiTheme="minorHAnsi" w:hAnsiTheme="minorHAnsi" w:eastAsiaTheme="minorEastAsia" w:cstheme="minorBidi"/>
          <w:b/>
          <w:kern w:val="0"/>
          <w:sz w:val="24"/>
          <w:szCs w:val="20"/>
          <w:lang w:val="en-US" w:eastAsia="zh-CN"/>
        </w:rPr>
      </w:pPr>
      <w:r>
        <w:rPr>
          <w:rFonts w:hint="eastAsia" w:asciiTheme="minorHAnsi" w:hAnsiTheme="minorHAnsi" w:eastAsiaTheme="minorEastAsia" w:cstheme="minorBidi"/>
          <w:b/>
          <w:kern w:val="0"/>
          <w:sz w:val="24"/>
          <w:szCs w:val="20"/>
          <w:lang w:val="en-US" w:eastAsia="zh-CN"/>
        </w:rPr>
        <w:t>3.5.2采购需求</w:t>
      </w:r>
    </w:p>
    <w:tbl>
      <w:tblPr>
        <w:tblStyle w:val="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305"/>
        <w:gridCol w:w="6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shd w:val="clear" w:color="auto" w:fill="A6A6A6"/>
            <w:vAlign w:val="center"/>
          </w:tcPr>
          <w:p>
            <w:pPr>
              <w:jc w:val="center"/>
              <w:rPr>
                <w:sz w:val="21"/>
                <w:szCs w:val="21"/>
              </w:rPr>
            </w:pPr>
            <w:r>
              <w:rPr>
                <w:rFonts w:hint="eastAsia"/>
                <w:sz w:val="21"/>
                <w:szCs w:val="21"/>
              </w:rPr>
              <w:t>序号</w:t>
            </w:r>
          </w:p>
        </w:tc>
        <w:tc>
          <w:tcPr>
            <w:tcW w:w="1305" w:type="dxa"/>
            <w:shd w:val="clear" w:color="auto" w:fill="A6A6A6"/>
            <w:vAlign w:val="center"/>
          </w:tcPr>
          <w:p>
            <w:pPr>
              <w:jc w:val="center"/>
              <w:rPr>
                <w:sz w:val="21"/>
                <w:szCs w:val="21"/>
              </w:rPr>
            </w:pPr>
            <w:r>
              <w:rPr>
                <w:rFonts w:hint="eastAsia"/>
                <w:sz w:val="21"/>
                <w:szCs w:val="21"/>
              </w:rPr>
              <w:t>内容</w:t>
            </w:r>
          </w:p>
        </w:tc>
        <w:tc>
          <w:tcPr>
            <w:tcW w:w="6825" w:type="dxa"/>
            <w:shd w:val="clear" w:color="auto" w:fill="A6A6A6"/>
          </w:tcPr>
          <w:p>
            <w:pPr>
              <w:jc w:val="center"/>
              <w:rPr>
                <w:sz w:val="21"/>
                <w:szCs w:val="21"/>
              </w:rPr>
            </w:pPr>
            <w:r>
              <w:rPr>
                <w:rFonts w:hint="eastAsia"/>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sz w:val="21"/>
                <w:szCs w:val="21"/>
              </w:rPr>
            </w:pPr>
            <w:r>
              <w:rPr>
                <w:rFonts w:hint="eastAsia"/>
                <w:sz w:val="21"/>
                <w:szCs w:val="21"/>
              </w:rPr>
              <w:t>1</w:t>
            </w:r>
          </w:p>
        </w:tc>
        <w:tc>
          <w:tcPr>
            <w:tcW w:w="1305" w:type="dxa"/>
            <w:vAlign w:val="center"/>
          </w:tcPr>
          <w:p>
            <w:pPr>
              <w:jc w:val="center"/>
              <w:rPr>
                <w:sz w:val="21"/>
                <w:szCs w:val="21"/>
              </w:rPr>
            </w:pPr>
            <w:r>
              <w:rPr>
                <w:rFonts w:hint="eastAsia"/>
                <w:sz w:val="21"/>
                <w:szCs w:val="21"/>
              </w:rPr>
              <w:t>技术需求</w:t>
            </w:r>
          </w:p>
        </w:tc>
        <w:tc>
          <w:tcPr>
            <w:tcW w:w="6825" w:type="dxa"/>
            <w:vAlign w:val="center"/>
          </w:tcPr>
          <w:p>
            <w:pPr>
              <w:keepNext w:val="0"/>
              <w:keepLines w:val="0"/>
              <w:pageBreakBefore w:val="0"/>
              <w:widowControl/>
              <w:numPr>
                <w:ilvl w:val="0"/>
                <w:numId w:val="0"/>
              </w:numPr>
              <w:tabs>
                <w:tab w:val="left" w:pos="3969"/>
              </w:tabs>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b/>
                <w:bCs/>
                <w:color w:val="000000" w:themeColor="text1"/>
                <w:shd w:val="clear" w:color="auto" w:fill="auto"/>
                <w:lang w:val="en-US" w:eastAsia="zh-CN" w:bidi="en-US"/>
                <w14:textFill>
                  <w14:solidFill>
                    <w14:schemeClr w14:val="tx1"/>
                  </w14:solidFill>
                </w14:textFill>
              </w:rPr>
              <w:t>1、量子（冷原子）绝对重力仪</w:t>
            </w:r>
            <w:r>
              <w:rPr>
                <w:rFonts w:hint="eastAsia"/>
                <w:b/>
                <w:bCs/>
                <w:color w:val="000000" w:themeColor="text1"/>
                <w:shd w:val="clear" w:color="auto" w:fill="auto"/>
                <w:lang w:bidi="en-US"/>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1.测程:≥6000×10</w:t>
            </w:r>
            <w:r>
              <w:rPr>
                <w:rFonts w:hint="eastAsia" w:ascii="宋体" w:hAnsi="宋体" w:eastAsia="宋体" w:cs="宋体"/>
                <w:color w:val="000000" w:themeColor="text1"/>
                <w:kern w:val="0"/>
                <w:sz w:val="21"/>
                <w:szCs w:val="21"/>
                <w:vertAlign w:val="superscript"/>
                <w14:textFill>
                  <w14:solidFill>
                    <w14:schemeClr w14:val="tx1"/>
                  </w14:solidFill>
                </w14:textFill>
              </w:rPr>
              <w:t>-5</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2.精度:</w:t>
            </w:r>
            <w:bookmarkStart w:id="0" w:name="OLE_LINK5"/>
            <w:r>
              <w:rPr>
                <w:rFonts w:hint="eastAsia" w:ascii="宋体" w:hAnsi="宋体" w:eastAsia="宋体" w:cs="宋体"/>
                <w:color w:val="000000" w:themeColor="text1"/>
                <w:kern w:val="0"/>
                <w:sz w:val="21"/>
                <w:szCs w:val="21"/>
                <w14:textFill>
                  <w14:solidFill>
                    <w14:schemeClr w14:val="tx1"/>
                  </w14:solidFill>
                </w14:textFill>
              </w:rPr>
              <w:t>≤</w:t>
            </w:r>
            <w:bookmarkEnd w:id="0"/>
            <w:r>
              <w:rPr>
                <w:rFonts w:hint="eastAsia" w:ascii="宋体" w:hAnsi="宋体" w:eastAsia="宋体" w:cs="宋体"/>
                <w:color w:val="000000" w:themeColor="text1"/>
                <w:kern w:val="0"/>
                <w:sz w:val="21"/>
                <w:szCs w:val="21"/>
                <w14:textFill>
                  <w14:solidFill>
                    <w14:schemeClr w14:val="tx1"/>
                  </w14:solidFill>
                </w14:textFill>
              </w:rPr>
              <w:t>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3.准确度:≤10×10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4.分辨力:</w:t>
            </w:r>
            <w:bookmarkStart w:id="1" w:name="OLE_LINK4"/>
            <w:r>
              <w:rPr>
                <w:rFonts w:hint="eastAsia" w:ascii="宋体" w:hAnsi="宋体" w:eastAsia="宋体" w:cs="宋体"/>
                <w:color w:val="000000" w:themeColor="text1"/>
                <w:kern w:val="0"/>
                <w:sz w:val="21"/>
                <w:szCs w:val="21"/>
                <w14:textFill>
                  <w14:solidFill>
                    <w14:schemeClr w14:val="tx1"/>
                  </w14:solidFill>
                </w14:textFill>
              </w:rPr>
              <w:t>≤</w:t>
            </w:r>
            <w:bookmarkEnd w:id="1"/>
            <w:r>
              <w:rPr>
                <w:rFonts w:hint="eastAsia" w:ascii="宋体" w:hAnsi="宋体" w:eastAsia="宋体" w:cs="宋体"/>
                <w:color w:val="000000" w:themeColor="text1"/>
                <w:kern w:val="0"/>
                <w:sz w:val="21"/>
                <w:szCs w:val="21"/>
                <w14:textFill>
                  <w14:solidFill>
                    <w14:schemeClr w14:val="tx1"/>
                  </w14:solidFill>
                </w14:textFill>
              </w:rPr>
              <w:t>1×10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5.重复性标准差:</w:t>
            </w:r>
            <w:bookmarkStart w:id="2" w:name="OLE_LINK10"/>
            <w:r>
              <w:rPr>
                <w:rFonts w:hint="eastAsia" w:ascii="宋体" w:hAnsi="宋体" w:eastAsia="宋体" w:cs="宋体"/>
                <w:color w:val="000000" w:themeColor="text1"/>
                <w:kern w:val="0"/>
                <w:sz w:val="21"/>
                <w:szCs w:val="21"/>
                <w14:textFill>
                  <w14:solidFill>
                    <w14:schemeClr w14:val="tx1"/>
                  </w14:solidFill>
                </w14:textFill>
              </w:rPr>
              <w:t>≤</w:t>
            </w:r>
            <w:bookmarkEnd w:id="2"/>
            <w:r>
              <w:rPr>
                <w:rFonts w:hint="eastAsia" w:ascii="宋体" w:hAnsi="宋体" w:eastAsia="宋体" w:cs="宋体"/>
                <w:color w:val="000000" w:themeColor="text1"/>
                <w:kern w:val="0"/>
                <w:sz w:val="21"/>
                <w:szCs w:val="21"/>
                <w14:textFill>
                  <w14:solidFill>
                    <w14:schemeClr w14:val="tx1"/>
                  </w14:solidFill>
                </w14:textFill>
              </w:rPr>
              <w:t>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6.具备长期连续重力测量能力</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7.接口要求：可以是RS232C、USB、CANBUS或TCP/IP协议接口中的任一种</w:t>
            </w:r>
            <w:r>
              <w:rPr>
                <w:rFonts w:hint="eastAsia" w:ascii="宋体" w:hAnsi="宋体" w:cs="宋体"/>
                <w:color w:val="000000" w:themeColor="text1"/>
                <w:kern w:val="0"/>
                <w:sz w:val="21"/>
                <w:szCs w:val="21"/>
                <w:lang w:val="en-US" w:eastAsia="zh-CN"/>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.仪器工作温度范围：20℃</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3</w:t>
            </w:r>
            <w:r>
              <w:rPr>
                <w:rFonts w:hint="eastAsia" w:ascii="宋体" w:hAnsi="宋体" w:eastAsia="宋体" w:cs="宋体"/>
                <w:color w:val="000000" w:themeColor="text1"/>
                <w:kern w:val="0"/>
                <w:sz w:val="21"/>
                <w:szCs w:val="21"/>
                <w14:textFill>
                  <w14:solidFill>
                    <w14:schemeClr w14:val="tx1"/>
                  </w14:solidFill>
                </w14:textFill>
              </w:rPr>
              <w:t>0℃</w:t>
            </w:r>
            <w:r>
              <w:rPr>
                <w:rFonts w:hint="eastAsia" w:ascii="宋体" w:hAnsi="宋体" w:cs="宋体"/>
                <w:color w:val="000000" w:themeColor="text1"/>
                <w:kern w:val="0"/>
                <w:sz w:val="21"/>
                <w:szCs w:val="21"/>
                <w:lang w:val="en-US" w:eastAsia="zh-CN"/>
                <w14:textFill>
                  <w14:solidFill>
                    <w14:schemeClr w14:val="tx1"/>
                  </w14:solidFill>
                </w14:textFill>
              </w:rPr>
              <w:t>；9</w:t>
            </w:r>
            <w:r>
              <w:rPr>
                <w:rFonts w:hint="eastAsia" w:ascii="宋体" w:hAnsi="宋体" w:eastAsia="宋体" w:cs="宋体"/>
                <w:color w:val="000000" w:themeColor="text1"/>
                <w:kern w:val="0"/>
                <w:sz w:val="21"/>
                <w:szCs w:val="21"/>
                <w14:textFill>
                  <w14:solidFill>
                    <w14:schemeClr w14:val="tx1"/>
                  </w14:solidFill>
                </w14:textFill>
              </w:rPr>
              <w:t>.仪器工作相对湿度范围：≤90%</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w:t>
            </w:r>
            <w:r>
              <w:rPr>
                <w:rFonts w:hint="eastAsia" w:ascii="宋体" w:hAnsi="宋体" w:cs="宋体"/>
                <w:color w:val="000000" w:themeColor="text1"/>
                <w:kern w:val="0"/>
                <w:sz w:val="21"/>
                <w:szCs w:val="21"/>
                <w:lang w:val="en-US" w:eastAsia="zh-CN"/>
                <w14:textFill>
                  <w14:solidFill>
                    <w14:schemeClr w14:val="tx1"/>
                  </w14:solidFill>
                </w14:textFill>
              </w:rPr>
              <w:t>0</w:t>
            </w:r>
            <w:r>
              <w:rPr>
                <w:rFonts w:hint="eastAsia" w:ascii="宋体" w:hAnsi="宋体" w:eastAsia="宋体" w:cs="宋体"/>
                <w:color w:val="000000" w:themeColor="text1"/>
                <w:kern w:val="0"/>
                <w:sz w:val="21"/>
                <w:szCs w:val="21"/>
                <w14:textFill>
                  <w14:solidFill>
                    <w14:schemeClr w14:val="tx1"/>
                  </w14:solidFill>
                </w14:textFill>
              </w:rPr>
              <w:t>.供电：稳态电压允许范围：220×（1±10%）V稳态频率允许范围：50×（1±5%）Hz</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w:t>
            </w:r>
            <w:r>
              <w:rPr>
                <w:rFonts w:hint="eastAsia" w:ascii="宋体" w:hAnsi="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14:textFill>
                  <w14:solidFill>
                    <w14:schemeClr w14:val="tx1"/>
                  </w14:solidFill>
                </w14:textFill>
              </w:rPr>
              <w:t>.安全要求：电击防护：性能应符合国家标准GB 4706.1-2005中规定的Ⅰ类器具要求；电气强度电压：仪器的交流电压输入端与机壳之间应能承受1750V（有效值）电压1min；泄漏电流：仪器交流变压器的次级对机壳漏电峰值小于3.5mA</w:t>
            </w:r>
            <w:r>
              <w:rPr>
                <w:rFonts w:hint="eastAsia" w:ascii="宋体" w:hAnsi="宋体" w:eastAsia="宋体" w:cs="宋体"/>
                <w:color w:val="000000" w:themeColor="text1"/>
                <w:kern w:val="0"/>
                <w:sz w:val="21"/>
                <w:szCs w:val="21"/>
                <w:lang w:eastAsia="zh-CN"/>
                <w14:textFill>
                  <w14:solidFill>
                    <w14:schemeClr w14:val="tx1"/>
                  </w14:solidFill>
                </w14:textFill>
              </w:rPr>
              <w:t>。</w:t>
            </w:r>
          </w:p>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2" w:firstLineChars="200"/>
              <w:textAlignment w:val="auto"/>
              <w:rPr>
                <w:sz w:val="21"/>
                <w:szCs w:val="21"/>
                <w:lang w:bidi="en-US"/>
              </w:rPr>
            </w:pPr>
            <w:r>
              <w:rPr>
                <w:rFonts w:hint="eastAsia"/>
                <w:b/>
                <w:bCs/>
                <w:color w:val="000000" w:themeColor="text1"/>
                <w:shd w:val="clear" w:color="auto" w:fill="auto"/>
                <w:lang w:val="en-US" w:eastAsia="zh-CN" w:bidi="en-US"/>
                <w14:textFill>
                  <w14:solidFill>
                    <w14:schemeClr w14:val="tx1"/>
                  </w14:solidFill>
                </w14:textFill>
              </w:rPr>
              <w:t>2、激光干涉绝对重力仪</w:t>
            </w:r>
            <w:r>
              <w:rPr>
                <w:rFonts w:hint="eastAsia"/>
                <w:b/>
                <w:bCs/>
                <w:color w:val="000000" w:themeColor="text1"/>
                <w:shd w:val="clear" w:color="auto" w:fill="auto"/>
                <w:lang w:bidi="en-US"/>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1.测程:≥6000×10</w:t>
            </w:r>
            <w:r>
              <w:rPr>
                <w:rFonts w:hint="eastAsia" w:ascii="宋体" w:hAnsi="宋体" w:eastAsia="宋体" w:cs="宋体"/>
                <w:color w:val="000000" w:themeColor="text1"/>
                <w:kern w:val="0"/>
                <w:sz w:val="21"/>
                <w:szCs w:val="21"/>
                <w:vertAlign w:val="superscript"/>
                <w14:textFill>
                  <w14:solidFill>
                    <w14:schemeClr w14:val="tx1"/>
                  </w14:solidFill>
                </w14:textFill>
              </w:rPr>
              <w:t>-5</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2.精度:≤10×10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3.准确度:≤10×10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4.分辨力:≤1×10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5.重复性标准差:≤10×10</w:t>
            </w:r>
            <w:r>
              <w:rPr>
                <w:rFonts w:hint="eastAsia" w:ascii="宋体" w:hAnsi="宋体" w:eastAsia="宋体" w:cs="宋体"/>
                <w:color w:val="000000" w:themeColor="text1"/>
                <w:kern w:val="0"/>
                <w:sz w:val="21"/>
                <w:szCs w:val="21"/>
                <w:vertAlign w:val="superscript"/>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ms</w:t>
            </w:r>
            <w:r>
              <w:rPr>
                <w:rFonts w:hint="eastAsia" w:ascii="宋体" w:hAnsi="宋体" w:eastAsia="宋体" w:cs="宋体"/>
                <w:color w:val="000000" w:themeColor="text1"/>
                <w:kern w:val="0"/>
                <w:sz w:val="21"/>
                <w:szCs w:val="21"/>
                <w:vertAlign w:val="superscript"/>
                <w14:textFill>
                  <w14:solidFill>
                    <w14:schemeClr w14:val="tx1"/>
                  </w14:solidFill>
                </w14:textFill>
              </w:rPr>
              <w:t>-2</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6</w:t>
            </w:r>
            <w:r>
              <w:rPr>
                <w:rFonts w:hint="eastAsia" w:ascii="宋体" w:hAnsi="宋体" w:eastAsia="宋体" w:cs="宋体"/>
                <w:color w:val="000000" w:themeColor="text1"/>
                <w:kern w:val="0"/>
                <w:sz w:val="21"/>
                <w:szCs w:val="21"/>
                <w14:textFill>
                  <w14:solidFill>
                    <w14:schemeClr w14:val="tx1"/>
                  </w14:solidFill>
                </w14:textFill>
              </w:rPr>
              <w:t>.接口要求：可以是RS232C、USB、CANBUS或TCP/IP协议接口中的任一种</w:t>
            </w: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eastAsia="宋体" w:cs="宋体"/>
                <w:color w:val="000000" w:themeColor="text1"/>
                <w:kern w:val="0"/>
                <w:sz w:val="21"/>
                <w:szCs w:val="21"/>
                <w14:textFill>
                  <w14:solidFill>
                    <w14:schemeClr w14:val="tx1"/>
                  </w14:solidFill>
                </w14:textFill>
              </w:rPr>
              <w:t>.仪器工作温度范围：20℃</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3</w:t>
            </w:r>
            <w:r>
              <w:rPr>
                <w:rFonts w:hint="eastAsia" w:ascii="宋体" w:hAnsi="宋体" w:eastAsia="宋体" w:cs="宋体"/>
                <w:color w:val="000000" w:themeColor="text1"/>
                <w:kern w:val="0"/>
                <w:sz w:val="21"/>
                <w:szCs w:val="21"/>
                <w14:textFill>
                  <w14:solidFill>
                    <w14:schemeClr w14:val="tx1"/>
                  </w14:solidFill>
                </w14:textFill>
              </w:rPr>
              <w:t>0℃</w:t>
            </w:r>
            <w:r>
              <w:rPr>
                <w:rFonts w:hint="eastAsia" w:ascii="宋体" w:hAnsi="宋体" w:cs="宋体"/>
                <w:color w:val="000000" w:themeColor="text1"/>
                <w:kern w:val="0"/>
                <w:sz w:val="21"/>
                <w:szCs w:val="21"/>
                <w:lang w:val="en-US" w:eastAsia="zh-CN"/>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.仪器工作相对湿度范围：≤90%</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9</w:t>
            </w:r>
            <w:r>
              <w:rPr>
                <w:rFonts w:hint="eastAsia" w:ascii="宋体" w:hAnsi="宋体" w:eastAsia="宋体" w:cs="宋体"/>
                <w:color w:val="000000" w:themeColor="text1"/>
                <w:kern w:val="0"/>
                <w:sz w:val="21"/>
                <w:szCs w:val="21"/>
                <w14:textFill>
                  <w14:solidFill>
                    <w14:schemeClr w14:val="tx1"/>
                  </w14:solidFill>
                </w14:textFill>
              </w:rPr>
              <w:t>.供电：稳态电压允许范围：220×（1±10%）V稳态频率允许范围：50×（1±5%）Hz</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1</w:t>
            </w:r>
            <w:r>
              <w:rPr>
                <w:rFonts w:hint="eastAsia" w:ascii="宋体" w:hAnsi="宋体" w:cs="宋体"/>
                <w:color w:val="000000" w:themeColor="text1"/>
                <w:kern w:val="0"/>
                <w:sz w:val="21"/>
                <w:szCs w:val="21"/>
                <w:lang w:val="en-US" w:eastAsia="zh-CN"/>
                <w14:textFill>
                  <w14:solidFill>
                    <w14:schemeClr w14:val="tx1"/>
                  </w14:solidFill>
                </w14:textFill>
              </w:rPr>
              <w:t>0</w:t>
            </w:r>
            <w:r>
              <w:rPr>
                <w:rFonts w:hint="eastAsia" w:ascii="宋体" w:hAnsi="宋体" w:eastAsia="宋体" w:cs="宋体"/>
                <w:color w:val="000000" w:themeColor="text1"/>
                <w:kern w:val="0"/>
                <w:sz w:val="21"/>
                <w:szCs w:val="21"/>
                <w14:textFill>
                  <w14:solidFill>
                    <w14:schemeClr w14:val="tx1"/>
                  </w14:solidFill>
                </w14:textFill>
              </w:rPr>
              <w:t>.安全要求：电击防护：性能应符合国家标准GB 4706.1-2005中规定的Ⅰ类器具要求；电气强度电压：仪器的交流电压输入端与机壳之间应能承受1750V（有效值）电压1min；泄漏电流：仪器交流变压器的次级对机壳漏电峰值小于3.5mA</w:t>
            </w:r>
            <w:r>
              <w:rPr>
                <w:rFonts w:hint="eastAsia" w:ascii="宋体" w:hAnsi="宋体" w:eastAsia="宋体" w:cs="宋体"/>
                <w:color w:val="000000" w:themeColor="text1"/>
                <w:kern w:val="0"/>
                <w:sz w:val="21"/>
                <w:szCs w:val="2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rFonts w:hint="eastAsia" w:eastAsiaTheme="minorEastAsia"/>
                <w:sz w:val="21"/>
                <w:szCs w:val="21"/>
                <w:lang w:val="en-US" w:eastAsia="zh-CN"/>
              </w:rPr>
            </w:pPr>
            <w:r>
              <w:rPr>
                <w:rFonts w:hint="eastAsia"/>
                <w:sz w:val="21"/>
                <w:szCs w:val="21"/>
                <w:lang w:val="en-US" w:eastAsia="zh-CN"/>
              </w:rPr>
              <w:t>2</w:t>
            </w:r>
          </w:p>
        </w:tc>
        <w:tc>
          <w:tcPr>
            <w:tcW w:w="1305" w:type="dxa"/>
            <w:vAlign w:val="center"/>
          </w:tcPr>
          <w:p>
            <w:pPr>
              <w:jc w:val="center"/>
              <w:rPr>
                <w:rFonts w:hint="default" w:eastAsiaTheme="minorEastAsia"/>
                <w:sz w:val="21"/>
                <w:szCs w:val="21"/>
                <w:lang w:val="en-US" w:eastAsia="zh-CN"/>
              </w:rPr>
            </w:pPr>
            <w:r>
              <w:rPr>
                <w:rFonts w:hint="eastAsia"/>
                <w:sz w:val="21"/>
                <w:szCs w:val="21"/>
                <w:lang w:val="en-US" w:eastAsia="zh-CN"/>
              </w:rPr>
              <w:t>检测</w:t>
            </w:r>
            <w:r>
              <w:rPr>
                <w:rFonts w:hint="eastAsia" w:asciiTheme="minorHAnsi" w:hAnsiTheme="minorHAnsi" w:eastAsiaTheme="minorEastAsia" w:cstheme="minorBidi"/>
                <w:color w:val="auto"/>
                <w:kern w:val="2"/>
                <w:sz w:val="21"/>
                <w:szCs w:val="21"/>
                <w:lang w:val="en-US" w:eastAsia="zh-CN" w:bidi="en-US"/>
              </w:rPr>
              <w:t>/</w:t>
            </w:r>
            <w:r>
              <w:rPr>
                <w:rFonts w:hint="eastAsia"/>
                <w:sz w:val="21"/>
                <w:szCs w:val="21"/>
                <w:lang w:val="en-US" w:eastAsia="zh-CN"/>
              </w:rPr>
              <w:t>鉴定</w:t>
            </w:r>
          </w:p>
        </w:tc>
        <w:tc>
          <w:tcPr>
            <w:tcW w:w="6825" w:type="dxa"/>
            <w:vAlign w:val="center"/>
          </w:tcPr>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default" w:cstheme="minorBidi"/>
                <w:color w:val="auto"/>
                <w:kern w:val="2"/>
                <w:sz w:val="21"/>
                <w:szCs w:val="21"/>
                <w:lang w:val="en-US" w:eastAsia="zh-CN" w:bidi="en-US"/>
              </w:rPr>
            </w:pPr>
            <w:r>
              <w:rPr>
                <w:rFonts w:hint="eastAsia"/>
                <w:color w:val="auto"/>
                <w:sz w:val="21"/>
                <w:szCs w:val="21"/>
                <w:shd w:val="clear" w:color="auto" w:fill="auto"/>
                <w:lang w:val="en-US" w:eastAsia="zh-CN" w:bidi="en-US"/>
              </w:rPr>
              <w:t>本次采购设备</w:t>
            </w:r>
            <w:r>
              <w:rPr>
                <w:rFonts w:hint="eastAsia" w:cstheme="minorBidi"/>
                <w:color w:val="auto"/>
                <w:kern w:val="2"/>
                <w:sz w:val="21"/>
                <w:szCs w:val="21"/>
                <w:lang w:val="en-US" w:eastAsia="zh-CN" w:bidi="en-US"/>
              </w:rPr>
              <w:t>出厂前，需对</w:t>
            </w:r>
            <w:r>
              <w:rPr>
                <w:rFonts w:hint="eastAsia" w:asciiTheme="minorHAnsi" w:hAnsiTheme="minorHAnsi" w:eastAsiaTheme="minorEastAsia" w:cstheme="minorBidi"/>
                <w:color w:val="auto"/>
                <w:kern w:val="2"/>
                <w:sz w:val="21"/>
                <w:szCs w:val="21"/>
                <w:lang w:val="en-US" w:eastAsia="zh-CN" w:bidi="en-US"/>
              </w:rPr>
              <w:t>测程、精度、准确度、分辨力、重复性标准差、接口要求、授时功能、工作温度范围、仪器工作相对湿度范围、安全要求-电击防护、安全要求-电气强度电压、安全要求-泄漏电流</w:t>
            </w:r>
            <w:r>
              <w:rPr>
                <w:rFonts w:hint="eastAsia" w:cstheme="minorBidi"/>
                <w:color w:val="auto"/>
                <w:kern w:val="2"/>
                <w:sz w:val="21"/>
                <w:szCs w:val="21"/>
                <w:lang w:val="en-US" w:eastAsia="zh-CN" w:bidi="en-US"/>
              </w:rPr>
              <w:t>等项目进行测试，合格后委托</w:t>
            </w:r>
            <w:r>
              <w:rPr>
                <w:rFonts w:hint="eastAsia" w:asciiTheme="minorHAnsi" w:hAnsiTheme="minorHAnsi" w:eastAsiaTheme="minorEastAsia" w:cstheme="minorBidi"/>
                <w:color w:val="auto"/>
                <w:kern w:val="2"/>
                <w:sz w:val="21"/>
                <w:szCs w:val="21"/>
                <w:lang w:val="en-US" w:eastAsia="zh-CN" w:bidi="en-US"/>
              </w:rPr>
              <w:t>省级以上法定计量机构或地震系统相关测试机构</w:t>
            </w:r>
            <w:r>
              <w:rPr>
                <w:rFonts w:hint="eastAsia" w:cstheme="minorBidi"/>
                <w:color w:val="auto"/>
                <w:kern w:val="2"/>
                <w:sz w:val="21"/>
                <w:szCs w:val="21"/>
                <w:lang w:val="en-US" w:eastAsia="zh-CN" w:bidi="en-US"/>
              </w:rPr>
              <w:t>进行</w:t>
            </w:r>
            <w:r>
              <w:rPr>
                <w:rFonts w:hint="eastAsia" w:asciiTheme="minorHAnsi" w:hAnsiTheme="minorHAnsi" w:eastAsiaTheme="minorEastAsia" w:cstheme="minorBidi"/>
                <w:color w:val="auto"/>
                <w:kern w:val="2"/>
                <w:sz w:val="21"/>
                <w:szCs w:val="21"/>
                <w:lang w:val="en-US" w:eastAsia="zh-CN" w:bidi="en-US"/>
              </w:rPr>
              <w:t>检定/校准/测试</w:t>
            </w:r>
            <w:r>
              <w:rPr>
                <w:rFonts w:hint="eastAsia" w:cstheme="minorBidi"/>
                <w:color w:val="auto"/>
                <w:kern w:val="2"/>
                <w:sz w:val="21"/>
                <w:szCs w:val="21"/>
                <w:lang w:val="en-US" w:eastAsia="zh-CN" w:bidi="en-US"/>
              </w:rPr>
              <w:t>，</w:t>
            </w:r>
            <w:r>
              <w:rPr>
                <w:rFonts w:hint="eastAsia" w:ascii="宋体" w:hAnsi="宋体" w:eastAsia="宋体" w:cstheme="minorBidi"/>
                <w:kern w:val="2"/>
                <w:sz w:val="21"/>
                <w:szCs w:val="21"/>
                <w:lang w:val="en-US" w:eastAsia="zh-CN" w:bidi="ar-SA"/>
              </w:rPr>
              <w:t>所发生的费用由中标人承担(并入投标报价内)。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1" w:type="dxa"/>
            <w:vAlign w:val="center"/>
          </w:tcPr>
          <w:p>
            <w:pPr>
              <w:jc w:val="center"/>
              <w:rPr>
                <w:rFonts w:hint="default"/>
                <w:sz w:val="21"/>
                <w:szCs w:val="21"/>
                <w:lang w:val="en-US" w:eastAsia="zh-CN"/>
              </w:rPr>
            </w:pPr>
            <w:r>
              <w:rPr>
                <w:rFonts w:hint="eastAsia"/>
                <w:sz w:val="21"/>
                <w:szCs w:val="21"/>
                <w:lang w:val="en-US" w:eastAsia="zh-CN"/>
              </w:rPr>
              <w:t>3</w:t>
            </w:r>
          </w:p>
        </w:tc>
        <w:tc>
          <w:tcPr>
            <w:tcW w:w="1305" w:type="dxa"/>
            <w:vAlign w:val="center"/>
          </w:tcPr>
          <w:p>
            <w:pPr>
              <w:jc w:val="center"/>
              <w:rPr>
                <w:rFonts w:hint="default"/>
                <w:sz w:val="21"/>
                <w:szCs w:val="21"/>
                <w:lang w:val="en-US" w:eastAsia="zh-CN"/>
              </w:rPr>
            </w:pPr>
            <w:r>
              <w:rPr>
                <w:rFonts w:hint="eastAsia"/>
                <w:sz w:val="21"/>
                <w:szCs w:val="21"/>
                <w:lang w:val="en-US" w:eastAsia="zh-CN"/>
              </w:rPr>
              <w:t>对比测试</w:t>
            </w:r>
          </w:p>
        </w:tc>
        <w:tc>
          <w:tcPr>
            <w:tcW w:w="6825" w:type="dxa"/>
            <w:vAlign w:val="center"/>
          </w:tcPr>
          <w:p>
            <w:pPr>
              <w:keepNext w:val="0"/>
              <w:keepLines w:val="0"/>
              <w:pageBreakBefore w:val="0"/>
              <w:widowControl/>
              <w:tabs>
                <w:tab w:val="left" w:pos="3969"/>
              </w:tabs>
              <w:kinsoku/>
              <w:wordWrap/>
              <w:overflowPunct/>
              <w:topLinePunct w:val="0"/>
              <w:autoSpaceDE/>
              <w:autoSpaceDN/>
              <w:bidi w:val="0"/>
              <w:adjustRightInd/>
              <w:snapToGrid/>
              <w:spacing w:line="240" w:lineRule="auto"/>
              <w:ind w:firstLine="420" w:firstLineChars="200"/>
              <w:textAlignment w:val="auto"/>
              <w:rPr>
                <w:rFonts w:hint="default"/>
                <w:color w:val="auto"/>
                <w:sz w:val="21"/>
                <w:szCs w:val="21"/>
                <w:shd w:val="clear" w:color="auto" w:fill="auto"/>
                <w:lang w:val="en-US" w:eastAsia="zh-CN" w:bidi="en-US"/>
              </w:rPr>
            </w:pPr>
            <w:r>
              <w:rPr>
                <w:rFonts w:hint="eastAsia"/>
                <w:color w:val="auto"/>
                <w:sz w:val="21"/>
                <w:szCs w:val="21"/>
                <w:shd w:val="clear" w:color="auto" w:fill="auto"/>
                <w:lang w:val="en-US" w:eastAsia="zh-CN" w:bidi="en-US"/>
              </w:rPr>
              <w:t>本次采购包含与FG-5/FG-5X同址对比测试（至少2个点），</w:t>
            </w:r>
            <w:r>
              <w:rPr>
                <w:rFonts w:hint="eastAsia" w:ascii="宋体" w:hAnsi="宋体" w:eastAsia="宋体" w:cstheme="minorBidi"/>
                <w:kern w:val="2"/>
                <w:sz w:val="21"/>
                <w:szCs w:val="21"/>
                <w:lang w:val="en-US" w:eastAsia="zh-CN" w:bidi="ar-SA"/>
              </w:rPr>
              <w:t>所发生的一切费用由中标人承担(并入投标报价内)。</w:t>
            </w:r>
          </w:p>
        </w:tc>
      </w:tr>
    </w:tbl>
    <w:p>
      <w:pPr>
        <w:rPr>
          <w:rFonts w:ascii="宋体" w:hAnsi="宋体" w:eastAsia="宋体"/>
          <w:sz w:val="21"/>
          <w:szCs w:val="21"/>
        </w:rPr>
      </w:pPr>
    </w:p>
    <w:p>
      <w:pPr>
        <w:rPr>
          <w:rFonts w:hint="eastAsia" w:asciiTheme="minorHAnsi" w:hAnsiTheme="minorHAnsi" w:eastAsiaTheme="minorEastAsia" w:cstheme="minorBidi"/>
          <w:b/>
          <w:kern w:val="0"/>
          <w:sz w:val="24"/>
          <w:szCs w:val="20"/>
          <w:lang w:val="en-US" w:eastAsia="zh-CN"/>
        </w:rPr>
      </w:pPr>
      <w:r>
        <w:rPr>
          <w:rFonts w:hint="eastAsia" w:asciiTheme="minorHAnsi" w:hAnsiTheme="minorHAnsi" w:eastAsiaTheme="minorEastAsia" w:cstheme="minorBidi"/>
          <w:b/>
          <w:kern w:val="0"/>
          <w:sz w:val="24"/>
          <w:szCs w:val="20"/>
          <w:lang w:val="en-US" w:eastAsia="zh-CN"/>
        </w:rPr>
        <w:t>3.5.3货物、指标要求</w:t>
      </w:r>
    </w:p>
    <w:p>
      <w:pPr>
        <w:ind w:firstLine="422" w:firstLineChars="200"/>
        <w:rPr>
          <w:rFonts w:hint="eastAsia" w:cs="Times New Roman"/>
          <w:sz w:val="21"/>
          <w:szCs w:val="21"/>
          <w:lang w:val="en-US" w:eastAsia="zh-CN"/>
        </w:rPr>
      </w:pPr>
      <w:r>
        <w:rPr>
          <w:rFonts w:hint="eastAsia"/>
          <w:b/>
          <w:bCs/>
          <w:sz w:val="21"/>
          <w:szCs w:val="21"/>
          <w:lang w:val="en-US" w:eastAsia="zh-CN"/>
        </w:rPr>
        <w:t>（1）</w:t>
      </w:r>
      <w:r>
        <w:rPr>
          <w:rFonts w:hint="eastAsia" w:cs="Times New Roman"/>
          <w:b/>
          <w:bCs/>
          <w:sz w:val="21"/>
          <w:szCs w:val="21"/>
          <w:lang w:val="en-US" w:eastAsia="zh-CN"/>
        </w:rPr>
        <w:t>标准与依据</w:t>
      </w:r>
    </w:p>
    <w:p>
      <w:pPr>
        <w:rPr>
          <w:rFonts w:hint="default" w:cs="Times New Roman"/>
          <w:sz w:val="21"/>
          <w:szCs w:val="21"/>
          <w:lang w:val="en-US" w:eastAsia="zh-CN"/>
        </w:rPr>
      </w:pPr>
      <w:r>
        <w:rPr>
          <w:rFonts w:hint="eastAsia" w:cs="Times New Roman"/>
          <w:sz w:val="21"/>
          <w:szCs w:val="21"/>
          <w:lang w:val="en-US" w:eastAsia="zh-CN"/>
        </w:rPr>
        <w:t>《地球物理站网(GNSS、重力、地磁、地电、地下流体、定点形变）运行管理技术细则》及其相关技术规范附件（震台网函［2023］15）；</w:t>
      </w:r>
    </w:p>
    <w:p>
      <w:pPr>
        <w:rPr>
          <w:rFonts w:hint="default" w:cs="Times New Roman"/>
          <w:sz w:val="21"/>
          <w:szCs w:val="21"/>
          <w:lang w:val="en-US" w:eastAsia="zh-CN"/>
        </w:rPr>
      </w:pPr>
      <w:r>
        <w:rPr>
          <w:rFonts w:hint="eastAsia" w:cs="Times New Roman"/>
          <w:sz w:val="21"/>
          <w:szCs w:val="21"/>
          <w:lang w:val="en-US" w:eastAsia="zh-CN"/>
        </w:rPr>
        <w:t>《地磁、地下流体、地壳形变学科观测资料质量评比办法》（中震测函［2015］127号）；</w:t>
      </w:r>
    </w:p>
    <w:p>
      <w:pPr>
        <w:numPr>
          <w:ilvl w:val="0"/>
          <w:numId w:val="0"/>
        </w:numPr>
        <w:rPr>
          <w:rFonts w:hint="eastAsia"/>
          <w:sz w:val="21"/>
          <w:szCs w:val="21"/>
          <w:lang w:eastAsia="zh-CN"/>
        </w:rPr>
      </w:pPr>
      <w:r>
        <w:rPr>
          <w:rFonts w:hint="eastAsia"/>
          <w:sz w:val="21"/>
          <w:szCs w:val="21"/>
        </w:rPr>
        <w:t>DB</w:t>
      </w:r>
      <w:r>
        <w:rPr>
          <w:rFonts w:hint="eastAsia"/>
          <w:sz w:val="21"/>
          <w:szCs w:val="21"/>
          <w:lang w:val="en-US" w:eastAsia="zh-CN"/>
        </w:rPr>
        <w:t>/</w:t>
      </w:r>
      <w:r>
        <w:rPr>
          <w:rFonts w:hint="eastAsia"/>
          <w:sz w:val="21"/>
          <w:szCs w:val="21"/>
        </w:rPr>
        <w:t>T 39</w:t>
      </w:r>
      <w:r>
        <w:rPr>
          <w:rFonts w:hint="eastAsia"/>
          <w:sz w:val="21"/>
          <w:szCs w:val="21"/>
          <w:lang w:eastAsia="zh-CN"/>
        </w:rPr>
        <w:t>－</w:t>
      </w:r>
      <w:r>
        <w:rPr>
          <w:rFonts w:hint="eastAsia"/>
          <w:sz w:val="21"/>
          <w:szCs w:val="21"/>
        </w:rPr>
        <w:t>2010《地震台网设计技术要求 重力观测网》</w:t>
      </w:r>
      <w:r>
        <w:rPr>
          <w:rFonts w:hint="eastAsia"/>
          <w:sz w:val="21"/>
          <w:szCs w:val="21"/>
          <w:lang w:eastAsia="zh-CN"/>
        </w:rPr>
        <w:t>；</w:t>
      </w:r>
    </w:p>
    <w:p>
      <w:pPr>
        <w:numPr>
          <w:ilvl w:val="0"/>
          <w:numId w:val="0"/>
        </w:numPr>
        <w:rPr>
          <w:rFonts w:hint="eastAsia"/>
          <w:sz w:val="21"/>
          <w:szCs w:val="21"/>
          <w:lang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 23－2007《地震观测仪器进网技术要求 重力仪》；</w:t>
      </w:r>
    </w:p>
    <w:p>
      <w:pPr>
        <w:numPr>
          <w:ilvl w:val="0"/>
          <w:numId w:val="0"/>
        </w:numPr>
        <w:rPr>
          <w:rFonts w:hint="eastAsia"/>
          <w:sz w:val="21"/>
          <w:szCs w:val="21"/>
          <w:lang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 21－2007《地震观测仪器进网技术要求 常用技术参数表述与测试方法》；</w:t>
      </w:r>
    </w:p>
    <w:p>
      <w:pPr>
        <w:numPr>
          <w:ilvl w:val="0"/>
          <w:numId w:val="0"/>
        </w:numPr>
        <w:rPr>
          <w:rFonts w:hint="eastAsia"/>
          <w:sz w:val="21"/>
          <w:szCs w:val="21"/>
          <w:lang w:val="en-US"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w:t>
      </w:r>
      <w:r>
        <w:rPr>
          <w:rFonts w:hint="eastAsia"/>
          <w:sz w:val="21"/>
          <w:szCs w:val="21"/>
          <w:lang w:val="en-US" w:eastAsia="zh-CN"/>
        </w:rPr>
        <w:t xml:space="preserve"> 20256</w:t>
      </w:r>
      <w:r>
        <w:rPr>
          <w:rFonts w:hint="eastAsia"/>
          <w:sz w:val="21"/>
          <w:szCs w:val="21"/>
          <w:lang w:eastAsia="zh-CN"/>
        </w:rPr>
        <w:t>－</w:t>
      </w:r>
      <w:r>
        <w:rPr>
          <w:rFonts w:hint="eastAsia"/>
          <w:sz w:val="21"/>
          <w:szCs w:val="21"/>
          <w:lang w:val="en-US" w:eastAsia="zh-CN"/>
        </w:rPr>
        <w:t>2019《国家重力控制测量规范》；</w:t>
      </w:r>
    </w:p>
    <w:p>
      <w:pPr>
        <w:numPr>
          <w:ilvl w:val="0"/>
          <w:numId w:val="0"/>
        </w:numPr>
        <w:rPr>
          <w:rFonts w:hint="default"/>
          <w:sz w:val="21"/>
          <w:szCs w:val="21"/>
          <w:lang w:val="en-US" w:eastAsia="zh-CN"/>
        </w:rPr>
      </w:pPr>
      <w:r>
        <w:rPr>
          <w:rFonts w:hint="eastAsia"/>
          <w:sz w:val="21"/>
          <w:szCs w:val="21"/>
          <w:lang w:eastAsia="zh-CN"/>
        </w:rPr>
        <w:t>DB</w:t>
      </w:r>
      <w:r>
        <w:rPr>
          <w:rFonts w:hint="eastAsia"/>
          <w:sz w:val="21"/>
          <w:szCs w:val="21"/>
          <w:lang w:val="en-US" w:eastAsia="zh-CN"/>
        </w:rPr>
        <w:t>/</w:t>
      </w:r>
      <w:r>
        <w:rPr>
          <w:rFonts w:hint="eastAsia"/>
          <w:sz w:val="21"/>
          <w:szCs w:val="21"/>
          <w:lang w:eastAsia="zh-CN"/>
        </w:rPr>
        <w:t>T</w:t>
      </w:r>
      <w:r>
        <w:rPr>
          <w:rFonts w:hint="eastAsia"/>
          <w:sz w:val="21"/>
          <w:szCs w:val="21"/>
          <w:lang w:val="en-US" w:eastAsia="zh-CN"/>
        </w:rPr>
        <w:t xml:space="preserve"> 17944</w:t>
      </w:r>
      <w:r>
        <w:rPr>
          <w:rFonts w:hint="eastAsia"/>
          <w:sz w:val="21"/>
          <w:szCs w:val="21"/>
          <w:lang w:eastAsia="zh-CN"/>
        </w:rPr>
        <w:t>－</w:t>
      </w:r>
      <w:r>
        <w:rPr>
          <w:rFonts w:hint="eastAsia"/>
          <w:sz w:val="21"/>
          <w:szCs w:val="21"/>
          <w:lang w:val="en-US" w:eastAsia="zh-CN"/>
        </w:rPr>
        <w:t>2018《加密重力测量规范》。</w:t>
      </w:r>
    </w:p>
    <w:p>
      <w:pPr>
        <w:ind w:firstLine="422" w:firstLineChars="200"/>
        <w:rPr>
          <w:rFonts w:hint="eastAsia" w:cs="Times New Roman"/>
          <w:b/>
          <w:bCs/>
          <w:sz w:val="21"/>
          <w:szCs w:val="21"/>
          <w:lang w:val="en-US" w:eastAsia="zh-CN"/>
        </w:rPr>
      </w:pPr>
      <w:r>
        <w:rPr>
          <w:rFonts w:hint="eastAsia" w:cs="Times New Roman"/>
          <w:b/>
          <w:bCs/>
          <w:sz w:val="21"/>
          <w:szCs w:val="21"/>
          <w:lang w:val="en-US" w:eastAsia="zh-CN"/>
        </w:rPr>
        <w:t>（2）参数指标要求</w:t>
      </w:r>
    </w:p>
    <w:p>
      <w:pPr>
        <w:keepNext w:val="0"/>
        <w:keepLines w:val="0"/>
        <w:pageBreakBefore w:val="0"/>
        <w:widowControl w:val="0"/>
        <w:shd w:val="clear"/>
        <w:kinsoku/>
        <w:wordWrap/>
        <w:overflowPunct/>
        <w:topLinePunct w:val="0"/>
        <w:autoSpaceDE/>
        <w:autoSpaceDN/>
        <w:bidi w:val="0"/>
        <w:adjustRightInd/>
        <w:snapToGrid/>
        <w:spacing w:line="320" w:lineRule="exact"/>
        <w:ind w:firstLine="420" w:firstLineChars="200"/>
        <w:textAlignment w:val="auto"/>
        <w:rPr>
          <w:color w:val="auto"/>
          <w:sz w:val="21"/>
          <w:szCs w:val="21"/>
        </w:rPr>
      </w:pPr>
      <w:r>
        <w:rPr>
          <w:rFonts w:hint="eastAsia"/>
          <w:color w:val="auto"/>
          <w:sz w:val="21"/>
          <w:szCs w:val="21"/>
        </w:rPr>
        <w:t>①指标按重要性分为“</w:t>
      </w:r>
      <w:r>
        <w:rPr>
          <w:rFonts w:hint="eastAsia" w:ascii="微软雅黑" w:hAnsi="微软雅黑" w:eastAsia="微软雅黑" w:cs="微软雅黑"/>
          <w:color w:val="auto"/>
          <w:sz w:val="21"/>
          <w:szCs w:val="21"/>
        </w:rPr>
        <w:t>▲</w:t>
      </w:r>
      <w:r>
        <w:rPr>
          <w:rFonts w:hint="eastAsia"/>
          <w:color w:val="auto"/>
          <w:sz w:val="21"/>
          <w:szCs w:val="21"/>
        </w:rPr>
        <w:t>”、“#”和“△”。</w:t>
      </w:r>
      <w:r>
        <w:rPr>
          <w:rFonts w:hint="eastAsia" w:ascii="微软雅黑" w:hAnsi="微软雅黑" w:eastAsia="微软雅黑" w:cs="微软雅黑"/>
          <w:color w:val="auto"/>
          <w:sz w:val="21"/>
          <w:szCs w:val="21"/>
        </w:rPr>
        <w:t>▲</w:t>
      </w:r>
      <w:r>
        <w:rPr>
          <w:rFonts w:hint="eastAsia"/>
          <w:color w:val="auto"/>
          <w:sz w:val="21"/>
          <w:szCs w:val="21"/>
        </w:rPr>
        <w:t>代表</w:t>
      </w:r>
      <w:r>
        <w:rPr>
          <w:rFonts w:hint="eastAsia"/>
          <w:color w:val="auto"/>
          <w:sz w:val="21"/>
          <w:szCs w:val="21"/>
          <w:lang w:val="en-US" w:eastAsia="zh-CN"/>
        </w:rPr>
        <w:t>关键</w:t>
      </w:r>
      <w:r>
        <w:rPr>
          <w:rFonts w:hint="eastAsia"/>
          <w:color w:val="auto"/>
          <w:sz w:val="21"/>
          <w:szCs w:val="21"/>
        </w:rPr>
        <w:t>指标，#代表重要指标，△则表示一般指标项。</w:t>
      </w:r>
    </w:p>
    <w:p>
      <w:pPr>
        <w:ind w:firstLine="420" w:firstLineChars="200"/>
        <w:rPr>
          <w:rFonts w:ascii="宋体" w:hAnsi="宋体" w:eastAsia="宋体"/>
          <w:sz w:val="21"/>
          <w:szCs w:val="21"/>
        </w:rPr>
      </w:pPr>
      <w:r>
        <w:rPr>
          <w:rFonts w:hint="eastAsia"/>
          <w:color w:val="auto"/>
          <w:sz w:val="21"/>
          <w:szCs w:val="21"/>
        </w:rPr>
        <w:t>②“证明材料要求”项可填“是”和“否”。填“是”的，投标人须提供包含相关指标项的证明材料，证明材料可以使用生产厂家官方网站截图或产品白皮书或第三方机构检验报告或其他相关证明材料</w:t>
      </w:r>
      <w:r>
        <w:rPr>
          <w:rFonts w:hint="eastAsia"/>
          <w:color w:val="auto"/>
          <w:sz w:val="21"/>
          <w:szCs w:val="21"/>
          <w:lang w:eastAsia="zh-CN"/>
        </w:rPr>
        <w:t>。</w:t>
      </w:r>
      <w:r>
        <w:rPr>
          <w:rFonts w:hint="eastAsia"/>
          <w:b/>
          <w:bCs/>
          <w:sz w:val="21"/>
          <w:szCs w:val="21"/>
        </w:rPr>
        <w:t>产品所属类型在定型要求范围内，定型检测报告已包含的参数以定型检测报告结果为准，定型检测报告未包含的参数以投标人提供的其他技术资料和技术文件为准。定型检测报告及定型检测比测报告要求是中国地震局各检测机构出具的定型检测报告或有省级以上计量资质的第三方机构出具的证书报告，</w:t>
      </w:r>
      <w:r>
        <w:rPr>
          <w:rFonts w:hint="eastAsia"/>
          <w:color w:val="auto"/>
          <w:sz w:val="21"/>
          <w:szCs w:val="21"/>
        </w:rPr>
        <w:t>未提供有效证明材料或证明材料中内容与所填报指标不一致的，该指标按不满足处理。</w:t>
      </w:r>
    </w:p>
    <w:p>
      <w:pPr>
        <w:pStyle w:val="2"/>
        <w:numPr>
          <w:ilvl w:val="0"/>
          <w:numId w:val="0"/>
        </w:numPr>
        <w:rPr>
          <w:rFonts w:hint="eastAsia" w:asciiTheme="minorHAnsi" w:hAnsiTheme="minorHAnsi" w:eastAsiaTheme="minorEastAsia" w:cstheme="minorBidi"/>
          <w:b/>
          <w:kern w:val="0"/>
          <w:sz w:val="24"/>
          <w:szCs w:val="20"/>
          <w:lang w:val="en-US" w:eastAsia="zh-CN" w:bidi="ar-SA"/>
        </w:rPr>
      </w:pPr>
      <w:r>
        <w:rPr>
          <w:rFonts w:hint="eastAsia" w:cstheme="minorBidi"/>
          <w:b/>
          <w:kern w:val="0"/>
          <w:sz w:val="24"/>
          <w:szCs w:val="20"/>
          <w:lang w:val="en-US" w:eastAsia="zh-CN" w:bidi="ar-SA"/>
        </w:rPr>
        <w:t>3.5.4</w:t>
      </w:r>
      <w:r>
        <w:rPr>
          <w:rFonts w:hint="eastAsia" w:asciiTheme="minorHAnsi" w:hAnsiTheme="minorHAnsi" w:eastAsiaTheme="minorEastAsia" w:cstheme="minorBidi"/>
          <w:b/>
          <w:kern w:val="0"/>
          <w:sz w:val="24"/>
          <w:szCs w:val="20"/>
          <w:lang w:val="en-US" w:eastAsia="zh-CN" w:bidi="ar-SA"/>
        </w:rPr>
        <w:t>服务要求</w:t>
      </w:r>
    </w:p>
    <w:p>
      <w:pPr>
        <w:keepNext w:val="0"/>
        <w:keepLines w:val="0"/>
        <w:pageBreakBefore w:val="0"/>
        <w:widowControl w:val="0"/>
        <w:shd w:val="clear"/>
        <w:kinsoku/>
        <w:wordWrap/>
        <w:overflowPunct/>
        <w:topLinePunct w:val="0"/>
        <w:autoSpaceDE/>
        <w:autoSpaceDN/>
        <w:bidi w:val="0"/>
        <w:adjustRightInd/>
        <w:snapToGrid/>
        <w:spacing w:line="320" w:lineRule="exact"/>
        <w:ind w:firstLine="425"/>
        <w:textAlignment w:val="auto"/>
        <w:rPr>
          <w:rFonts w:ascii="宋体" w:hAnsi="宋体" w:eastAsia="宋体"/>
          <w:sz w:val="21"/>
          <w:szCs w:val="21"/>
        </w:rPr>
      </w:pPr>
      <w:r>
        <w:rPr>
          <w:rFonts w:hint="eastAsia"/>
          <w:color w:val="auto"/>
          <w:sz w:val="21"/>
          <w:szCs w:val="21"/>
        </w:rPr>
        <w:t>重要性分为“</w:t>
      </w:r>
      <w:r>
        <w:rPr>
          <w:color w:val="000000" w:themeColor="text1"/>
          <w:sz w:val="21"/>
          <w:szCs w:val="21"/>
          <w14:textFill>
            <w14:solidFill>
              <w14:schemeClr w14:val="tx1"/>
            </w14:solidFill>
          </w14:textFill>
        </w:rPr>
        <w:t>★</w:t>
      </w:r>
      <w:r>
        <w:rPr>
          <w:rFonts w:hint="eastAsia"/>
          <w:color w:val="auto"/>
          <w:sz w:val="21"/>
          <w:szCs w:val="21"/>
        </w:rPr>
        <w:t>”</w:t>
      </w:r>
      <w:r>
        <w:rPr>
          <w:rFonts w:hint="eastAsia"/>
          <w:color w:val="auto"/>
          <w:sz w:val="21"/>
          <w:szCs w:val="21"/>
          <w:lang w:eastAsia="zh-CN"/>
        </w:rPr>
        <w:t>、</w:t>
      </w:r>
      <w:r>
        <w:rPr>
          <w:rFonts w:hint="eastAsia"/>
          <w:color w:val="auto"/>
          <w:sz w:val="21"/>
          <w:szCs w:val="21"/>
        </w:rPr>
        <w:t>“#”和“△”。</w:t>
      </w:r>
      <w:r>
        <w:rPr>
          <w:color w:val="000000" w:themeColor="text1"/>
          <w:sz w:val="21"/>
          <w:szCs w:val="21"/>
          <w14:textFill>
            <w14:solidFill>
              <w14:schemeClr w14:val="tx1"/>
            </w14:solidFill>
          </w14:textFill>
        </w:rPr>
        <w:t>★</w:t>
      </w:r>
      <w:r>
        <w:rPr>
          <w:rFonts w:hint="eastAsia"/>
          <w:color w:val="auto"/>
          <w:sz w:val="21"/>
          <w:szCs w:val="21"/>
        </w:rPr>
        <w:t>代表</w:t>
      </w:r>
      <w:r>
        <w:rPr>
          <w:rFonts w:hint="eastAsia"/>
          <w:color w:val="auto"/>
          <w:sz w:val="21"/>
          <w:szCs w:val="21"/>
          <w:lang w:val="en-US" w:eastAsia="zh-CN"/>
        </w:rPr>
        <w:t>实质性</w:t>
      </w:r>
      <w:r>
        <w:rPr>
          <w:rFonts w:hint="eastAsia"/>
          <w:color w:val="auto"/>
          <w:sz w:val="21"/>
          <w:szCs w:val="21"/>
        </w:rPr>
        <w:t>指标，#代表重要指标，△则表示一般指标项。</w:t>
      </w:r>
    </w:p>
    <w:tbl>
      <w:tblPr>
        <w:tblStyle w:val="7"/>
        <w:tblW w:w="8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87"/>
        <w:gridCol w:w="972"/>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4A4A4" w:themeFill="background1" w:themeFillShade="A5"/>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olor w:val="auto"/>
                <w:sz w:val="21"/>
                <w:szCs w:val="21"/>
              </w:rPr>
            </w:pPr>
            <w:r>
              <w:rPr>
                <w:rFonts w:hint="eastAsia"/>
                <w:color w:val="auto"/>
                <w:sz w:val="21"/>
                <w:szCs w:val="21"/>
              </w:rPr>
              <w:t>序号</w:t>
            </w:r>
          </w:p>
        </w:tc>
        <w:tc>
          <w:tcPr>
            <w:tcW w:w="1487" w:type="dxa"/>
            <w:shd w:val="clear" w:color="auto" w:fill="A4A4A4" w:themeFill="background1" w:themeFillShade="A5"/>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olor w:val="auto"/>
                <w:sz w:val="21"/>
                <w:szCs w:val="21"/>
              </w:rPr>
            </w:pPr>
            <w:r>
              <w:rPr>
                <w:rFonts w:hint="eastAsia"/>
                <w:color w:val="auto"/>
                <w:sz w:val="21"/>
                <w:szCs w:val="21"/>
              </w:rPr>
              <w:t>内容</w:t>
            </w:r>
          </w:p>
        </w:tc>
        <w:tc>
          <w:tcPr>
            <w:tcW w:w="972" w:type="dxa"/>
            <w:shd w:val="clear" w:color="auto" w:fill="A4A4A4" w:themeFill="background1" w:themeFillShade="A5"/>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olor w:val="auto"/>
                <w:sz w:val="21"/>
                <w:szCs w:val="21"/>
              </w:rPr>
            </w:pPr>
            <w:r>
              <w:rPr>
                <w:rFonts w:hint="eastAsia"/>
                <w:color w:val="auto"/>
                <w:sz w:val="21"/>
                <w:szCs w:val="21"/>
              </w:rPr>
              <w:t>重要性</w:t>
            </w:r>
          </w:p>
        </w:tc>
        <w:tc>
          <w:tcPr>
            <w:tcW w:w="5400" w:type="dxa"/>
            <w:shd w:val="clear" w:color="auto" w:fill="A4A4A4" w:themeFill="background1" w:themeFillShade="A5"/>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olor w:val="auto"/>
                <w:sz w:val="21"/>
                <w:szCs w:val="21"/>
              </w:rPr>
            </w:pPr>
            <w:r>
              <w:rPr>
                <w:rFonts w:hint="eastAsia"/>
                <w:color w:val="auto"/>
                <w:sz w:val="21"/>
                <w:szCs w:val="21"/>
              </w:rPr>
              <w:t>服务要求标准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 w:val="21"/>
                <w:szCs w:val="21"/>
              </w:rPr>
              <w:t>1</w:t>
            </w:r>
          </w:p>
        </w:tc>
        <w:tc>
          <w:tcPr>
            <w:tcW w:w="1487"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 w:val="21"/>
                <w:szCs w:val="21"/>
              </w:rPr>
              <w:t>包装和运输</w:t>
            </w:r>
          </w:p>
        </w:tc>
        <w:tc>
          <w:tcPr>
            <w:tcW w:w="972"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color w:val="auto"/>
                <w:sz w:val="21"/>
                <w:szCs w:val="21"/>
              </w:rPr>
              <w:t>△</w:t>
            </w:r>
          </w:p>
        </w:tc>
        <w:tc>
          <w:tcPr>
            <w:tcW w:w="5400" w:type="dxa"/>
            <w:vAlign w:val="center"/>
          </w:tcPr>
          <w:p>
            <w:pPr>
              <w:ind w:firstLine="420" w:firstLineChars="200"/>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bidi="ar"/>
              </w:rPr>
              <w:t>中标人</w:t>
            </w:r>
            <w:r>
              <w:rPr>
                <w:rFonts w:hint="eastAsia"/>
                <w:sz w:val="21"/>
                <w:szCs w:val="21"/>
                <w:lang w:bidi="ar"/>
              </w:rPr>
              <w:t>提供的全部货物均应按标准保护措施进行包装。该包装应适用于远距离运输、防潮、防震、防锈和防野蛮装卸，以确保货物安全无损运抵指定现场。由于包装不善所引起的货物锈蚀、损坏和损失均由</w:t>
            </w:r>
            <w:r>
              <w:rPr>
                <w:rFonts w:hint="eastAsia"/>
                <w:sz w:val="21"/>
                <w:szCs w:val="21"/>
                <w:lang w:val="en-US" w:eastAsia="zh-CN" w:bidi="ar"/>
              </w:rPr>
              <w:t>中标人</w:t>
            </w:r>
            <w:r>
              <w:rPr>
                <w:rFonts w:hint="eastAsia"/>
                <w:sz w:val="21"/>
                <w:szCs w:val="21"/>
                <w:lang w:bidi="ar"/>
              </w:rPr>
              <w:t>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sz w:val="21"/>
                <w:szCs w:val="21"/>
                <w:lang w:eastAsia="zh-CN"/>
              </w:rPr>
            </w:pPr>
            <w:r>
              <w:rPr>
                <w:rFonts w:hint="eastAsia"/>
                <w:sz w:val="21"/>
                <w:szCs w:val="21"/>
                <w:lang w:val="en-US" w:eastAsia="zh-CN"/>
              </w:rPr>
              <w:t>2</w:t>
            </w:r>
          </w:p>
        </w:tc>
        <w:tc>
          <w:tcPr>
            <w:tcW w:w="1487" w:type="dxa"/>
            <w:vAlign w:val="center"/>
          </w:tcPr>
          <w:p>
            <w:pPr>
              <w:jc w:val="center"/>
              <w:rPr>
                <w:color w:val="auto"/>
                <w:sz w:val="21"/>
                <w:szCs w:val="21"/>
              </w:rPr>
            </w:pPr>
            <w:r>
              <w:rPr>
                <w:rFonts w:hint="eastAsia"/>
                <w:color w:val="auto"/>
                <w:sz w:val="21"/>
                <w:szCs w:val="21"/>
              </w:rPr>
              <w:t>原厂售后服务</w:t>
            </w:r>
          </w:p>
        </w:tc>
        <w:tc>
          <w:tcPr>
            <w:tcW w:w="972" w:type="dxa"/>
            <w:vAlign w:val="center"/>
          </w:tcPr>
          <w:p>
            <w:pPr>
              <w:jc w:val="center"/>
              <w:rPr>
                <w:color w:val="auto"/>
                <w:sz w:val="21"/>
                <w:szCs w:val="21"/>
              </w:rPr>
            </w:pPr>
            <w:r>
              <w:rPr>
                <w:color w:val="000000" w:themeColor="text1"/>
                <w:sz w:val="21"/>
                <w:szCs w:val="21"/>
                <w14:textFill>
                  <w14:solidFill>
                    <w14:schemeClr w14:val="tx1"/>
                  </w14:solidFill>
                </w14:textFill>
              </w:rPr>
              <w:t>★</w:t>
            </w:r>
          </w:p>
        </w:tc>
        <w:tc>
          <w:tcPr>
            <w:tcW w:w="5400" w:type="dxa"/>
            <w:vAlign w:val="center"/>
          </w:tcPr>
          <w:p>
            <w:pPr>
              <w:ind w:firstLine="480"/>
              <w:rPr>
                <w:rStyle w:val="11"/>
                <w:rFonts w:hint="default"/>
                <w:color w:val="auto"/>
                <w:sz w:val="21"/>
                <w:szCs w:val="21"/>
              </w:rPr>
            </w:pPr>
            <w:r>
              <w:rPr>
                <w:rStyle w:val="11"/>
                <w:rFonts w:hint="default"/>
                <w:b/>
                <w:bCs/>
                <w:color w:val="auto"/>
                <w:sz w:val="21"/>
                <w:szCs w:val="21"/>
              </w:rPr>
              <w:t>1.采购人对所有中标设备签署验收合格证书之日起，中标人必须提供至少</w:t>
            </w:r>
            <w:r>
              <w:rPr>
                <w:rStyle w:val="11"/>
                <w:rFonts w:hint="eastAsia" w:eastAsia="宋体"/>
                <w:b/>
                <w:bCs/>
                <w:color w:val="000000" w:themeColor="text1"/>
                <w:sz w:val="21"/>
                <w:szCs w:val="21"/>
                <w:lang w:val="en-US" w:eastAsia="zh-CN"/>
                <w14:textFill>
                  <w14:solidFill>
                    <w14:schemeClr w14:val="tx1"/>
                  </w14:solidFill>
                </w14:textFill>
              </w:rPr>
              <w:t>3</w:t>
            </w:r>
            <w:r>
              <w:rPr>
                <w:rStyle w:val="11"/>
                <w:rFonts w:hint="default"/>
                <w:b/>
                <w:bCs/>
                <w:color w:val="auto"/>
                <w:sz w:val="21"/>
                <w:szCs w:val="21"/>
              </w:rPr>
              <w:t>年免费维修服务，软件部分免费升级。</w:t>
            </w:r>
            <w:r>
              <w:rPr>
                <w:rStyle w:val="11"/>
                <w:rFonts w:hint="default"/>
                <w:color w:val="auto"/>
                <w:sz w:val="21"/>
                <w:szCs w:val="21"/>
              </w:rPr>
              <w:t>中标人免费维修故障设备，并承担返厂维修的往返运保费及其它所有费用，保证采购合同执行完毕后继续提供设备维修服务。在质保期内如发现设备性能指标与合同中规定的存在较大偏离，</w:t>
            </w:r>
            <w:r>
              <w:rPr>
                <w:rStyle w:val="11"/>
                <w:rFonts w:hint="eastAsia" w:eastAsia="宋体"/>
                <w:color w:val="auto"/>
                <w:sz w:val="21"/>
                <w:szCs w:val="21"/>
                <w:lang w:val="en-US" w:eastAsia="zh-CN"/>
              </w:rPr>
              <w:t>中标人</w:t>
            </w:r>
            <w:r>
              <w:rPr>
                <w:rStyle w:val="11"/>
                <w:rFonts w:hint="default"/>
                <w:color w:val="auto"/>
                <w:sz w:val="21"/>
                <w:szCs w:val="21"/>
              </w:rPr>
              <w:t>需在48小时内更换同型号设备，更换设备须提供采购人认可的检测机构出具的检测报告。</w:t>
            </w:r>
          </w:p>
          <w:p>
            <w:pPr>
              <w:ind w:firstLine="422" w:firstLineChars="200"/>
              <w:rPr>
                <w:rFonts w:hint="eastAsia" w:ascii="宋体" w:hAnsi="宋体" w:eastAsia="宋体"/>
                <w:sz w:val="21"/>
                <w:szCs w:val="21"/>
              </w:rPr>
            </w:pPr>
            <w:r>
              <w:rPr>
                <w:rFonts w:hint="eastAsia" w:ascii="宋体" w:hAnsi="宋体" w:eastAsia="宋体"/>
                <w:b/>
                <w:bCs/>
                <w:sz w:val="21"/>
                <w:szCs w:val="21"/>
              </w:rPr>
              <w:t>2.</w:t>
            </w:r>
            <w:r>
              <w:rPr>
                <w:rFonts w:ascii="宋体" w:hAnsi="宋体" w:eastAsia="宋体"/>
                <w:b/>
                <w:bCs/>
                <w:sz w:val="21"/>
                <w:szCs w:val="21"/>
              </w:rPr>
              <w:t>售后服务期内</w:t>
            </w:r>
            <w:r>
              <w:rPr>
                <w:rFonts w:hint="eastAsia" w:ascii="宋体" w:hAnsi="宋体" w:eastAsia="宋体"/>
                <w:b/>
                <w:bCs/>
                <w:sz w:val="21"/>
                <w:szCs w:val="21"/>
              </w:rPr>
              <w:t>，</w:t>
            </w:r>
            <w:r>
              <w:rPr>
                <w:rFonts w:hint="eastAsia" w:ascii="宋体" w:hAnsi="宋体" w:eastAsia="宋体"/>
                <w:b/>
                <w:bCs/>
                <w:sz w:val="21"/>
                <w:szCs w:val="21"/>
                <w:lang w:val="en-US" w:eastAsia="zh-CN"/>
              </w:rPr>
              <w:t>中标人</w:t>
            </w:r>
            <w:r>
              <w:rPr>
                <w:rFonts w:ascii="宋体" w:hAnsi="宋体" w:eastAsia="宋体"/>
                <w:b/>
                <w:bCs/>
                <w:sz w:val="21"/>
                <w:szCs w:val="21"/>
              </w:rPr>
              <w:t>必须保证</w:t>
            </w:r>
            <w:r>
              <w:rPr>
                <w:rFonts w:hint="eastAsia" w:ascii="宋体" w:hAnsi="宋体" w:eastAsia="宋体"/>
                <w:b/>
                <w:bCs/>
                <w:sz w:val="21"/>
                <w:szCs w:val="21"/>
                <w:lang w:val="en-US" w:eastAsia="zh-CN"/>
              </w:rPr>
              <w:t>采购人</w:t>
            </w:r>
            <w:r>
              <w:rPr>
                <w:rFonts w:ascii="宋体" w:hAnsi="宋体" w:eastAsia="宋体"/>
                <w:b/>
                <w:bCs/>
                <w:sz w:val="21"/>
                <w:szCs w:val="21"/>
              </w:rPr>
              <w:t>项目所包含设备及系统的安全、稳定、高效运行。</w:t>
            </w:r>
            <w:r>
              <w:rPr>
                <w:rFonts w:hint="eastAsia" w:ascii="宋体" w:hAnsi="宋体" w:eastAsia="宋体"/>
                <w:sz w:val="21"/>
                <w:szCs w:val="21"/>
                <w:lang w:val="en-US" w:eastAsia="zh-CN"/>
              </w:rPr>
              <w:t>中标人</w:t>
            </w:r>
            <w:r>
              <w:rPr>
                <w:rFonts w:ascii="宋体" w:hAnsi="宋体" w:eastAsia="宋体"/>
                <w:sz w:val="21"/>
                <w:szCs w:val="21"/>
              </w:rPr>
              <w:t>需提供 7×24小时的电话技术支持，解答用户在设备和软件系统使用中的常见问题。对于</w:t>
            </w:r>
            <w:r>
              <w:rPr>
                <w:rFonts w:hint="eastAsia" w:ascii="宋体" w:hAnsi="宋体" w:eastAsia="宋体"/>
                <w:sz w:val="21"/>
                <w:szCs w:val="21"/>
                <w:lang w:val="en-US" w:eastAsia="zh-CN"/>
              </w:rPr>
              <w:t>采购人</w:t>
            </w:r>
            <w:r>
              <w:rPr>
                <w:rFonts w:ascii="宋体" w:hAnsi="宋体" w:eastAsia="宋体"/>
                <w:sz w:val="21"/>
                <w:szCs w:val="21"/>
              </w:rPr>
              <w:t>设备或系统出现的任何故障，</w:t>
            </w:r>
            <w:r>
              <w:rPr>
                <w:rFonts w:hint="eastAsia" w:ascii="宋体" w:hAnsi="宋体" w:eastAsia="宋体"/>
                <w:sz w:val="21"/>
                <w:szCs w:val="21"/>
                <w:lang w:val="en-US" w:eastAsia="zh-CN"/>
              </w:rPr>
              <w:t>中标人</w:t>
            </w:r>
            <w:r>
              <w:rPr>
                <w:rFonts w:ascii="宋体" w:hAnsi="宋体" w:eastAsia="宋体"/>
                <w:sz w:val="21"/>
                <w:szCs w:val="21"/>
              </w:rPr>
              <w:t>接到</w:t>
            </w:r>
            <w:r>
              <w:rPr>
                <w:rFonts w:hint="eastAsia" w:ascii="宋体" w:hAnsi="宋体" w:eastAsia="宋体"/>
                <w:sz w:val="21"/>
                <w:szCs w:val="21"/>
                <w:lang w:val="en-US" w:eastAsia="zh-CN"/>
              </w:rPr>
              <w:t>采购人</w:t>
            </w:r>
            <w:r>
              <w:rPr>
                <w:rFonts w:ascii="宋体" w:hAnsi="宋体" w:eastAsia="宋体"/>
                <w:sz w:val="21"/>
                <w:szCs w:val="21"/>
              </w:rPr>
              <w:t>通过书面或电话提出的技术服务要求或维修通知后，应在15分钟内给出实质性响应，若可远程解决的问题应在2小时内完成故障处置；若远程无法解决，或</w:t>
            </w:r>
            <w:r>
              <w:rPr>
                <w:rFonts w:hint="eastAsia" w:ascii="宋体" w:hAnsi="宋体" w:eastAsia="宋体"/>
                <w:sz w:val="21"/>
                <w:szCs w:val="21"/>
                <w:lang w:val="en-US" w:eastAsia="zh-CN"/>
              </w:rPr>
              <w:t>采购人</w:t>
            </w:r>
            <w:r>
              <w:rPr>
                <w:rFonts w:ascii="宋体" w:hAnsi="宋体" w:eastAsia="宋体"/>
                <w:sz w:val="21"/>
                <w:szCs w:val="21"/>
              </w:rPr>
              <w:t>有要求或必要时，应在</w:t>
            </w:r>
            <w:r>
              <w:rPr>
                <w:rFonts w:hint="eastAsia" w:ascii="宋体" w:hAnsi="宋体" w:eastAsia="宋体"/>
                <w:sz w:val="21"/>
                <w:szCs w:val="21"/>
                <w:lang w:val="en-US" w:eastAsia="zh-CN"/>
              </w:rPr>
              <w:t>2</w:t>
            </w:r>
            <w:r>
              <w:rPr>
                <w:rFonts w:ascii="宋体" w:hAnsi="宋体" w:eastAsia="宋体"/>
                <w:sz w:val="21"/>
                <w:szCs w:val="21"/>
              </w:rPr>
              <w:t>日内派专业技术人员到达</w:t>
            </w:r>
            <w:r>
              <w:rPr>
                <w:rFonts w:hint="eastAsia" w:ascii="宋体" w:hAnsi="宋体" w:eastAsia="宋体"/>
                <w:sz w:val="21"/>
                <w:szCs w:val="21"/>
                <w:lang w:val="en-US" w:eastAsia="zh-CN"/>
              </w:rPr>
              <w:t>采购人</w:t>
            </w:r>
            <w:r>
              <w:rPr>
                <w:rFonts w:ascii="宋体" w:hAnsi="宋体" w:eastAsia="宋体"/>
                <w:sz w:val="21"/>
                <w:szCs w:val="21"/>
              </w:rPr>
              <w:t>指定的故障现场，采取有效措施，如出现</w:t>
            </w:r>
            <w:r>
              <w:rPr>
                <w:rFonts w:hint="eastAsia" w:ascii="宋体" w:hAnsi="宋体" w:eastAsia="宋体"/>
                <w:sz w:val="21"/>
                <w:szCs w:val="21"/>
                <w:lang w:val="en-US" w:eastAsia="zh-CN"/>
              </w:rPr>
              <w:t>中标人</w:t>
            </w:r>
            <w:r>
              <w:rPr>
                <w:rFonts w:ascii="宋体" w:hAnsi="宋体" w:eastAsia="宋体"/>
                <w:sz w:val="21"/>
                <w:szCs w:val="21"/>
              </w:rPr>
              <w:t>无法解决的故障问题，需及时联系设备或软件的原厂提供相应服务，确保4日内解决故障。</w:t>
            </w:r>
          </w:p>
          <w:p>
            <w:pPr>
              <w:ind w:firstLine="480"/>
              <w:rPr>
                <w:rFonts w:ascii="宋体" w:hAnsi="宋体" w:eastAsia="宋体"/>
                <w:color w:val="FF0000"/>
                <w:sz w:val="21"/>
                <w:szCs w:val="21"/>
              </w:rPr>
            </w:pPr>
            <w:r>
              <w:rPr>
                <w:rStyle w:val="11"/>
                <w:rFonts w:hint="default"/>
                <w:b/>
                <w:bCs/>
                <w:color w:val="auto"/>
                <w:sz w:val="21"/>
                <w:szCs w:val="21"/>
              </w:rPr>
              <w:t>3.</w:t>
            </w:r>
            <w:r>
              <w:rPr>
                <w:rStyle w:val="11"/>
                <w:rFonts w:hint="eastAsia" w:eastAsia="宋体"/>
                <w:b/>
                <w:bCs/>
                <w:color w:val="auto"/>
                <w:sz w:val="21"/>
                <w:szCs w:val="21"/>
                <w:lang w:val="en-US" w:eastAsia="zh-CN"/>
              </w:rPr>
              <w:t>投标人</w:t>
            </w:r>
            <w:r>
              <w:rPr>
                <w:rStyle w:val="11"/>
                <w:rFonts w:hint="default"/>
                <w:b/>
                <w:bCs/>
                <w:color w:val="auto"/>
                <w:sz w:val="21"/>
                <w:szCs w:val="21"/>
              </w:rPr>
              <w:t>对设备提供配件和技术支持服务，质保期外只适当收取零配件费和维修成本费用。</w:t>
            </w:r>
            <w:r>
              <w:rPr>
                <w:rStyle w:val="11"/>
                <w:rFonts w:hint="eastAsia" w:eastAsia="宋体"/>
                <w:color w:val="auto"/>
                <w:sz w:val="21"/>
                <w:szCs w:val="21"/>
                <w:lang w:val="en-US" w:eastAsia="zh-CN"/>
              </w:rPr>
              <w:t>中标</w:t>
            </w:r>
            <w:r>
              <w:rPr>
                <w:rStyle w:val="11"/>
                <w:rFonts w:hint="default"/>
                <w:color w:val="auto"/>
                <w:sz w:val="21"/>
                <w:szCs w:val="21"/>
              </w:rPr>
              <w:t>人需提供尽可能详细的主要零配件、易损件的报价及服务费用（不计入投标报价），作为未来设备维修价格的</w:t>
            </w:r>
            <w:r>
              <w:rPr>
                <w:rFonts w:hint="eastAsia" w:ascii="宋体" w:hAnsi="宋体" w:eastAsia="宋体" w:cs="宋体"/>
                <w:bCs/>
                <w:sz w:val="21"/>
                <w:szCs w:val="21"/>
                <w:lang w:val="en-US" w:eastAsia="zh-CN"/>
              </w:rPr>
              <w:t>参考依据</w:t>
            </w:r>
            <w:r>
              <w:rPr>
                <w:rFonts w:ascii="宋体" w:hAnsi="宋体" w:eastAsia="宋体" w:cs="宋体"/>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color w:val="auto"/>
                <w:sz w:val="21"/>
                <w:szCs w:val="21"/>
                <w:lang w:eastAsia="zh-CN"/>
              </w:rPr>
            </w:pPr>
            <w:r>
              <w:rPr>
                <w:rFonts w:hint="eastAsia"/>
                <w:color w:val="auto"/>
                <w:sz w:val="21"/>
                <w:szCs w:val="21"/>
                <w:lang w:val="en-US" w:eastAsia="zh-CN"/>
              </w:rPr>
              <w:t>3</w:t>
            </w:r>
          </w:p>
        </w:tc>
        <w:tc>
          <w:tcPr>
            <w:tcW w:w="1487" w:type="dxa"/>
            <w:vAlign w:val="center"/>
          </w:tcPr>
          <w:p>
            <w:pPr>
              <w:jc w:val="center"/>
              <w:rPr>
                <w:rFonts w:hint="eastAsia"/>
                <w:color w:val="auto"/>
                <w:sz w:val="21"/>
                <w:szCs w:val="21"/>
              </w:rPr>
            </w:pPr>
            <w:r>
              <w:rPr>
                <w:rFonts w:hint="eastAsia"/>
                <w:color w:val="auto"/>
                <w:sz w:val="21"/>
                <w:szCs w:val="21"/>
              </w:rPr>
              <w:t>设备测试</w:t>
            </w:r>
          </w:p>
          <w:p>
            <w:pPr>
              <w:jc w:val="center"/>
              <w:rPr>
                <w:color w:val="auto"/>
                <w:sz w:val="21"/>
                <w:szCs w:val="21"/>
              </w:rPr>
            </w:pPr>
          </w:p>
        </w:tc>
        <w:tc>
          <w:tcPr>
            <w:tcW w:w="972" w:type="dxa"/>
            <w:vAlign w:val="center"/>
          </w:tcPr>
          <w:p>
            <w:pPr>
              <w:jc w:val="center"/>
              <w:rPr>
                <w:color w:val="auto"/>
                <w:sz w:val="21"/>
                <w:szCs w:val="21"/>
              </w:rPr>
            </w:pPr>
            <w:r>
              <w:rPr>
                <w:color w:val="000000" w:themeColor="text1"/>
                <w:sz w:val="21"/>
                <w:szCs w:val="21"/>
                <w14:textFill>
                  <w14:solidFill>
                    <w14:schemeClr w14:val="tx1"/>
                  </w14:solidFill>
                </w14:textFill>
              </w:rPr>
              <w:t>★</w:t>
            </w:r>
          </w:p>
        </w:tc>
        <w:tc>
          <w:tcPr>
            <w:tcW w:w="5400" w:type="dxa"/>
            <w:vAlign w:val="center"/>
          </w:tcPr>
          <w:p>
            <w:pPr>
              <w:numPr>
                <w:ilvl w:val="0"/>
                <w:numId w:val="0"/>
              </w:numPr>
              <w:ind w:firstLine="422" w:firstLineChars="200"/>
              <w:jc w:val="left"/>
              <w:rPr>
                <w:rFonts w:ascii="宋体" w:hAnsi="宋体" w:eastAsia="宋体"/>
                <w:sz w:val="21"/>
                <w:szCs w:val="21"/>
              </w:rPr>
            </w:pPr>
            <w:r>
              <w:rPr>
                <w:rFonts w:hint="eastAsia" w:ascii="宋体" w:hAnsi="宋体" w:eastAsia="宋体"/>
                <w:b/>
                <w:sz w:val="21"/>
                <w:szCs w:val="21"/>
                <w:lang w:val="en-US" w:eastAsia="zh-CN"/>
              </w:rPr>
              <w:t>1.</w:t>
            </w:r>
            <w:r>
              <w:rPr>
                <w:rFonts w:hint="eastAsia" w:ascii="宋体" w:hAnsi="宋体" w:eastAsia="宋体"/>
                <w:b/>
                <w:sz w:val="21"/>
                <w:szCs w:val="21"/>
              </w:rPr>
              <w:t>设备出厂测试。</w:t>
            </w:r>
            <w:r>
              <w:rPr>
                <w:rFonts w:hint="eastAsia" w:ascii="宋体" w:hAnsi="宋体" w:eastAsia="宋体"/>
                <w:sz w:val="21"/>
                <w:szCs w:val="21"/>
              </w:rPr>
              <w:t>生产厂商应严格按照技术指标要求对供货设备进行完整测试，出具出厂检测报告(测试报告)、合格证、产品说明书等资料，</w:t>
            </w:r>
            <w:r>
              <w:rPr>
                <w:rFonts w:hint="eastAsia" w:ascii="宋体" w:hAnsi="宋体" w:eastAsia="宋体" w:cs="Times New Roman"/>
                <w:sz w:val="21"/>
                <w:szCs w:val="21"/>
              </w:rPr>
              <w:t>加盖公章</w:t>
            </w:r>
            <w:r>
              <w:rPr>
                <w:rFonts w:hint="eastAsia" w:ascii="宋体" w:hAnsi="宋体" w:eastAsia="宋体"/>
                <w:sz w:val="21"/>
                <w:szCs w:val="21"/>
              </w:rPr>
              <w:t>。</w:t>
            </w:r>
          </w:p>
          <w:p>
            <w:pPr>
              <w:numPr>
                <w:ilvl w:val="0"/>
                <w:numId w:val="0"/>
              </w:numPr>
              <w:ind w:firstLine="422" w:firstLineChars="200"/>
              <w:jc w:val="left"/>
              <w:rPr>
                <w:rFonts w:ascii="宋体" w:hAnsi="宋体" w:eastAsia="宋体"/>
                <w:sz w:val="21"/>
                <w:szCs w:val="21"/>
              </w:rPr>
            </w:pPr>
            <w:r>
              <w:rPr>
                <w:rFonts w:hint="eastAsia" w:ascii="宋体" w:hAnsi="宋体" w:eastAsia="宋体"/>
                <w:b/>
                <w:sz w:val="21"/>
                <w:szCs w:val="21"/>
                <w:lang w:val="en-US" w:eastAsia="zh-CN"/>
              </w:rPr>
              <w:t>2.</w:t>
            </w:r>
            <w:r>
              <w:rPr>
                <w:rFonts w:hint="eastAsia" w:ascii="宋体" w:hAnsi="宋体" w:eastAsia="宋体"/>
                <w:b/>
                <w:sz w:val="21"/>
                <w:szCs w:val="21"/>
              </w:rPr>
              <w:t>单位现场检查。</w:t>
            </w:r>
            <w:r>
              <w:rPr>
                <w:rFonts w:hint="eastAsia" w:ascii="宋体" w:hAnsi="宋体" w:eastAsia="宋体"/>
                <w:sz w:val="21"/>
                <w:szCs w:val="21"/>
              </w:rPr>
              <w:t>供货前，采购人可组织到生产厂商现场进行查验，查验内容主要包括：出厂测试报告的完整性，设备数量、型号与投标要求的一致性，附表及包装是否满足合同要求等。</w:t>
            </w:r>
          </w:p>
          <w:p>
            <w:pPr>
              <w:numPr>
                <w:ilvl w:val="0"/>
                <w:numId w:val="0"/>
              </w:numPr>
              <w:ind w:firstLine="422" w:firstLineChars="200"/>
              <w:jc w:val="left"/>
              <w:rPr>
                <w:rFonts w:hint="eastAsia" w:ascii="宋体" w:hAnsi="宋体" w:eastAsia="宋体" w:cs="Times New Roman"/>
                <w:sz w:val="21"/>
                <w:szCs w:val="21"/>
              </w:rPr>
            </w:pPr>
            <w:r>
              <w:rPr>
                <w:rFonts w:hint="eastAsia" w:ascii="宋体" w:hAnsi="宋体" w:eastAsia="宋体"/>
                <w:b/>
                <w:sz w:val="21"/>
                <w:szCs w:val="21"/>
                <w:lang w:val="en-US" w:eastAsia="zh-CN"/>
              </w:rPr>
              <w:t>3.</w:t>
            </w:r>
            <w:r>
              <w:rPr>
                <w:rFonts w:hint="eastAsia" w:ascii="宋体" w:hAnsi="宋体" w:eastAsia="宋体"/>
                <w:b/>
                <w:sz w:val="21"/>
                <w:szCs w:val="21"/>
              </w:rPr>
              <w:t>供货测试。</w:t>
            </w:r>
            <w:r>
              <w:rPr>
                <w:rFonts w:hint="eastAsia" w:ascii="宋体" w:hAnsi="宋体" w:eastAsia="宋体"/>
                <w:sz w:val="21"/>
                <w:szCs w:val="21"/>
              </w:rPr>
              <w:t>采购人根据中国地震局</w:t>
            </w:r>
            <w:r>
              <w:rPr>
                <w:rFonts w:ascii="宋体" w:hAnsi="宋体" w:eastAsia="宋体"/>
                <w:sz w:val="21"/>
                <w:szCs w:val="21"/>
              </w:rPr>
              <w:t>《地震监测专业设备定型结果》</w:t>
            </w:r>
            <w:r>
              <w:rPr>
                <w:rFonts w:hint="eastAsia" w:ascii="宋体" w:hAnsi="宋体" w:eastAsia="宋体"/>
                <w:sz w:val="21"/>
                <w:szCs w:val="21"/>
                <w:lang w:eastAsia="zh-CN"/>
              </w:rPr>
              <w:t>、</w:t>
            </w:r>
            <w:r>
              <w:rPr>
                <w:rFonts w:hint="eastAsia" w:ascii="宋体" w:hAnsi="宋体" w:eastAsia="宋体"/>
                <w:sz w:val="21"/>
                <w:szCs w:val="21"/>
              </w:rPr>
              <w:t>《地震监测专业设备管理办法》</w:t>
            </w:r>
            <w:r>
              <w:rPr>
                <w:rFonts w:hint="eastAsia" w:ascii="宋体" w:hAnsi="宋体" w:eastAsia="宋体"/>
                <w:sz w:val="21"/>
                <w:szCs w:val="21"/>
                <w:lang w:val="en-US" w:eastAsia="zh-CN"/>
              </w:rPr>
              <w:t>等</w:t>
            </w:r>
            <w:r>
              <w:rPr>
                <w:rFonts w:hint="eastAsia" w:ascii="宋体" w:hAnsi="宋体" w:eastAsia="宋体"/>
                <w:sz w:val="21"/>
                <w:szCs w:val="21"/>
              </w:rPr>
              <w:t>要求，按</w:t>
            </w:r>
            <w:r>
              <w:rPr>
                <w:rFonts w:hint="eastAsia" w:ascii="宋体" w:hAnsi="宋体" w:eastAsia="宋体"/>
                <w:sz w:val="21"/>
                <w:szCs w:val="21"/>
                <w:lang w:val="en-US" w:eastAsia="zh-CN"/>
              </w:rPr>
              <w:t>100%</w:t>
            </w:r>
            <w:r>
              <w:rPr>
                <w:rFonts w:hint="eastAsia" w:ascii="宋体" w:hAnsi="宋体" w:eastAsia="宋体"/>
                <w:sz w:val="21"/>
                <w:szCs w:val="21"/>
              </w:rPr>
              <w:t>比例对</w:t>
            </w:r>
            <w:r>
              <w:rPr>
                <w:rFonts w:hint="eastAsia" w:ascii="宋体" w:hAnsi="宋体" w:eastAsia="宋体"/>
                <w:sz w:val="21"/>
                <w:szCs w:val="21"/>
                <w:lang w:val="en-US" w:eastAsia="zh-CN"/>
              </w:rPr>
              <w:t>绝对重力仪进行</w:t>
            </w:r>
            <w:r>
              <w:rPr>
                <w:rFonts w:hint="eastAsia" w:ascii="宋体" w:hAnsi="宋体" w:eastAsia="宋体"/>
                <w:sz w:val="21"/>
                <w:szCs w:val="21"/>
              </w:rPr>
              <w:t>测试，并做显著标记，记录产品序列号并报送一测中心。由生产厂商委托</w:t>
            </w:r>
            <w:r>
              <w:rPr>
                <w:rFonts w:ascii="宋体" w:hAnsi="宋体" w:eastAsia="宋体"/>
                <w:sz w:val="21"/>
                <w:szCs w:val="21"/>
              </w:rPr>
              <w:t>省级以上法定计量机构或地震系统相关测试机构进行</w:t>
            </w:r>
            <w:r>
              <w:rPr>
                <w:rFonts w:hint="eastAsia" w:ascii="宋体" w:hAnsi="宋体" w:eastAsia="宋体"/>
                <w:sz w:val="21"/>
                <w:szCs w:val="21"/>
              </w:rPr>
              <w:t>第三方测试，经一测中心复核确认后，由生产厂商将采购</w:t>
            </w:r>
            <w:r>
              <w:rPr>
                <w:rFonts w:hint="eastAsia" w:ascii="宋体" w:hAnsi="宋体" w:eastAsia="宋体"/>
                <w:sz w:val="21"/>
                <w:szCs w:val="21"/>
                <w:lang w:val="en-US" w:eastAsia="zh-CN"/>
              </w:rPr>
              <w:t>人所采购的绝对重力仪</w:t>
            </w:r>
            <w:r>
              <w:rPr>
                <w:rFonts w:hint="eastAsia" w:ascii="宋体" w:hAnsi="宋体" w:eastAsia="宋体" w:cs="Times New Roman"/>
                <w:sz w:val="21"/>
                <w:szCs w:val="21"/>
              </w:rPr>
              <w:t>发至测试机构，测试机构</w:t>
            </w:r>
            <w:r>
              <w:rPr>
                <w:rFonts w:hint="eastAsia" w:ascii="宋体" w:hAnsi="宋体" w:eastAsia="宋体" w:cs="Times New Roman"/>
                <w:sz w:val="21"/>
                <w:szCs w:val="21"/>
                <w:lang w:val="en-US" w:eastAsia="zh-CN"/>
              </w:rPr>
              <w:t>对绝对重力仪的</w:t>
            </w:r>
            <w:r>
              <w:rPr>
                <w:rFonts w:hint="eastAsia" w:ascii="宋体" w:hAnsi="宋体" w:eastAsia="宋体" w:cs="Times New Roman"/>
                <w:sz w:val="21"/>
                <w:szCs w:val="21"/>
              </w:rPr>
              <w:t>测程、精度、准确度、分辨力、重复性标准差、接口要求、授时功能</w:t>
            </w:r>
            <w:r>
              <w:rPr>
                <w:rFonts w:hint="eastAsia" w:ascii="宋体" w:hAnsi="宋体" w:eastAsia="宋体" w:cs="Times New Roman"/>
                <w:sz w:val="21"/>
                <w:szCs w:val="21"/>
                <w:lang w:val="en-US" w:eastAsia="zh-CN"/>
              </w:rPr>
              <w:t>等指标</w:t>
            </w:r>
            <w:r>
              <w:rPr>
                <w:rFonts w:hint="eastAsia" w:ascii="宋体" w:hAnsi="宋体" w:eastAsia="宋体" w:cs="Times New Roman"/>
                <w:sz w:val="21"/>
                <w:szCs w:val="21"/>
              </w:rPr>
              <w:t>开展测试，进度和测试结果随时报一测中心。测试结果满足采购合同约定后，由采购人通知生产厂商供货。测试费用由中标人承担。</w:t>
            </w:r>
          </w:p>
          <w:p>
            <w:pPr>
              <w:numPr>
                <w:ilvl w:val="0"/>
                <w:numId w:val="0"/>
              </w:numPr>
              <w:ind w:firstLine="422" w:firstLineChars="200"/>
              <w:jc w:val="left"/>
              <w:rPr>
                <w:rFonts w:hint="default" w:ascii="宋体" w:hAnsi="宋体" w:eastAsia="宋体" w:cs="Times New Roman"/>
                <w:sz w:val="21"/>
                <w:szCs w:val="21"/>
              </w:rPr>
            </w:pPr>
            <w:r>
              <w:rPr>
                <w:rFonts w:hint="eastAsia" w:ascii="宋体" w:hAnsi="宋体" w:eastAsia="宋体"/>
                <w:b/>
                <w:sz w:val="21"/>
                <w:szCs w:val="21"/>
                <w:lang w:val="en-US" w:eastAsia="zh-CN"/>
              </w:rPr>
              <w:t>4.对比</w:t>
            </w:r>
            <w:r>
              <w:rPr>
                <w:rFonts w:hint="eastAsia" w:ascii="宋体" w:hAnsi="宋体" w:eastAsia="宋体"/>
                <w:b/>
                <w:sz w:val="21"/>
                <w:szCs w:val="21"/>
              </w:rPr>
              <w:t>测试。</w:t>
            </w:r>
            <w:r>
              <w:rPr>
                <w:rFonts w:hint="eastAsia" w:ascii="宋体" w:hAnsi="宋体" w:eastAsia="宋体" w:cs="Times New Roman"/>
                <w:color w:val="000000" w:themeColor="text1"/>
                <w:sz w:val="21"/>
                <w:szCs w:val="21"/>
                <w:lang w:val="en-US" w:eastAsia="zh-CN"/>
                <w14:textFill>
                  <w14:solidFill>
                    <w14:schemeClr w14:val="tx1"/>
                  </w14:solidFill>
                </w14:textFill>
              </w:rPr>
              <w:t>本次采购包含与FG-5/FG-5X同址对比测试费用（至少2个点），所发生的一切费用由中标人承担(并入投标报价内)。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hint="eastAsia" w:eastAsiaTheme="minorEastAsia"/>
                <w:color w:val="auto"/>
                <w:sz w:val="21"/>
                <w:szCs w:val="21"/>
                <w:lang w:eastAsia="zh-CN"/>
              </w:rPr>
            </w:pPr>
            <w:r>
              <w:rPr>
                <w:rFonts w:hint="eastAsia"/>
                <w:color w:val="auto"/>
                <w:sz w:val="21"/>
                <w:szCs w:val="21"/>
                <w:lang w:val="en-US" w:eastAsia="zh-CN"/>
              </w:rPr>
              <w:t>4</w:t>
            </w:r>
          </w:p>
        </w:tc>
        <w:tc>
          <w:tcPr>
            <w:tcW w:w="1487" w:type="dxa"/>
            <w:vAlign w:val="center"/>
          </w:tcPr>
          <w:p>
            <w:pPr>
              <w:jc w:val="center"/>
              <w:rPr>
                <w:rFonts w:hint="default"/>
                <w:color w:val="auto"/>
                <w:sz w:val="21"/>
                <w:szCs w:val="21"/>
                <w:lang w:val="en-US"/>
              </w:rPr>
            </w:pPr>
            <w:r>
              <w:rPr>
                <w:rFonts w:hint="eastAsia" w:asciiTheme="minorHAnsi" w:hAnsiTheme="minorHAnsi" w:eastAsiaTheme="minorEastAsia" w:cstheme="minorBidi"/>
                <w:color w:val="000000" w:themeColor="text1"/>
                <w:kern w:val="2"/>
                <w:sz w:val="21"/>
                <w:szCs w:val="21"/>
                <w:lang w:val="en-US" w:eastAsia="zh-CN" w:bidi="ar"/>
                <w14:textFill>
                  <w14:solidFill>
                    <w14:schemeClr w14:val="tx1"/>
                  </w14:solidFill>
                </w14:textFill>
              </w:rPr>
              <w:t>培训</w:t>
            </w:r>
            <w:r>
              <w:rPr>
                <w:rFonts w:hint="eastAsia" w:cstheme="minorBidi"/>
                <w:color w:val="000000" w:themeColor="text1"/>
                <w:kern w:val="2"/>
                <w:sz w:val="21"/>
                <w:szCs w:val="21"/>
                <w:lang w:val="en-US" w:eastAsia="zh-CN" w:bidi="ar"/>
                <w14:textFill>
                  <w14:solidFill>
                    <w14:schemeClr w14:val="tx1"/>
                  </w14:solidFill>
                </w14:textFill>
              </w:rPr>
              <w:t>标准</w:t>
            </w:r>
          </w:p>
        </w:tc>
        <w:tc>
          <w:tcPr>
            <w:tcW w:w="972" w:type="dxa"/>
            <w:vAlign w:val="center"/>
          </w:tcPr>
          <w:p>
            <w:pPr>
              <w:jc w:val="center"/>
              <w:rPr>
                <w:color w:val="auto"/>
                <w:sz w:val="21"/>
                <w:szCs w:val="21"/>
              </w:rPr>
            </w:pPr>
            <w:r>
              <w:rPr>
                <w:rFonts w:hint="eastAsia"/>
                <w:color w:val="auto"/>
                <w:sz w:val="21"/>
                <w:szCs w:val="21"/>
              </w:rPr>
              <w:t>#</w:t>
            </w:r>
          </w:p>
        </w:tc>
        <w:tc>
          <w:tcPr>
            <w:tcW w:w="5400" w:type="dxa"/>
            <w:vAlign w:val="center"/>
          </w:tcPr>
          <w:p>
            <w:pPr>
              <w:ind w:firstLine="420" w:firstLineChars="200"/>
              <w:rPr>
                <w:rStyle w:val="11"/>
                <w:rFonts w:hint="default"/>
                <w:color w:val="auto"/>
                <w:sz w:val="21"/>
                <w:szCs w:val="21"/>
              </w:rPr>
            </w:pPr>
            <w:r>
              <w:rPr>
                <w:rFonts w:hint="eastAsia" w:ascii="宋体" w:hAnsi="宋体" w:eastAsia="宋体" w:cs="宋体"/>
                <w:color w:val="000000" w:themeColor="text1"/>
                <w:sz w:val="21"/>
                <w:szCs w:val="21"/>
                <w:lang w:bidi="ar"/>
                <w14:textFill>
                  <w14:solidFill>
                    <w14:schemeClr w14:val="tx1"/>
                  </w14:solidFill>
                </w14:textFill>
              </w:rPr>
              <w:t>提供详尽的培训方案及培训计划，技术培训方案包括但不限于：①安装操作与测试方案；②故障解决等应急处理方案；③维护保养等质量保障措施；④人员培训计划</w:t>
            </w:r>
            <w:r>
              <w:rPr>
                <w:rFonts w:hint="eastAsia" w:ascii="宋体" w:hAnsi="宋体" w:eastAsia="宋体" w:cs="宋体"/>
                <w:color w:val="000000" w:themeColor="text1"/>
                <w:sz w:val="21"/>
                <w:szCs w:val="21"/>
                <w:lang w:eastAsia="zh-CN" w:bidi="ar"/>
                <w14:textFill>
                  <w14:solidFill>
                    <w14:schemeClr w14:val="tx1"/>
                  </w14:solidFill>
                </w14:textFill>
              </w:rPr>
              <w:t>，</w:t>
            </w:r>
            <w:r>
              <w:rPr>
                <w:rFonts w:hint="eastAsia" w:ascii="宋体" w:hAnsi="宋体" w:eastAsia="宋体" w:cs="宋体"/>
                <w:color w:val="000000" w:themeColor="text1"/>
                <w:sz w:val="21"/>
                <w:szCs w:val="21"/>
                <w:lang w:bidi="ar"/>
                <w14:textFill>
                  <w14:solidFill>
                    <w14:schemeClr w14:val="tx1"/>
                  </w14:solidFill>
                </w14:textFill>
              </w:rPr>
              <w:t>并列出培训的具体内容及方式，确保使用人员能够独立操作，并进行简单故障排查处理（包括：培训人数、培训时间、培训内容、培训方式等）。</w:t>
            </w:r>
          </w:p>
        </w:tc>
      </w:tr>
    </w:tbl>
    <w:p>
      <w:pPr>
        <w:rPr>
          <w:color w:val="auto"/>
          <w:sz w:val="21"/>
          <w:szCs w:val="21"/>
        </w:rPr>
      </w:pPr>
    </w:p>
    <w:p>
      <w:pPr>
        <w:pStyle w:val="2"/>
        <w:numPr>
          <w:ilvl w:val="0"/>
          <w:numId w:val="0"/>
        </w:numPr>
        <w:rPr>
          <w:rFonts w:hint="eastAsia" w:cstheme="minorBidi"/>
          <w:b/>
          <w:kern w:val="0"/>
          <w:sz w:val="24"/>
          <w:szCs w:val="20"/>
          <w:lang w:val="en-US" w:eastAsia="zh-CN" w:bidi="ar-SA"/>
        </w:rPr>
      </w:pPr>
      <w:r>
        <w:rPr>
          <w:rFonts w:hint="eastAsia" w:cstheme="minorBidi"/>
          <w:b/>
          <w:kern w:val="0"/>
          <w:sz w:val="24"/>
          <w:szCs w:val="20"/>
          <w:lang w:val="en-US" w:eastAsia="zh-CN" w:bidi="ar-SA"/>
        </w:rPr>
        <w:t>3.5.5实施方案</w:t>
      </w:r>
    </w:p>
    <w:p>
      <w:pPr>
        <w:keepNext w:val="0"/>
        <w:keepLines w:val="0"/>
        <w:pageBreakBefore w:val="0"/>
        <w:widowControl w:val="0"/>
        <w:kinsoku/>
        <w:wordWrap/>
        <w:overflowPunct/>
        <w:topLinePunct w:val="0"/>
        <w:autoSpaceDE/>
        <w:autoSpaceDN/>
        <w:bidi w:val="0"/>
        <w:adjustRightInd/>
        <w:snapToGrid/>
        <w:spacing w:line="320" w:lineRule="exact"/>
        <w:ind w:firstLine="425"/>
        <w:textAlignment w:val="auto"/>
        <w:rPr>
          <w:rFonts w:hint="eastAsia" w:ascii="宋体" w:hAnsi="宋体" w:eastAsia="宋体"/>
          <w:sz w:val="21"/>
          <w:szCs w:val="21"/>
        </w:rPr>
      </w:pPr>
      <w:r>
        <w:rPr>
          <w:rFonts w:hint="eastAsia"/>
          <w:color w:val="auto"/>
          <w:sz w:val="21"/>
          <w:szCs w:val="21"/>
        </w:rPr>
        <w:t>重要性分为“</w:t>
      </w:r>
      <w:r>
        <w:rPr>
          <w:color w:val="000000" w:themeColor="text1"/>
          <w:sz w:val="21"/>
          <w:szCs w:val="21"/>
          <w14:textFill>
            <w14:solidFill>
              <w14:schemeClr w14:val="tx1"/>
            </w14:solidFill>
          </w14:textFill>
        </w:rPr>
        <w:t>★</w:t>
      </w:r>
      <w:r>
        <w:rPr>
          <w:rFonts w:hint="eastAsia"/>
          <w:color w:val="auto"/>
          <w:sz w:val="21"/>
          <w:szCs w:val="21"/>
        </w:rPr>
        <w:t>”</w:t>
      </w:r>
      <w:r>
        <w:rPr>
          <w:rFonts w:hint="eastAsia"/>
          <w:color w:val="auto"/>
          <w:sz w:val="21"/>
          <w:szCs w:val="21"/>
          <w:lang w:eastAsia="zh-CN"/>
        </w:rPr>
        <w:t>、</w:t>
      </w:r>
      <w:r>
        <w:rPr>
          <w:rFonts w:hint="eastAsia"/>
          <w:color w:val="auto"/>
          <w:sz w:val="21"/>
          <w:szCs w:val="21"/>
        </w:rPr>
        <w:t>“#”和“△”。</w:t>
      </w:r>
      <w:r>
        <w:rPr>
          <w:color w:val="000000" w:themeColor="text1"/>
          <w:sz w:val="21"/>
          <w:szCs w:val="21"/>
          <w14:textFill>
            <w14:solidFill>
              <w14:schemeClr w14:val="tx1"/>
            </w14:solidFill>
          </w14:textFill>
        </w:rPr>
        <w:t>★</w:t>
      </w:r>
      <w:r>
        <w:rPr>
          <w:rFonts w:hint="eastAsia"/>
          <w:color w:val="auto"/>
          <w:sz w:val="21"/>
          <w:szCs w:val="21"/>
        </w:rPr>
        <w:t>代表</w:t>
      </w:r>
      <w:r>
        <w:rPr>
          <w:rFonts w:hint="eastAsia"/>
          <w:color w:val="auto"/>
          <w:sz w:val="21"/>
          <w:szCs w:val="21"/>
          <w:lang w:val="en-US" w:eastAsia="zh-CN"/>
        </w:rPr>
        <w:t>实质性</w:t>
      </w:r>
      <w:r>
        <w:rPr>
          <w:rFonts w:hint="eastAsia"/>
          <w:color w:val="auto"/>
          <w:sz w:val="21"/>
          <w:szCs w:val="21"/>
        </w:rPr>
        <w:t>指标，#代表重要指标，△则表示一般指标项。</w:t>
      </w:r>
    </w:p>
    <w:tbl>
      <w:tblPr>
        <w:tblStyle w:val="7"/>
        <w:tblW w:w="8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27"/>
        <w:gridCol w:w="938"/>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4A4A4" w:themeFill="background1" w:themeFillShade="A5"/>
          </w:tcPr>
          <w:p>
            <w:pPr>
              <w:jc w:val="center"/>
              <w:rPr>
                <w:color w:val="auto"/>
                <w:sz w:val="21"/>
                <w:szCs w:val="21"/>
              </w:rPr>
            </w:pPr>
            <w:r>
              <w:rPr>
                <w:rFonts w:hint="eastAsia"/>
                <w:color w:val="auto"/>
                <w:sz w:val="21"/>
                <w:szCs w:val="21"/>
              </w:rPr>
              <w:t>序号</w:t>
            </w:r>
          </w:p>
        </w:tc>
        <w:tc>
          <w:tcPr>
            <w:tcW w:w="1527" w:type="dxa"/>
            <w:shd w:val="clear" w:color="auto" w:fill="A4A4A4" w:themeFill="background1" w:themeFillShade="A5"/>
          </w:tcPr>
          <w:p>
            <w:pPr>
              <w:jc w:val="center"/>
              <w:rPr>
                <w:color w:val="auto"/>
                <w:sz w:val="21"/>
                <w:szCs w:val="21"/>
              </w:rPr>
            </w:pPr>
            <w:r>
              <w:rPr>
                <w:rFonts w:hint="eastAsia"/>
                <w:color w:val="auto"/>
                <w:sz w:val="21"/>
                <w:szCs w:val="21"/>
              </w:rPr>
              <w:t>内容</w:t>
            </w:r>
          </w:p>
        </w:tc>
        <w:tc>
          <w:tcPr>
            <w:tcW w:w="938" w:type="dxa"/>
            <w:shd w:val="clear" w:color="auto" w:fill="A4A4A4" w:themeFill="background1" w:themeFillShade="A5"/>
          </w:tcPr>
          <w:p>
            <w:pPr>
              <w:jc w:val="center"/>
              <w:rPr>
                <w:color w:val="auto"/>
                <w:sz w:val="21"/>
                <w:szCs w:val="21"/>
              </w:rPr>
            </w:pPr>
            <w:r>
              <w:rPr>
                <w:rFonts w:hint="eastAsia"/>
                <w:color w:val="auto"/>
                <w:sz w:val="21"/>
                <w:szCs w:val="21"/>
              </w:rPr>
              <w:t>重要性</w:t>
            </w:r>
          </w:p>
        </w:tc>
        <w:tc>
          <w:tcPr>
            <w:tcW w:w="5402" w:type="dxa"/>
            <w:shd w:val="clear" w:color="auto" w:fill="A4A4A4" w:themeFill="background1" w:themeFillShade="A5"/>
          </w:tcPr>
          <w:p>
            <w:pPr>
              <w:jc w:val="center"/>
              <w:rPr>
                <w:color w:val="auto"/>
                <w:sz w:val="21"/>
                <w:szCs w:val="21"/>
              </w:rPr>
            </w:pPr>
            <w:r>
              <w:rPr>
                <w:rFonts w:hint="eastAsia"/>
                <w:color w:val="auto"/>
                <w:sz w:val="21"/>
                <w:szCs w:val="21"/>
              </w:rPr>
              <w:t>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auto"/>
                <w:sz w:val="21"/>
                <w:szCs w:val="21"/>
              </w:rPr>
            </w:pPr>
            <w:r>
              <w:rPr>
                <w:color w:val="auto"/>
                <w:sz w:val="21"/>
                <w:szCs w:val="21"/>
              </w:rPr>
              <w:t>1</w:t>
            </w:r>
          </w:p>
        </w:tc>
        <w:tc>
          <w:tcPr>
            <w:tcW w:w="1527" w:type="dxa"/>
            <w:vAlign w:val="center"/>
          </w:tcPr>
          <w:p>
            <w:pPr>
              <w:jc w:val="center"/>
              <w:rPr>
                <w:color w:val="auto"/>
                <w:sz w:val="21"/>
                <w:szCs w:val="21"/>
              </w:rPr>
            </w:pPr>
            <w:r>
              <w:rPr>
                <w:rFonts w:hint="eastAsia"/>
                <w:color w:val="auto"/>
                <w:sz w:val="21"/>
                <w:szCs w:val="21"/>
              </w:rPr>
              <w:t>项目实施进度安排</w:t>
            </w:r>
          </w:p>
        </w:tc>
        <w:tc>
          <w:tcPr>
            <w:tcW w:w="938" w:type="dxa"/>
            <w:vAlign w:val="center"/>
          </w:tcPr>
          <w:p>
            <w:pPr>
              <w:jc w:val="center"/>
              <w:rPr>
                <w:color w:val="auto"/>
                <w:sz w:val="21"/>
                <w:szCs w:val="21"/>
              </w:rPr>
            </w:pPr>
            <w:r>
              <w:rPr>
                <w:rFonts w:hint="eastAsia"/>
                <w:color w:val="auto"/>
                <w:sz w:val="21"/>
                <w:szCs w:val="21"/>
              </w:rPr>
              <w:t>#</w:t>
            </w:r>
          </w:p>
        </w:tc>
        <w:tc>
          <w:tcPr>
            <w:tcW w:w="5402" w:type="dxa"/>
          </w:tcPr>
          <w:p>
            <w:pPr>
              <w:pStyle w:val="12"/>
              <w:spacing w:line="240" w:lineRule="auto"/>
              <w:rPr>
                <w:rFonts w:hint="eastAsia" w:asciiTheme="minorHAnsi" w:hAnsiTheme="minorHAnsi" w:eastAsiaTheme="minorEastAsia" w:cstheme="minorBidi"/>
                <w:color w:val="auto"/>
                <w:kern w:val="2"/>
                <w:sz w:val="21"/>
                <w:szCs w:val="21"/>
                <w:lang w:val="en-US" w:eastAsia="zh-CN" w:bidi="ar-SA"/>
              </w:rPr>
            </w:pPr>
            <w:r>
              <w:rPr>
                <w:rFonts w:hint="eastAsia" w:asciiTheme="minorHAnsi" w:hAnsiTheme="minorHAnsi" w:eastAsiaTheme="minorEastAsia" w:cstheme="minorBidi"/>
                <w:color w:val="auto"/>
                <w:kern w:val="2"/>
                <w:sz w:val="21"/>
                <w:szCs w:val="21"/>
                <w:lang w:val="en-US" w:eastAsia="zh-CN" w:bidi="ar-SA"/>
              </w:rPr>
              <w:t>合同签订后90日历天内设备全部到货，并配送至采购人指定地点。120日历天内配合采购人完成全部设备测试工作。150日历天内完成项目验收。</w:t>
            </w:r>
          </w:p>
          <w:p>
            <w:pPr>
              <w:pStyle w:val="12"/>
              <w:spacing w:line="240" w:lineRule="auto"/>
              <w:rPr>
                <w:rFonts w:hint="eastAsia" w:asciiTheme="minorHAnsi" w:hAnsiTheme="minorHAnsi" w:eastAsiaTheme="minorEastAsia" w:cstheme="minorBidi"/>
                <w:color w:val="auto"/>
                <w:kern w:val="2"/>
                <w:sz w:val="21"/>
                <w:szCs w:val="21"/>
                <w:lang w:val="en-US" w:eastAsia="zh-CN" w:bidi="ar-SA"/>
              </w:rPr>
            </w:pPr>
            <w:r>
              <w:rPr>
                <w:rFonts w:hint="eastAsia" w:ascii="Calibri" w:hAnsi="Calibri" w:eastAsia="宋体" w:cs="Times New Roman"/>
                <w:color w:val="000000"/>
                <w:kern w:val="2"/>
                <w:sz w:val="21"/>
                <w:szCs w:val="21"/>
                <w:lang w:val="en-US" w:eastAsia="zh-CN" w:bidi="en-US"/>
              </w:rPr>
              <w:t>中标人在完成本次采购所涉及设备的</w:t>
            </w:r>
            <w:r>
              <w:rPr>
                <w:rFonts w:hint="eastAsia" w:ascii="宋体" w:hAnsi="宋体" w:eastAsia="宋体" w:cs="宋体"/>
                <w:sz w:val="21"/>
                <w:szCs w:val="21"/>
              </w:rPr>
              <w:t>出厂测试</w:t>
            </w:r>
            <w:r>
              <w:rPr>
                <w:rFonts w:hint="eastAsia" w:ascii="宋体" w:hAnsi="宋体" w:eastAsia="宋体" w:cs="宋体"/>
                <w:sz w:val="21"/>
                <w:szCs w:val="21"/>
                <w:lang w:eastAsia="zh-CN"/>
              </w:rPr>
              <w:t>、</w:t>
            </w:r>
            <w:r>
              <w:rPr>
                <w:rFonts w:hint="eastAsia" w:ascii="Calibri" w:hAnsi="Calibri" w:eastAsia="宋体" w:cs="Times New Roman"/>
                <w:color w:val="000000"/>
                <w:kern w:val="2"/>
                <w:sz w:val="21"/>
                <w:szCs w:val="21"/>
                <w:lang w:val="en-US" w:eastAsia="zh-CN" w:bidi="en-US"/>
              </w:rPr>
              <w:t>第三方计量机构鉴定</w:t>
            </w:r>
            <w:r>
              <w:rPr>
                <w:rFonts w:hint="eastAsia" w:ascii="宋体" w:hAnsi="宋体" w:eastAsia="宋体" w:cs="宋体"/>
                <w:sz w:val="21"/>
                <w:szCs w:val="21"/>
                <w:lang w:val="en-US" w:eastAsia="zh-CN"/>
              </w:rPr>
              <w:t>测试后，应配合采购人完成相关的场地对比测试，具体测试内容如下：</w:t>
            </w:r>
          </w:p>
          <w:p>
            <w:pPr>
              <w:ind w:firstLine="420" w:firstLineChars="200"/>
              <w:rPr>
                <w:rFonts w:hint="default" w:eastAsiaTheme="minorEastAsia"/>
                <w:color w:val="auto"/>
                <w:sz w:val="21"/>
                <w:szCs w:val="21"/>
                <w:lang w:val="en-US" w:eastAsia="zh-CN"/>
              </w:rPr>
            </w:pPr>
            <w:r>
              <w:rPr>
                <w:rFonts w:hint="eastAsia"/>
                <w:color w:val="auto"/>
                <w:sz w:val="21"/>
                <w:szCs w:val="21"/>
                <w:lang w:val="en-US" w:eastAsia="zh-CN"/>
              </w:rPr>
              <w:t>绝对重力仪</w:t>
            </w:r>
            <w:r>
              <w:rPr>
                <w:rFonts w:hint="eastAsia"/>
                <w:color w:val="auto"/>
                <w:sz w:val="21"/>
                <w:szCs w:val="21"/>
              </w:rPr>
              <w:t>主要测试内容：（1）测程。本次定型测试的专业设备为绝对重力仪，均能够在全球任意位置测量，满足技术要求。（2）精度。即精确度（precision），表征测量值之间的一致程度，计算值满足技术要求时为合格。实测总时长25小时，观测组数按参测仪器实际操作确定，每组观测时长10~30分钟。（3）准确度。准确度（accuracy）是指在一定观测条件下，实测值与真值的符合程度。本次测试工作中，以台站多期FG5高精度绝对重力仪实测平均值或同期实测值为约定“真值”，参与测试的重力仪多组测量值平均值与此真值之差的绝对值，计算结果满足技术要求时为合格。（4）分辨力，参考《地震观测仪器进网技术要求：重力仪》（DB/T 23－2007），可根据仪器对重力固体潮变化的跟踪能力评定其分辨力，直接用未经固体潮改正的观测值进行计算。选择固体潮变化较快的时段，在其上升和下降时间段各进行一组检测，每10分钟获取一个观测值，观测值总数不少于10个。观测值应随固体潮理论值同步递增或者递减，根据相应公式计算其比例系数。当比例系数0.5≤K≤1.5时，检测结果评定为合格。（5）重复性标准差。重复性标准差主要用于检测仪器相近示值的能力，在一周时间内，对同一测点进行至少3次独立间隔的完整观测（每次观测时重新安置仪器），经固体潮等改正后获得实测值，重复性标准差按相应公式计算，当计算结果满足技术要求时为合格。（6）测试要求。测试仪器由测试方操作，测试方最后对原始数据进行处理，给出测试报告，仪器送检方全程提供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auto"/>
                <w:sz w:val="21"/>
                <w:szCs w:val="21"/>
              </w:rPr>
            </w:pPr>
            <w:r>
              <w:rPr>
                <w:color w:val="auto"/>
                <w:sz w:val="21"/>
                <w:szCs w:val="21"/>
              </w:rPr>
              <w:t>2</w:t>
            </w:r>
          </w:p>
        </w:tc>
        <w:tc>
          <w:tcPr>
            <w:tcW w:w="1527" w:type="dxa"/>
            <w:vAlign w:val="center"/>
          </w:tcPr>
          <w:p>
            <w:pPr>
              <w:jc w:val="center"/>
              <w:rPr>
                <w:color w:val="auto"/>
                <w:sz w:val="21"/>
                <w:szCs w:val="21"/>
              </w:rPr>
            </w:pPr>
            <w:r>
              <w:rPr>
                <w:rFonts w:hint="eastAsia"/>
                <w:color w:val="auto"/>
                <w:sz w:val="21"/>
                <w:szCs w:val="21"/>
              </w:rPr>
              <w:t>项目验收安排</w:t>
            </w:r>
          </w:p>
        </w:tc>
        <w:tc>
          <w:tcPr>
            <w:tcW w:w="938" w:type="dxa"/>
            <w:vAlign w:val="center"/>
          </w:tcPr>
          <w:p>
            <w:pPr>
              <w:jc w:val="center"/>
              <w:rPr>
                <w:color w:val="auto"/>
                <w:sz w:val="21"/>
                <w:szCs w:val="21"/>
              </w:rPr>
            </w:pPr>
            <w:r>
              <w:rPr>
                <w:rFonts w:hint="eastAsia"/>
                <w:color w:val="auto"/>
                <w:sz w:val="21"/>
                <w:szCs w:val="21"/>
              </w:rPr>
              <w:t>#</w:t>
            </w:r>
          </w:p>
        </w:tc>
        <w:tc>
          <w:tcPr>
            <w:tcW w:w="5402" w:type="dxa"/>
          </w:tcPr>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both"/>
              <w:textAlignment w:val="auto"/>
              <w:rPr>
                <w:rFonts w:hint="eastAsia" w:ascii="宋体" w:hAnsi="宋体" w:eastAsia="宋体" w:cstheme="minorBidi"/>
                <w:b/>
                <w:bCs/>
                <w:kern w:val="2"/>
                <w:sz w:val="21"/>
                <w:szCs w:val="21"/>
                <w:lang w:val="en-US" w:eastAsia="zh-CN" w:bidi="ar-SA"/>
              </w:rPr>
            </w:pPr>
            <w:r>
              <w:rPr>
                <w:rFonts w:hint="eastAsia" w:ascii="宋体" w:hAnsi="宋体" w:eastAsia="宋体" w:cstheme="minorBidi"/>
                <w:b/>
                <w:bCs/>
                <w:kern w:val="2"/>
                <w:sz w:val="21"/>
                <w:szCs w:val="21"/>
                <w:lang w:val="en-US" w:eastAsia="zh-CN" w:bidi="ar-SA"/>
              </w:rPr>
              <w:t>1．到货检验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(1)中标人在产品出厂前，应按产品技术标准规定的检验项目和检验方法进行全面检验，中标人应随同货物出具产地证书、出厂检验报告和产品质量合格证等。同时需要第三方计量机构鉴定报告。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（2）中标人自检，要求中标人对所有货物的性能进行自检，检验结果必须符合招标文件技术要求以及合同中相关条款，并向采购人提供自检记录。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（3）开箱检验，中标人与采购人按招标文件以及合同相关条款要求一同对货物进行验收，验收结果应符合采购人使用要求。若发现未符合招标文件及合同相关条款要求，需立即进行整改。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（4）对比测试验收，中标人应按采购人要求对</w:t>
            </w:r>
            <w:r>
              <w:rPr>
                <w:rFonts w:hint="eastAsia" w:ascii="宋体" w:hAnsi="宋体" w:eastAsia="宋体" w:cs="Times New Roman"/>
                <w:sz w:val="21"/>
                <w:szCs w:val="21"/>
                <w:lang w:val="en-US" w:eastAsia="zh-CN"/>
              </w:rPr>
              <w:t>本次采购的货物进行对比测试，用以检验仪器的真实性能，并出具相关的测试报告，完成测试验收。</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heme="minorBidi"/>
                <w:b/>
                <w:bCs/>
                <w:kern w:val="2"/>
                <w:sz w:val="21"/>
                <w:szCs w:val="21"/>
                <w:lang w:val="en-US" w:eastAsia="zh-CN" w:bidi="ar-SA"/>
              </w:rPr>
            </w:pPr>
            <w:r>
              <w:rPr>
                <w:rFonts w:hint="eastAsia" w:ascii="宋体" w:hAnsi="宋体" w:eastAsia="宋体" w:cstheme="minorBidi"/>
                <w:b/>
                <w:bCs/>
                <w:kern w:val="2"/>
                <w:sz w:val="21"/>
                <w:szCs w:val="21"/>
                <w:lang w:val="en-US" w:eastAsia="zh-CN" w:bidi="ar-SA"/>
              </w:rPr>
              <w:t>2.验收费用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color w:val="auto"/>
                <w:sz w:val="21"/>
                <w:szCs w:val="21"/>
              </w:rPr>
            </w:pPr>
            <w:r>
              <w:rPr>
                <w:rFonts w:hint="eastAsia" w:ascii="宋体" w:hAnsi="宋体" w:eastAsia="宋体" w:cstheme="minorBidi"/>
                <w:kern w:val="2"/>
                <w:sz w:val="21"/>
                <w:szCs w:val="21"/>
                <w:lang w:val="en-US" w:eastAsia="zh-CN" w:bidi="ar-SA"/>
              </w:rPr>
              <w:t>验收所发生的一切费用均由中标人承担(并入投标报价内)。</w:t>
            </w:r>
          </w:p>
        </w:tc>
      </w:tr>
    </w:tbl>
    <w:p>
      <w:pPr>
        <w:rPr>
          <w:rFonts w:hint="eastAsia" w:ascii="宋体" w:hAnsi="宋体" w:eastAsia="宋体"/>
          <w:sz w:val="21"/>
          <w:szCs w:val="21"/>
          <w:lang w:val="en-US" w:eastAsia="zh-CN"/>
        </w:rPr>
      </w:pPr>
    </w:p>
    <w:p>
      <w:pPr>
        <w:pStyle w:val="2"/>
        <w:numPr>
          <w:ilvl w:val="0"/>
          <w:numId w:val="0"/>
        </w:numPr>
        <w:rPr>
          <w:rFonts w:hint="eastAsia" w:cstheme="minorBidi"/>
          <w:b/>
          <w:kern w:val="0"/>
          <w:sz w:val="24"/>
          <w:szCs w:val="20"/>
          <w:lang w:val="en-US" w:eastAsia="zh-CN" w:bidi="ar-SA"/>
        </w:rPr>
      </w:pPr>
      <w:r>
        <w:rPr>
          <w:rFonts w:hint="eastAsia" w:cstheme="minorBidi"/>
          <w:b/>
          <w:kern w:val="0"/>
          <w:sz w:val="24"/>
          <w:szCs w:val="20"/>
          <w:lang w:val="en-US" w:eastAsia="zh-CN" w:bidi="ar-SA"/>
        </w:rPr>
        <w:t>3.5.6对国产设备承诺的要求</w:t>
      </w:r>
    </w:p>
    <w:p>
      <w:pPr>
        <w:pStyle w:val="2"/>
        <w:numPr>
          <w:ilvl w:val="0"/>
          <w:numId w:val="0"/>
        </w:numPr>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本项目</w:t>
      </w:r>
      <w:r>
        <w:rPr>
          <w:rFonts w:hint="eastAsia"/>
          <w:b w:val="0"/>
          <w:bCs w:val="0"/>
          <w:color w:val="auto"/>
          <w:sz w:val="21"/>
          <w:szCs w:val="21"/>
        </w:rPr>
        <w:t>未特别标注为“进口产品”字样，均必须采购国产产品。所采购的货物、服务必须符合国家强制性标准。</w:t>
      </w:r>
      <w:r>
        <w:rPr>
          <w:rFonts w:hint="eastAsia"/>
          <w:b w:val="0"/>
          <w:bCs w:val="0"/>
          <w:color w:val="auto"/>
          <w:sz w:val="21"/>
          <w:szCs w:val="21"/>
          <w:lang w:val="en-US" w:eastAsia="zh-CN"/>
        </w:rPr>
        <w:t>投标人须提供国产设备承诺函。</w:t>
      </w:r>
    </w:p>
    <w:p>
      <w:pPr>
        <w:rPr>
          <w:rFonts w:hint="default"/>
          <w:lang w:val="en-US" w:eastAsia="zh-CN"/>
        </w:rPr>
      </w:pPr>
    </w:p>
    <w:p>
      <w:pPr>
        <w:pStyle w:val="2"/>
        <w:numPr>
          <w:ilvl w:val="0"/>
          <w:numId w:val="0"/>
        </w:numPr>
        <w:rPr>
          <w:rFonts w:hint="eastAsia" w:cstheme="minorBidi"/>
          <w:b/>
          <w:kern w:val="0"/>
          <w:sz w:val="24"/>
          <w:szCs w:val="20"/>
          <w:lang w:val="en-US" w:eastAsia="zh-CN" w:bidi="ar-SA"/>
        </w:rPr>
      </w:pPr>
      <w:r>
        <w:rPr>
          <w:rFonts w:hint="eastAsia" w:cstheme="minorBidi"/>
          <w:b/>
          <w:kern w:val="0"/>
          <w:sz w:val="24"/>
          <w:szCs w:val="20"/>
          <w:lang w:val="en-US" w:eastAsia="zh-CN" w:bidi="ar-SA"/>
        </w:rPr>
        <w:t>3.5.7投标报价要求</w:t>
      </w:r>
    </w:p>
    <w:p>
      <w:pPr>
        <w:ind w:firstLine="420" w:firstLineChars="200"/>
        <w:rPr>
          <w:rFonts w:hint="eastAsia"/>
        </w:rPr>
      </w:pPr>
      <w:bookmarkStart w:id="3" w:name="_GoBack"/>
      <w:bookmarkEnd w:id="3"/>
      <w:r>
        <w:rPr>
          <w:rFonts w:hint="default" w:ascii="宋体" w:hAnsi="宋体" w:eastAsia="宋体"/>
          <w:sz w:val="21"/>
          <w:szCs w:val="21"/>
          <w:lang w:val="en-US" w:eastAsia="zh-CN"/>
        </w:rPr>
        <w:t>投标人的采购包投标报价不得允许超过最高限价，且标的报价不允许超过标的单价，否则其投标文件将按无效处理。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47B25763"/>
    <w:rsid w:val="47B25763"/>
    <w:rsid w:val="65CE3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autoRedefine/>
    <w:qFormat/>
    <w:uiPriority w:val="0"/>
    <w:pPr>
      <w:ind w:left="218" w:hanging="218" w:hangingChars="104"/>
      <w:jc w:val="left"/>
    </w:pPr>
    <w:rPr>
      <w:szCs w:val="24"/>
    </w:rPr>
  </w:style>
  <w:style w:type="paragraph" w:styleId="3">
    <w:name w:val="Body Text"/>
    <w:basedOn w:val="1"/>
    <w:next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4">
    <w:name w:val="Body Text Indent"/>
    <w:basedOn w:val="1"/>
    <w:next w:val="1"/>
    <w:autoRedefine/>
    <w:qFormat/>
    <w:uiPriority w:val="0"/>
    <w:pPr>
      <w:ind w:firstLine="360"/>
    </w:pPr>
    <w:rPr>
      <w:rFonts w:hAnsi="Calibri" w:eastAsia="宋体" w:cs="Times New Roman"/>
      <w:sz w:val="24"/>
    </w:rPr>
  </w:style>
  <w:style w:type="paragraph" w:styleId="5">
    <w:name w:val="Body Text First Indent"/>
    <w:basedOn w:val="3"/>
    <w:next w:val="1"/>
    <w:unhideWhenUsed/>
    <w:qFormat/>
    <w:uiPriority w:val="0"/>
    <w:pPr>
      <w:ind w:firstLine="100" w:firstLineChars="100"/>
    </w:pPr>
  </w:style>
  <w:style w:type="paragraph" w:styleId="6">
    <w:name w:val="Body Text First Indent 2"/>
    <w:basedOn w:val="4"/>
    <w:next w:val="5"/>
    <w:autoRedefine/>
    <w:qFormat/>
    <w:uiPriority w:val="0"/>
    <w:pPr>
      <w:spacing w:line="360" w:lineRule="auto"/>
      <w:ind w:firstLine="0"/>
      <w:jc w:val="left"/>
    </w:pPr>
    <w:rPr>
      <w:rFonts w:ascii="华文仿宋" w:hAnsi="华文仿宋" w:eastAsia="华文仿宋"/>
      <w:kern w:val="0"/>
      <w:sz w:val="28"/>
      <w:szCs w:val="28"/>
    </w:rPr>
  </w:style>
  <w:style w:type="paragraph" w:customStyle="1" w:styleId="9">
    <w:name w:val="无间隔1"/>
    <w:autoRedefine/>
    <w:qFormat/>
    <w:uiPriority w:val="0"/>
    <w:pPr>
      <w:widowControl w:val="0"/>
      <w:ind w:firstLine="200" w:firstLineChars="200"/>
      <w:jc w:val="both"/>
    </w:pPr>
    <w:rPr>
      <w:rFonts w:ascii="Times New Roman" w:hAnsi="Times New Roman" w:eastAsia="仿宋_GB2312" w:cs="Times New Roman"/>
      <w:kern w:val="2"/>
      <w:sz w:val="22"/>
      <w:lang w:val="en-US" w:eastAsia="zh-CN" w:bidi="ar-SA"/>
    </w:rPr>
  </w:style>
  <w:style w:type="paragraph" w:styleId="10">
    <w:name w:val="List Paragraph"/>
    <w:basedOn w:val="1"/>
    <w:autoRedefine/>
    <w:qFormat/>
    <w:uiPriority w:val="34"/>
    <w:pPr>
      <w:ind w:firstLine="420" w:firstLineChars="200"/>
    </w:pPr>
  </w:style>
  <w:style w:type="character" w:customStyle="1" w:styleId="11">
    <w:name w:val="fontstyle01"/>
    <w:basedOn w:val="8"/>
    <w:autoRedefine/>
    <w:qFormat/>
    <w:uiPriority w:val="0"/>
    <w:rPr>
      <w:rFonts w:hint="eastAsia" w:ascii="宋体" w:hAnsi="宋体" w:eastAsia="宋体"/>
      <w:color w:val="000000"/>
      <w:sz w:val="24"/>
      <w:szCs w:val="24"/>
    </w:rPr>
  </w:style>
  <w:style w:type="paragraph" w:customStyle="1" w:styleId="12">
    <w:name w:val="List Paragraph1"/>
    <w:basedOn w:val="1"/>
    <w:autoRedefine/>
    <w:qFormat/>
    <w:uiPriority w:val="0"/>
    <w:pPr>
      <w:ind w:firstLine="420" w:firstLineChars="200"/>
    </w:pPr>
    <w:rPr>
      <w:rFonts w:ascii="等线" w:hAnsi="等线" w:eastAsia="等线" w:cs="Times New Roman"/>
      <w:szCs w:val="21"/>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2024-05-10T09:12:00Z</dcterms:created>
  <dc:creator>vicky2526</dc:creator>
  <cp:lastModifiedBy>vicky2526</cp:lastModifiedBy>
  <dcterms:modified xsi:type="dcterms:W3CDTF">2024-05-10T12:06:25Z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C225653252EA466A9A27EF6C86A90E26_11</vt:lpwstr>
  </property>
</Properties>
</file>