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br/>
      </w:r>
      <w:r>
        <w:br/>
      </w:r>
      <w:r>
        <w:br/>
      </w:r>
      <w:r>
        <w:br/>
      </w:r>
      <w:r>
        <w:br/>
      </w:r>
    </w:p>
    <w:p>
      <w:pPr>
        <w:pStyle w:val="null3"/>
        <w:jc w:val="center"/>
        <w:outlineLvl w:val="0"/>
      </w:pPr>
      <w:r>
        <w:rPr>
          <w:b/>
          <w:sz w:val="48"/>
        </w:rPr>
        <w:t>招 标 文 件</w:t>
      </w:r>
      <w:r>
        <w:br/>
      </w:r>
      <w:r>
        <w:br/>
      </w:r>
      <w:r>
        <w:br/>
      </w:r>
    </w:p>
    <w:p>
      <w:pPr>
        <w:pStyle w:val="null3"/>
        <w:jc w:val="center"/>
        <w:outlineLvl w:val="1"/>
      </w:pPr>
      <w:r>
        <w:rPr>
          <w:b/>
          <w:sz w:val="36"/>
        </w:rPr>
        <w:t>（货物类）</w:t>
      </w:r>
      <w:r>
        <w:br/>
      </w:r>
      <w:r>
        <w:br/>
      </w:r>
      <w:r>
        <w:br/>
      </w:r>
      <w:r>
        <w:br/>
      </w:r>
      <w:r>
        <w:br/>
      </w:r>
      <w:r>
        <w:br/>
      </w:r>
      <w:r>
        <w:br/>
      </w:r>
      <w:r>
        <w:br/>
      </w:r>
      <w:r>
        <w:br/>
      </w:r>
      <w:r>
        <w:br/>
      </w:r>
      <w:r>
        <w:br/>
      </w:r>
    </w:p>
    <w:p>
      <w:pPr>
        <w:pStyle w:val="null3"/>
        <w:jc w:val="center"/>
        <w:outlineLvl w:val="2"/>
      </w:pPr>
      <w:r>
        <w:rPr>
          <w:b/>
          <w:sz w:val="28"/>
        </w:rPr>
        <w:t>采购项目名称：</w:t>
      </w:r>
      <w:r>
        <w:rPr>
          <w:b/>
          <w:sz w:val="28"/>
        </w:rPr>
        <w:t>陕西省巨灾防范工程流动观测系统建设—流动绝对重力观测设备采购项目</w:t>
      </w:r>
    </w:p>
    <w:p>
      <w:pPr>
        <w:pStyle w:val="null3"/>
        <w:jc w:val="center"/>
        <w:outlineLvl w:val="2"/>
      </w:pPr>
      <w:r>
        <w:rPr>
          <w:b/>
          <w:sz w:val="28"/>
        </w:rPr>
        <w:t>采购项目编号：</w:t>
      </w:r>
      <w:r>
        <w:rPr>
          <w:b/>
          <w:sz w:val="28"/>
        </w:rPr>
        <w:t>YMD-2023215F-2</w:t>
      </w:r>
      <w:r>
        <w:br/>
      </w:r>
      <w:r>
        <w:br/>
      </w:r>
      <w:r>
        <w:br/>
      </w:r>
    </w:p>
    <w:p>
      <w:pPr>
        <w:pStyle w:val="null3"/>
        <w:jc w:val="center"/>
        <w:outlineLvl w:val="2"/>
      </w:pPr>
      <w:r>
        <w:rPr>
          <w:b/>
          <w:sz w:val="28"/>
        </w:rPr>
        <w:t>（地震局）地方编制</w:t>
      </w:r>
    </w:p>
    <w:p>
      <w:pPr>
        <w:pStyle w:val="null3"/>
        <w:jc w:val="center"/>
        <w:outlineLvl w:val="2"/>
      </w:pPr>
      <w:r>
        <w:rPr>
          <w:b/>
          <w:sz w:val="28"/>
        </w:rPr>
        <w:t>永明项目管理有限公司</w:t>
      </w:r>
      <w:r>
        <w:rPr>
          <w:b/>
          <w:sz w:val="28"/>
        </w:rPr>
        <w:t>共同编制</w:t>
      </w:r>
    </w:p>
    <w:p>
      <w:pPr>
        <w:pStyle w:val="null3"/>
        <w:jc w:val="center"/>
        <w:outlineLvl w:val="2"/>
      </w:pPr>
      <w:r>
        <w:rPr>
          <w:b/>
          <w:sz w:val="28"/>
        </w:rPr>
        <w:t>2024年05月10日</w:t>
      </w:r>
    </w:p>
    <w:p>
      <w:pPr>
        <w:pStyle w:val="null3"/>
      </w:pPr>
      <w:r>
        <w:rPr/>
        <w:t xml:space="preserve"> </w:t>
        <w:br/>
        <w:br w:type="page"/>
      </w:r>
    </w:p>
    <w:p>
      <w:pPr>
        <w:pStyle w:val="null3"/>
        <w:jc w:val="center"/>
        <w:outlineLvl w:val="1"/>
      </w:pPr>
      <w:r>
        <w:rPr>
          <w:b/>
          <w:sz w:val="36"/>
        </w:rPr>
        <w:t>第一章 投标邀请</w:t>
      </w:r>
    </w:p>
    <w:p>
      <w:pPr>
        <w:pStyle w:val="null3"/>
        <w:ind w:firstLine="480"/>
      </w:pPr>
      <w:r>
        <w:rPr/>
        <w:t>永明项目管理有限公司</w:t>
      </w:r>
      <w:r>
        <w:rPr/>
        <w:t>（以下简称“代理机构”）受</w:t>
      </w:r>
      <w:r>
        <w:rPr/>
        <w:t>（地震局）地方编制</w:t>
      </w:r>
      <w:r>
        <w:rPr/>
        <w:t>委托，拟对</w:t>
      </w:r>
      <w:r>
        <w:rPr/>
        <w:t>陕西省巨灾防范工程流动观测系统建设—流动绝对重力观测设备采购项目</w:t>
      </w:r>
      <w:r>
        <w:rPr/>
        <w:t>进行国内公开招标，兹邀请符合本次招标要求的供应商参加投标。</w:t>
      </w:r>
    </w:p>
    <w:p>
      <w:pPr>
        <w:pStyle w:val="null3"/>
        <w:outlineLvl w:val="2"/>
      </w:pPr>
      <w:r>
        <w:rPr>
          <w:b/>
          <w:sz w:val="28"/>
        </w:rPr>
        <w:t>一、采购项目编号：</w:t>
      </w:r>
      <w:r>
        <w:rPr>
          <w:b/>
          <w:sz w:val="28"/>
        </w:rPr>
        <w:t>YMD-2023215F-2</w:t>
      </w:r>
    </w:p>
    <w:p>
      <w:pPr>
        <w:pStyle w:val="null3"/>
        <w:outlineLvl w:val="2"/>
      </w:pPr>
      <w:r>
        <w:rPr>
          <w:b/>
          <w:sz w:val="28"/>
        </w:rPr>
        <w:t>二、采购项目名称：</w:t>
      </w:r>
      <w:r>
        <w:rPr>
          <w:b/>
          <w:sz w:val="28"/>
        </w:rPr>
        <w:t>陕西省巨灾防范工程流动观测系统建设—流动绝对重力观测设备采购项目</w:t>
      </w:r>
    </w:p>
    <w:p>
      <w:pPr>
        <w:pStyle w:val="null3"/>
        <w:outlineLvl w:val="2"/>
      </w:pPr>
      <w:r>
        <w:rPr>
          <w:b/>
          <w:sz w:val="28"/>
        </w:rPr>
        <w:t>三、招标项目简介</w:t>
      </w:r>
    </w:p>
    <w:p>
      <w:pPr>
        <w:pStyle w:val="null3"/>
        <w:ind w:firstLine="480"/>
      </w:pPr>
      <w:r>
        <w:rPr/>
        <w:t>完成1套量子（冷原子）绝对重力仪、1套激光干涉绝对重力仪设备的购置、安装调试、测试及培训。</w:t>
      </w:r>
    </w:p>
    <w:p>
      <w:pPr>
        <w:pStyle w:val="null3"/>
        <w:outlineLvl w:val="2"/>
      </w:pPr>
      <w:r>
        <w:rPr>
          <w:b/>
          <w:sz w:val="28"/>
        </w:rPr>
        <w:t>四、供应商参加本次政府采购活动应具备的条件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1.执行政府采购促进中小企业发展的相关政策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授权委托书：授权委托书：法定代表人（主要负责人）委托代理人参加投标时，应提供法定代表人（主要负责人）委托授权书；法定代表人（主要负责人）亲自参加投标时，应提供法定代表人（主要负责人）身份证明书。</w:t>
      </w:r>
    </w:p>
    <w:p>
      <w:pPr>
        <w:pStyle w:val="null3"/>
      </w:pPr>
      <w:r>
        <w:rPr/>
        <w:t>2、信誉：对列入“信用中国”网站(www.creditchina.gov.cn)记录“失信被执行人、重大税收违法失信主体、政府采购严重违法失信行为记录名单”；中国政府采购网(www.ccgp.gov.cn)“政府采购严重违法失信行为信息记录”的单位，应当拒绝参与政府采购活动</w:t>
      </w:r>
    </w:p>
    <w:p>
      <w:pPr>
        <w:pStyle w:val="null3"/>
        <w:outlineLvl w:val="2"/>
      </w:pPr>
      <w:r>
        <w:rPr>
          <w:b/>
          <w:sz w:val="28"/>
        </w:rPr>
        <w:t>五、电子化采购相关事项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b/>
          <w:sz w:val="28"/>
        </w:rPr>
        <w:t>六、招标文件获取时间、方式及地址</w:t>
      </w:r>
    </w:p>
    <w:p>
      <w:pPr>
        <w:pStyle w:val="null3"/>
        <w:ind w:firstLine="480"/>
      </w:pPr>
      <w:r>
        <w:rPr/>
        <w:t>（一）招标文件获取时间：详见采购公告</w:t>
      </w:r>
    </w:p>
    <w:p>
      <w:pPr>
        <w:pStyle w:val="null3"/>
        <w:ind w:firstLine="480"/>
      </w:pPr>
      <w:r>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t>注：获取的招标文件主体格式包括pdf、word两种格式版本，其中以pdf格式为准。</w:t>
      </w:r>
    </w:p>
    <w:p>
      <w:pPr>
        <w:pStyle w:val="null3"/>
        <w:outlineLvl w:val="2"/>
      </w:pPr>
      <w:r>
        <w:rPr>
          <w:b/>
          <w:sz w:val="28"/>
        </w:rPr>
        <w:t>七、投标文件提交截止时间及开标时间、地点、方式</w:t>
      </w:r>
    </w:p>
    <w:p>
      <w:pPr>
        <w:pStyle w:val="null3"/>
        <w:ind w:firstLine="480"/>
      </w:pPr>
      <w:r>
        <w:rPr/>
        <w:t>（一）投标文件提交截止时间及开标时间：详见采购公告</w:t>
      </w:r>
    </w:p>
    <w:p>
      <w:pPr>
        <w:pStyle w:val="null3"/>
        <w:ind w:firstLine="480"/>
      </w:pPr>
      <w:r>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t>（三）本项目采取网上开标，即采购人或代理机构通过项目电子化交易系统“开标/开启大厅”组织在线开标。</w:t>
      </w:r>
    </w:p>
    <w:p>
      <w:pPr>
        <w:pStyle w:val="null3"/>
        <w:outlineLvl w:val="2"/>
      </w:pPr>
      <w:r>
        <w:rPr>
          <w:b/>
          <w:sz w:val="28"/>
        </w:rPr>
        <w:t>八、本投标邀请在陕西省政府采购网以公告形式发布</w:t>
      </w:r>
    </w:p>
    <w:p>
      <w:pPr>
        <w:pStyle w:val="null3"/>
        <w:outlineLvl w:val="2"/>
      </w:pPr>
      <w:r>
        <w:rPr>
          <w:b/>
          <w:sz w:val="28"/>
        </w:rPr>
        <w:t>九、供应商信用融资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信用融资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b/>
          <w:sz w:val="28"/>
        </w:rPr>
        <w:t>十、联系方式</w:t>
      </w:r>
    </w:p>
    <w:p>
      <w:pPr>
        <w:pStyle w:val="null3"/>
        <w:outlineLvl w:val="2"/>
      </w:pPr>
      <w:r>
        <w:rPr>
          <w:b/>
          <w:sz w:val="28"/>
        </w:rPr>
        <w:t xml:space="preserve">采购人： </w:t>
      </w:r>
      <w:r>
        <w:rPr>
          <w:b/>
          <w:sz w:val="28"/>
        </w:rPr>
        <w:t>（地震局）地方编制</w:t>
      </w:r>
    </w:p>
    <w:p>
      <w:pPr>
        <w:pStyle w:val="null3"/>
      </w:pPr>
      <w:r>
        <w:rPr/>
        <w:t xml:space="preserve"> 地址： </w:t>
      </w:r>
      <w:r>
        <w:rPr/>
        <w:t>陕西省西安市边家村水文巷4号</w:t>
      </w:r>
    </w:p>
    <w:p>
      <w:pPr>
        <w:pStyle w:val="null3"/>
      </w:pPr>
      <w:r>
        <w:rPr/>
        <w:t xml:space="preserve"> 邮编： </w:t>
      </w:r>
      <w:r>
        <w:rPr/>
        <w:t>710068</w:t>
      </w:r>
    </w:p>
    <w:p>
      <w:pPr>
        <w:pStyle w:val="null3"/>
      </w:pPr>
      <w:r>
        <w:rPr/>
        <w:t xml:space="preserve"> 联系人： </w:t>
      </w:r>
      <w:r>
        <w:rPr/>
        <w:t>柳老师</w:t>
      </w:r>
    </w:p>
    <w:p>
      <w:pPr>
        <w:pStyle w:val="null3"/>
      </w:pPr>
      <w:r>
        <w:rPr/>
        <w:t xml:space="preserve"> 联系电话： </w:t>
      </w:r>
      <w:r>
        <w:rPr/>
        <w:t>029-88465436</w:t>
      </w:r>
    </w:p>
    <w:p>
      <w:pPr>
        <w:pStyle w:val="null3"/>
        <w:outlineLvl w:val="2"/>
      </w:pPr>
      <w:r>
        <w:rPr>
          <w:b/>
          <w:sz w:val="28"/>
        </w:rPr>
        <w:t>代理机构：</w:t>
      </w:r>
      <w:r>
        <w:rPr>
          <w:b/>
          <w:sz w:val="28"/>
        </w:rPr>
        <w:t>永明项目管理有限公司</w:t>
      </w:r>
    </w:p>
    <w:p>
      <w:pPr>
        <w:pStyle w:val="null3"/>
      </w:pPr>
      <w:r>
        <w:rPr/>
        <w:t xml:space="preserve"> 地址： </w:t>
      </w:r>
      <w:r>
        <w:rPr/>
        <w:t>陕西省西咸新区沣西新城尚业路1309号总部经济园6号楼516室</w:t>
      </w:r>
    </w:p>
    <w:p>
      <w:pPr>
        <w:pStyle w:val="null3"/>
      </w:pPr>
      <w:r>
        <w:rPr/>
        <w:t xml:space="preserve"> 邮编： </w:t>
      </w:r>
      <w:r>
        <w:rPr/>
        <w:t>710061</w:t>
      </w:r>
    </w:p>
    <w:p>
      <w:pPr>
        <w:pStyle w:val="null3"/>
      </w:pPr>
      <w:r>
        <w:rPr/>
        <w:t xml:space="preserve"> 联系人： </w:t>
      </w:r>
      <w:r>
        <w:rPr/>
        <w:t>高鑫</w:t>
      </w:r>
    </w:p>
    <w:p>
      <w:pPr>
        <w:pStyle w:val="null3"/>
      </w:pPr>
      <w:r>
        <w:rPr/>
        <w:t xml:space="preserve"> 联系电话： </w:t>
      </w:r>
      <w:r>
        <w:rPr/>
        <w:t>15349216200</w:t>
      </w:r>
    </w:p>
    <w:p>
      <w:pPr>
        <w:pStyle w:val="null3"/>
        <w:outlineLvl w:val="2"/>
      </w:pPr>
      <w:r>
        <w:rPr>
          <w:b/>
          <w:sz w:val="28"/>
        </w:rPr>
        <w:t>采购监督机构：</w:t>
      </w:r>
      <w:r>
        <w:rPr>
          <w:b/>
          <w:sz w:val="28"/>
        </w:rPr>
        <w:t>陕西省发展和改革委员会、财政厅政府采购管理处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br/>
        <w:br w:type="page"/>
      </w:r>
    </w:p>
    <w:p>
      <w:pPr>
        <w:pStyle w:val="null3"/>
        <w:jc w:val="center"/>
        <w:outlineLvl w:val="1"/>
      </w:pPr>
      <w:r>
        <w:rPr>
          <w:b/>
          <w:sz w:val="36"/>
        </w:rPr>
        <w:t>第二章 投标人须知</w:t>
      </w:r>
    </w:p>
    <w:p>
      <w:pPr>
        <w:pStyle w:val="null3"/>
        <w:outlineLvl w:val="2"/>
      </w:pPr>
      <w:r>
        <w:rPr>
          <w:b/>
          <w:sz w:val="28"/>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采购包1：6,900,000.00元</w:t>
            </w:r>
            <w:r>
              <w:rPr/>
              <w:t xml:space="preserve"> 投标人的采购包投标报价高于采购包采购预算的，其投标文件将按无效处理。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投标人的采购包投标报价高于最高限价的，其投标文件将按无效处理。</w:t>
            </w:r>
          </w:p>
        </w:tc>
      </w:tr>
      <w:tr>
        <w:tc>
          <w:tcPr>
            <w:tcW w:type="dxa" w:w="1051"/>
          </w:tcPr>
          <w:p>
            <w:pPr>
              <w:pStyle w:val="null3"/>
            </w:pPr>
            <w:r>
              <w:rPr/>
              <w:t>3</w:t>
            </w:r>
          </w:p>
        </w:tc>
        <w:tc>
          <w:tcPr>
            <w:tcW w:type="dxa" w:w="2252"/>
          </w:tcPr>
          <w:p>
            <w:pPr>
              <w:pStyle w:val="null3"/>
            </w:pPr>
            <w:r>
              <w:rPr/>
              <w:t>评标方法</w:t>
            </w:r>
          </w:p>
        </w:tc>
        <w:tc>
          <w:tcPr>
            <w:tcW w:type="dxa" w:w="5004"/>
          </w:tcPr>
          <w:p>
            <w:pPr>
              <w:pStyle w:val="null3"/>
            </w:pPr>
            <w:r>
              <w:rPr/>
              <w:t>采购包1：综合评分法</w:t>
            </w:r>
            <w:r>
              <w:rPr/>
              <w:t xml:space="preserve"> （详见第五章）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如以联合体投标的，联合体各方均应当具备本招标文件要求的资格条件和能力。</w:t>
            </w:r>
          </w:p>
          <w:p>
            <w:pPr>
              <w:pStyle w:val="null3"/>
            </w:pPr>
            <w:r>
              <w:rPr/>
              <w:t xml:space="preserve"> （1）联合体各方均应具有承担本项目必备的条件，如相应的人力、物力、资金等。</w:t>
            </w:r>
          </w:p>
          <w:p>
            <w:pPr>
              <w:pStyle w:val="null3"/>
            </w:pPr>
            <w:r>
              <w:rPr/>
              <w:t xml:space="preserve"> （2）招标文件对投标人资格条件有特殊要求的，联合体各个成员都应当具备规定的相应资格条件。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落实节能、环保、无线局域网认证产品政策</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如有</w:t>
            </w:r>
            <w:r>
              <w:rPr/>
              <w:t>产品属于节能产品政府采购品目清单中应强制采购的产品范围，供应商应当提供国家确定的认证机构出具的、处于有效期之内的节能产品认证证书，否则作无效投标处理。</w:t>
            </w:r>
          </w:p>
          <w:p>
            <w:pPr>
              <w:pStyle w:val="null3"/>
            </w:pPr>
            <w:r>
              <w:rPr/>
              <w:t xml:space="preserve"> 3.本项目采购的</w:t>
            </w:r>
            <w:r>
              <w:rPr/>
              <w:t>如有</w:t>
            </w:r>
            <w:r>
              <w:rPr/>
              <w:t>产品属于节能产品政府采购品目清单中应优先采购的产品范围，本项目采购的</w:t>
            </w:r>
            <w:r>
              <w:rPr/>
              <w:t>如有</w:t>
            </w:r>
            <w:r>
              <w:rPr/>
              <w:t>产品属于环境标志产品政府采购品目清单中应优先采购的产品范围，评审得分/响应报价相同的，按供应商提供的优先采购产品认证证书数量由多到少顺序排列。</w:t>
            </w:r>
          </w:p>
          <w:p>
            <w:pPr>
              <w:pStyle w:val="null3"/>
            </w:pPr>
            <w:r>
              <w:rPr/>
              <w:t xml:space="preserve"> 4.响应产品属于中国政府采购网公布的《无线局域网认证产品政府采购清单》且在有效期内的，按《财政部国家发展改革委信息产业部关于印发无线局域网产品政府采购实施意见的通知》（财库〔2005〕366号）要求优先采购。</w:t>
            </w:r>
          </w:p>
        </w:tc>
      </w:tr>
      <w:tr>
        <w:tc>
          <w:tcPr>
            <w:tcW w:type="dxa" w:w="1051"/>
          </w:tcPr>
          <w:p>
            <w:pPr>
              <w:pStyle w:val="null3"/>
            </w:pPr>
            <w:r>
              <w:rPr/>
              <w:t>6</w:t>
            </w:r>
          </w:p>
        </w:tc>
        <w:tc>
          <w:tcPr>
            <w:tcW w:type="dxa" w:w="2252"/>
          </w:tcPr>
          <w:p>
            <w:pPr>
              <w:pStyle w:val="null3"/>
            </w:pPr>
            <w:r>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t>关于本项目采购包中执行小微企业（监狱企业、残疾人福利性单位视同小微企业）价格扣除情况、具体扣除比例和规则详见第五章。</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t>核心产品清单详见第三章。</w:t>
            </w:r>
          </w:p>
          <w:p>
            <w:pPr>
              <w:pStyle w:val="null3"/>
            </w:pPr>
            <w:r>
              <w:rPr/>
              <w:t>在符合性审查环节提供核心产品品牌不足3个的，视为有效投标人不足3家。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t>9</w:t>
            </w:r>
          </w:p>
        </w:tc>
        <w:tc>
          <w:tcPr>
            <w:tcW w:type="dxa" w:w="2252"/>
          </w:tcPr>
          <w:p>
            <w:pPr>
              <w:pStyle w:val="null3"/>
            </w:pPr>
            <w:r>
              <w:rPr/>
              <w:t>投标保证金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采购包1：缴纳</w:t>
            </w:r>
          </w:p>
          <w:p>
            <w:pPr>
              <w:pStyle w:val="null3"/>
            </w:pPr>
            <w:r>
              <w:rPr/>
              <w:t>本采购包履约保证金为合同金额的5.0%</w:t>
            </w:r>
          </w:p>
          <w:p>
            <w:pPr>
              <w:pStyle w:val="null3"/>
            </w:pPr>
            <w:r>
              <w:rPr/>
              <w:t>说明：签订合同后15日历天内缴纳，转账形式提交的必须从公司基本账户转出。</w:t>
            </w:r>
          </w:p>
        </w:tc>
      </w:tr>
      <w:tr>
        <w:tc>
          <w:tcPr>
            <w:tcW w:type="dxa" w:w="1051"/>
          </w:tcPr>
          <w:p>
            <w:pPr>
              <w:pStyle w:val="null3"/>
            </w:pPr>
            <w:r>
              <w:rPr/>
              <w:t>12</w:t>
            </w:r>
          </w:p>
        </w:tc>
        <w:tc>
          <w:tcPr>
            <w:tcW w:type="dxa" w:w="2252"/>
          </w:tcPr>
          <w:p>
            <w:pPr>
              <w:pStyle w:val="null3"/>
            </w:pPr>
            <w:r>
              <w:rPr/>
              <w:t>投标有效期（实质性要求）</w:t>
            </w:r>
          </w:p>
        </w:tc>
        <w:tc>
          <w:tcPr>
            <w:tcW w:type="dxa" w:w="5004"/>
          </w:tcPr>
          <w:p>
            <w:pPr>
              <w:pStyle w:val="null3"/>
            </w:pPr>
            <w:r>
              <w:rPr/>
              <w:t>提交投标文件的截止之日起不少于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中标供应商在领取成交通知书前须向采购代理机构缴纳采购代理服务费。代理服务费依据《国家计委关于印发招标代理服务收费管理暂行办法的通知》（计价格【2002】1980号）和国家发改委办公厅颁发的《关于招标代理服务收费有关问题的通知》（发改办价格【2003】857号）文件规定标准下浮40%，以成交价为基数计算收取。具体收费金额将在成交结果公告中公布。</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中标通知书</w:t>
            </w:r>
          </w:p>
        </w:tc>
        <w:tc>
          <w:tcPr>
            <w:tcW w:type="dxa" w:w="5004"/>
          </w:tcPr>
          <w:p>
            <w:pPr>
              <w:pStyle w:val="null3"/>
            </w:pPr>
            <w:r>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 出现下列情形之一的，采购人或者采购代理机构应当中止电子化采购活动，并保留相关证明材料备查：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b/>
          <w:sz w:val="28"/>
        </w:rPr>
        <w:t>2.2总则</w:t>
      </w:r>
    </w:p>
    <w:p>
      <w:pPr>
        <w:pStyle w:val="null3"/>
        <w:outlineLvl w:val="3"/>
      </w:pPr>
      <w:r>
        <w:rPr>
          <w:b/>
          <w:sz w:val="24"/>
        </w:rPr>
        <w:t xml:space="preserve"> 2.2.1适用范围</w:t>
      </w:r>
    </w:p>
    <w:p>
      <w:pPr>
        <w:pStyle w:val="null3"/>
        <w:ind w:firstLine="480"/>
      </w:pPr>
      <w:r>
        <w:rPr/>
        <w:t>一、本招标文件仅适用于本次公开招标采购项目。</w:t>
      </w:r>
    </w:p>
    <w:p>
      <w:pPr>
        <w:pStyle w:val="null3"/>
        <w:ind w:firstLine="480"/>
      </w:pPr>
      <w:r>
        <w:rPr/>
        <w:t xml:space="preserve"> 二、本招标文件的最终解释权由</w:t>
      </w:r>
      <w:r>
        <w:rPr/>
        <w:t>（地震局）地方编制</w:t>
      </w:r>
      <w:r>
        <w:rPr/>
        <w:t>和</w:t>
      </w:r>
      <w:r>
        <w:rPr/>
        <w:t>永明项目管理有限公司</w:t>
      </w:r>
      <w:r>
        <w:rPr/>
        <w:t>享有。对招标文件中供应商参加本次政府采购活动应当具备的条件，招标项目技术、服务、商务及其他要求，评标细则及标准由</w:t>
      </w:r>
      <w:r>
        <w:rPr/>
        <w:t>（地震局）地方编制</w:t>
      </w:r>
      <w:r>
        <w:rPr/>
        <w:t>负责解释。除上述招标文件内容，其他内容由</w:t>
      </w:r>
      <w:r>
        <w:rPr/>
        <w:t>永明项目管理有限公司</w:t>
      </w:r>
      <w:r>
        <w:rPr/>
        <w:t>负责解释。</w:t>
      </w:r>
    </w:p>
    <w:p>
      <w:pPr>
        <w:pStyle w:val="null3"/>
        <w:outlineLvl w:val="3"/>
      </w:pPr>
      <w:r>
        <w:rPr>
          <w:b/>
          <w:sz w:val="24"/>
        </w:rPr>
        <w:t>2.2.2有关定义</w:t>
      </w:r>
    </w:p>
    <w:p>
      <w:pPr>
        <w:pStyle w:val="null3"/>
        <w:ind w:firstLine="480"/>
      </w:pPr>
      <w:r>
        <w:rPr/>
        <w:t xml:space="preserve"> 一、“采购人”是指依法进行政府采购的各级国家机关、事业单位、团体组织。本次招标的采购人是</w:t>
      </w:r>
      <w:r>
        <w:rPr/>
        <w:t>（地震局）地方编制</w:t>
      </w:r>
      <w:r>
        <w:rPr/>
        <w:t>。</w:t>
      </w:r>
    </w:p>
    <w:p>
      <w:pPr>
        <w:pStyle w:val="null3"/>
        <w:ind w:firstLine="480"/>
      </w:pPr>
      <w:r>
        <w:rPr/>
        <w:t xml:space="preserve"> 二、“投标人”是指按照采购公告规定获取了招标文件，拟参加投标和向采购人提供货物、工程或服务的法人、其他组织或者自然人。</w:t>
      </w:r>
    </w:p>
    <w:p>
      <w:pPr>
        <w:pStyle w:val="null3"/>
        <w:ind w:firstLine="480"/>
      </w:pPr>
      <w:r>
        <w:rPr/>
        <w:t xml:space="preserve"> 三、“代理机构”是指政府采购集中采购机构和从事政府采购代理业务的社会中介机构。本项目的代理机构是</w:t>
      </w:r>
      <w:r>
        <w:rPr/>
        <w:t>永明项目管理有限公司</w:t>
      </w:r>
      <w:r>
        <w:rPr/>
        <w:t>。</w:t>
      </w:r>
    </w:p>
    <w:p>
      <w:pPr>
        <w:pStyle w:val="null3"/>
        <w:ind w:firstLine="480"/>
      </w:pPr>
      <w:r>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b/>
          <w:sz w:val="28"/>
        </w:rPr>
        <w:t>2.3招标文件</w:t>
      </w:r>
    </w:p>
    <w:p>
      <w:pPr>
        <w:pStyle w:val="null3"/>
        <w:outlineLvl w:val="3"/>
      </w:pPr>
      <w:r>
        <w:rPr>
          <w:b/>
          <w:sz w:val="24"/>
        </w:rPr>
        <w:t xml:space="preserve"> 2.3.1招标文件的构成</w:t>
      </w:r>
    </w:p>
    <w:p>
      <w:pPr>
        <w:pStyle w:val="null3"/>
        <w:ind w:firstLine="480"/>
      </w:pPr>
      <w:r>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t>（一）投标邀请；</w:t>
      </w:r>
    </w:p>
    <w:p>
      <w:pPr>
        <w:pStyle w:val="null3"/>
        <w:ind w:firstLine="480"/>
      </w:pPr>
      <w:r>
        <w:rPr/>
        <w:t>（二）投标人须知；</w:t>
      </w:r>
    </w:p>
    <w:p>
      <w:pPr>
        <w:pStyle w:val="null3"/>
        <w:ind w:firstLine="480"/>
      </w:pPr>
      <w:r>
        <w:rPr/>
        <w:t>（三）招标项目技术、服务、商务及其他要求；</w:t>
      </w:r>
    </w:p>
    <w:p>
      <w:pPr>
        <w:pStyle w:val="null3"/>
        <w:ind w:firstLine="480"/>
      </w:pPr>
      <w:r>
        <w:rPr/>
        <w:t>（四）资格审查；</w:t>
      </w:r>
    </w:p>
    <w:p>
      <w:pPr>
        <w:pStyle w:val="null3"/>
        <w:ind w:firstLine="480"/>
      </w:pPr>
      <w:r>
        <w:rPr/>
        <w:t>（五）评标办法；</w:t>
      </w:r>
    </w:p>
    <w:p>
      <w:pPr>
        <w:pStyle w:val="null3"/>
        <w:ind w:firstLine="480"/>
      </w:pPr>
      <w:r>
        <w:rPr/>
        <w:t>（六）投标文件格式；</w:t>
      </w:r>
    </w:p>
    <w:p>
      <w:pPr>
        <w:pStyle w:val="null3"/>
        <w:ind w:firstLine="480"/>
      </w:pPr>
      <w:r>
        <w:rPr/>
        <w:t>（七）拟签订采购合同文本。</w:t>
      </w:r>
    </w:p>
    <w:p>
      <w:pPr>
        <w:pStyle w:val="null3"/>
        <w:ind w:firstLine="480"/>
      </w:pPr>
      <w:r>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b/>
          <w:sz w:val="24"/>
        </w:rPr>
        <w:t xml:space="preserve"> 2.3.2招标文件的澄清和修改</w:t>
      </w:r>
    </w:p>
    <w:p>
      <w:pPr>
        <w:pStyle w:val="null3"/>
        <w:ind w:firstLine="480"/>
      </w:pPr>
      <w:r>
        <w:rPr/>
        <w:t>一、在投标文件提交截止时间前，采购人或者代理机构可以对已发出的招标文件进行必要的澄清或者修改。</w:t>
      </w:r>
    </w:p>
    <w:p>
      <w:pPr>
        <w:pStyle w:val="null3"/>
        <w:ind w:firstLine="480"/>
      </w:pPr>
      <w:r>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b/>
          <w:sz w:val="28"/>
        </w:rPr>
        <w:t>2.4投标文件</w:t>
      </w:r>
    </w:p>
    <w:p>
      <w:pPr>
        <w:pStyle w:val="null3"/>
        <w:outlineLvl w:val="3"/>
      </w:pPr>
      <w:r>
        <w:rPr>
          <w:b/>
          <w:sz w:val="24"/>
        </w:rPr>
        <w:t xml:space="preserve"> 2.4.1投标文件的语言</w:t>
      </w:r>
    </w:p>
    <w:p>
      <w:pPr>
        <w:pStyle w:val="null3"/>
        <w:ind w:firstLine="480"/>
      </w:pPr>
      <w:r>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三、如因未翻译而造成对投标人的不利后果，由投标人承担。</w:t>
      </w:r>
    </w:p>
    <w:p>
      <w:pPr>
        <w:pStyle w:val="null3"/>
        <w:outlineLvl w:val="3"/>
      </w:pPr>
      <w:r>
        <w:rPr>
          <w:b/>
          <w:sz w:val="24"/>
        </w:rPr>
        <w:t>2.4.2计量单位</w:t>
      </w:r>
    </w:p>
    <w:p>
      <w:pPr>
        <w:pStyle w:val="null3"/>
        <w:ind w:firstLine="480"/>
      </w:pPr>
      <w:r>
        <w:rPr/>
        <w:t>除招标文件中另有规定外，本项目均采用国家法定的计量单位。</w:t>
      </w:r>
    </w:p>
    <w:p>
      <w:pPr>
        <w:pStyle w:val="null3"/>
        <w:outlineLvl w:val="3"/>
      </w:pPr>
      <w:r>
        <w:rPr>
          <w:b/>
          <w:sz w:val="24"/>
        </w:rPr>
        <w:t>2.4.3投标货币</w:t>
      </w:r>
    </w:p>
    <w:p>
      <w:pPr>
        <w:pStyle w:val="null3"/>
        <w:ind w:firstLine="480"/>
      </w:pPr>
      <w:r>
        <w:rPr/>
        <w:t>本次项目均以人民币报价。</w:t>
      </w:r>
    </w:p>
    <w:p>
      <w:pPr>
        <w:pStyle w:val="null3"/>
        <w:outlineLvl w:val="3"/>
      </w:pPr>
      <w:r>
        <w:rPr>
          <w:b/>
          <w:sz w:val="24"/>
        </w:rPr>
        <w:t xml:space="preserve"> 2.4.4知识产权</w:t>
      </w:r>
    </w:p>
    <w:p>
      <w:pPr>
        <w:pStyle w:val="null3"/>
        <w:ind w:firstLine="480"/>
      </w:pPr>
      <w:r>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t>三、如采用投标人所不拥有的知识产权，则在投标报价中必须包括合法使用该知识产权的相关费用。</w:t>
      </w:r>
    </w:p>
    <w:p>
      <w:pPr>
        <w:pStyle w:val="null3"/>
        <w:outlineLvl w:val="3"/>
      </w:pPr>
      <w:r>
        <w:rPr>
          <w:b/>
          <w:sz w:val="24"/>
        </w:rPr>
        <w:t>2.4.5投标文件的组成</w:t>
      </w:r>
    </w:p>
    <w:p>
      <w:pPr>
        <w:pStyle w:val="null3"/>
        <w:ind w:firstLine="480"/>
      </w:pPr>
      <w:r>
        <w:rPr/>
        <w:t>投标人应当按照招标文件的要求编制投标文件。投标文件应当对招标文件提出的要求和条件作出明确响应。</w:t>
      </w:r>
    </w:p>
    <w:p>
      <w:pPr>
        <w:pStyle w:val="null3"/>
        <w:ind w:firstLine="480"/>
      </w:pPr>
      <w:r>
        <w:rPr/>
        <w:t>投标文件具体内容详见第六章。</w:t>
      </w:r>
    </w:p>
    <w:p>
      <w:pPr>
        <w:pStyle w:val="null3"/>
        <w:outlineLvl w:val="3"/>
      </w:pPr>
      <w:r>
        <w:rPr>
          <w:b/>
          <w:sz w:val="24"/>
        </w:rPr>
        <w:t xml:space="preserve"> 2.4.6投标文件格式</w:t>
      </w:r>
    </w:p>
    <w:p>
      <w:pPr>
        <w:pStyle w:val="null3"/>
        <w:ind w:firstLine="480"/>
      </w:pPr>
      <w:r>
        <w:rPr/>
        <w:t>一、投标人应按照招标文件第六章中提供的“投标文件格式”填写相关内容。</w:t>
      </w:r>
    </w:p>
    <w:p>
      <w:pPr>
        <w:pStyle w:val="null3"/>
        <w:ind w:firstLine="480"/>
      </w:pPr>
      <w:r>
        <w:rPr/>
        <w:t>二、对于没有格式要求的投标文件由投标人自行编写。</w:t>
      </w:r>
    </w:p>
    <w:p>
      <w:pPr>
        <w:pStyle w:val="null3"/>
        <w:outlineLvl w:val="3"/>
      </w:pPr>
      <w:r>
        <w:rPr>
          <w:b/>
          <w:sz w:val="24"/>
        </w:rPr>
        <w:t>2.4.7投标报价（实质性要求）</w:t>
      </w:r>
    </w:p>
    <w:p>
      <w:pPr>
        <w:pStyle w:val="null3"/>
        <w:ind w:firstLine="480"/>
      </w:pPr>
      <w:r>
        <w:rPr/>
        <w:t>一、投标人的报价是投标人响应招标项目要 求的全部工作内容的价格体现，包括投标人完成本项目所需的一切费用。</w:t>
      </w:r>
    </w:p>
    <w:p>
      <w:pPr>
        <w:pStyle w:val="null3"/>
        <w:ind w:firstLine="480"/>
      </w:pPr>
      <w:r>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b/>
          <w:sz w:val="24"/>
        </w:rPr>
        <w:t>2.4.8投标有效期（实质性要求）</w:t>
      </w:r>
    </w:p>
    <w:p>
      <w:pPr>
        <w:pStyle w:val="null3"/>
        <w:ind w:firstLine="480"/>
      </w:pPr>
      <w:r>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b/>
          <w:sz w:val="24"/>
        </w:rPr>
        <w:t xml:space="preserve"> 2.4.9投标文件的制作、签章和加密（实质性要求）</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t xml:space="preserve"> 三、投标人完成投标文件编制后，应按照招标文件第一章明确的签章要求，使用互认的证书及签章对投标文件进行电子签章和加密。</w:t>
      </w:r>
    </w:p>
    <w:p>
      <w:pPr>
        <w:pStyle w:val="null3"/>
        <w:ind w:firstLine="480"/>
      </w:pPr>
      <w:r>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b/>
          <w:sz w:val="24"/>
        </w:rPr>
        <w:t>2.4.10投标文件的提交</w:t>
      </w:r>
    </w:p>
    <w:p>
      <w:pPr>
        <w:pStyle w:val="null3"/>
        <w:ind w:firstLine="480"/>
      </w:pPr>
      <w:r>
        <w:rPr/>
        <w:t>一、（实质性要求）投标人应当在投标文件提交截止时间前，通过项目电子化交易系统完成投标文件提交。</w:t>
      </w:r>
    </w:p>
    <w:p>
      <w:pPr>
        <w:pStyle w:val="null3"/>
        <w:ind w:firstLine="480"/>
      </w:pPr>
      <w:r>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b/>
          <w:sz w:val="24"/>
        </w:rPr>
        <w:t>2.4.11投标文件的补充、修改、撤回（实质性要求）</w:t>
      </w:r>
    </w:p>
    <w:p>
      <w:pPr>
        <w:pStyle w:val="null3"/>
        <w:ind w:firstLine="480"/>
      </w:pPr>
      <w:r>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t>供应商投标文件撤回后，视为未提交过投标文件。</w:t>
      </w:r>
    </w:p>
    <w:p>
      <w:pPr>
        <w:pStyle w:val="null3"/>
        <w:outlineLvl w:val="2"/>
      </w:pPr>
      <w:r>
        <w:rPr>
          <w:b/>
          <w:sz w:val="28"/>
        </w:rPr>
        <w:t>2.5开标、资格审查、评标和中标</w:t>
      </w:r>
    </w:p>
    <w:p>
      <w:pPr>
        <w:pStyle w:val="null3"/>
        <w:outlineLvl w:val="3"/>
      </w:pPr>
      <w:r>
        <w:rPr>
          <w:b/>
          <w:sz w:val="24"/>
        </w:rPr>
        <w:t>2.5.1开标及开标程序</w:t>
      </w:r>
    </w:p>
    <w:p>
      <w:pPr>
        <w:pStyle w:val="null3"/>
        <w:ind w:firstLine="480"/>
      </w:pPr>
      <w:r>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t>二、开标准备工作</w:t>
      </w:r>
    </w:p>
    <w:p>
      <w:pPr>
        <w:pStyle w:val="null3"/>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三、解密投标文件（实质性要求）</w:t>
      </w:r>
    </w:p>
    <w:p>
      <w:pPr>
        <w:pStyle w:val="null3"/>
        <w:ind w:firstLine="480"/>
      </w:pPr>
      <w:r>
        <w:rPr/>
        <w:t xml:space="preserve"> 投标文件提交截止时间后，成功提交投标文件的投标人符合招标文件规定数量的，代理机构将启动投标文件解密程序，解密时间为</w:t>
      </w:r>
      <w:r>
        <w:rPr/>
        <w:t>30</w:t>
      </w:r>
      <w:r>
        <w:rPr/>
        <w:t>分钟；投标人应在规定的解密时间内，使用互认的证书及签章通过项目电子化采购系统进行投标文件解密。</w:t>
      </w:r>
    </w:p>
    <w:p>
      <w:pPr>
        <w:pStyle w:val="null3"/>
        <w:ind w:firstLine="480"/>
      </w:pPr>
      <w:r>
        <w:rPr/>
        <w:t>四、开标</w:t>
      </w:r>
    </w:p>
    <w:p>
      <w:pPr>
        <w:pStyle w:val="null3"/>
        <w:ind w:firstLine="480"/>
      </w:pPr>
      <w:r>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t>投标人完成投标文件解密后，自主决定是否参加网上在线开标，未参加的，视同认可开标结果。</w:t>
      </w:r>
    </w:p>
    <w:p>
      <w:pPr>
        <w:pStyle w:val="null3"/>
        <w:outlineLvl w:val="3"/>
      </w:pPr>
      <w:r>
        <w:rPr>
          <w:b/>
          <w:sz w:val="24"/>
        </w:rPr>
        <w:t>2.5.2查询及使用信用记录</w:t>
      </w:r>
    </w:p>
    <w:p>
      <w:pPr>
        <w:pStyle w:val="null3"/>
        <w:ind w:firstLine="480"/>
      </w:pPr>
      <w:r>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b/>
          <w:sz w:val="24"/>
        </w:rPr>
        <w:t>2.5.3资格审查</w:t>
      </w:r>
    </w:p>
    <w:p>
      <w:pPr>
        <w:pStyle w:val="null3"/>
        <w:ind w:firstLine="480"/>
      </w:pPr>
      <w:r>
        <w:rPr/>
        <w:t>详见招标文件第四章。</w:t>
      </w:r>
    </w:p>
    <w:p>
      <w:pPr>
        <w:pStyle w:val="null3"/>
        <w:outlineLvl w:val="3"/>
      </w:pPr>
      <w:r>
        <w:rPr>
          <w:b/>
          <w:sz w:val="24"/>
        </w:rPr>
        <w:t>2.5.4评标</w:t>
      </w:r>
    </w:p>
    <w:p>
      <w:pPr>
        <w:pStyle w:val="null3"/>
        <w:ind w:firstLine="480"/>
      </w:pPr>
      <w:r>
        <w:rPr/>
        <w:t>详见招标文件第五章。</w:t>
      </w:r>
    </w:p>
    <w:p>
      <w:pPr>
        <w:pStyle w:val="null3"/>
        <w:outlineLvl w:val="3"/>
      </w:pPr>
      <w:r>
        <w:rPr>
          <w:b/>
          <w:sz w:val="24"/>
        </w:rPr>
        <w:t>2.5.5中标通知书</w:t>
      </w:r>
    </w:p>
    <w:p>
      <w:pPr>
        <w:pStyle w:val="null3"/>
        <w:ind w:firstLine="480"/>
      </w:pPr>
      <w:r>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t>三、中标通知书对采购人和中标供应商均具有法律效力。</w:t>
      </w:r>
    </w:p>
    <w:p>
      <w:pPr>
        <w:pStyle w:val="null3"/>
        <w:outlineLvl w:val="2"/>
      </w:pPr>
      <w:r>
        <w:rPr>
          <w:b/>
          <w:sz w:val="28"/>
        </w:rPr>
        <w:t>2.6签订及履行合同和验收</w:t>
      </w:r>
    </w:p>
    <w:p>
      <w:pPr>
        <w:pStyle w:val="null3"/>
        <w:outlineLvl w:val="3"/>
      </w:pPr>
      <w:r>
        <w:rPr>
          <w:b/>
          <w:sz w:val="24"/>
        </w:rPr>
        <w:t xml:space="preserve"> 2.6.1签订合同</w:t>
      </w:r>
    </w:p>
    <w:p>
      <w:pPr>
        <w:pStyle w:val="null3"/>
        <w:ind w:firstLine="480"/>
      </w:pPr>
      <w:r>
        <w:rPr/>
        <w:t>一、采购人应在中标通知书发出之日起三十日内与中标人签订采购合同。</w:t>
      </w:r>
    </w:p>
    <w:p>
      <w:pPr>
        <w:pStyle w:val="null3"/>
        <w:ind w:firstLine="480"/>
      </w:pPr>
      <w:r>
        <w:rPr/>
        <w:t>二、采购人和中标人签订的采购合同不得对招标文件确定的事项以及中标人的投标文件作实质性修改。</w:t>
      </w:r>
    </w:p>
    <w:p>
      <w:pPr>
        <w:pStyle w:val="null3"/>
        <w:outlineLvl w:val="3"/>
      </w:pPr>
      <w:r>
        <w:rPr>
          <w:b/>
          <w:sz w:val="24"/>
        </w:rPr>
        <w:t>2.6.2合同分包和转包（实质性要求）</w:t>
      </w:r>
    </w:p>
    <w:p>
      <w:pPr>
        <w:pStyle w:val="null3"/>
        <w:outlineLvl w:val="3"/>
      </w:pPr>
      <w:r>
        <w:rPr>
          <w:b/>
          <w:sz w:val="24"/>
        </w:rPr>
        <w:t>2.6.2.1合同分包</w:t>
      </w:r>
    </w:p>
    <w:p>
      <w:pPr>
        <w:pStyle w:val="null3"/>
        <w:ind w:firstLine="480"/>
      </w:pPr>
      <w:r>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t>二、分包履行合同的部分应当为采购项目的非主体、非关键性工作，不属于中标人的主要合同义务。</w:t>
      </w:r>
    </w:p>
    <w:p>
      <w:pPr>
        <w:pStyle w:val="null3"/>
        <w:ind w:firstLine="480"/>
      </w:pPr>
      <w:r>
        <w:rPr/>
        <w:t>三、采购合同实行分包履行的，中标人就采购项目和分包项目向采购人负责，分包供应商就分包项目承担责任。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b/>
          <w:sz w:val="24"/>
        </w:rPr>
        <w:t>2.6.2.2合同转包</w:t>
      </w:r>
    </w:p>
    <w:p>
      <w:pPr>
        <w:pStyle w:val="null3"/>
        <w:ind w:firstLine="480"/>
      </w:pPr>
      <w:r>
        <w:rPr/>
        <w:t xml:space="preserve"> 一、严禁中标人将本项目转包。本项目所称转包，是指将本项目转给他人或者将本项目全部肢解以后以分包的名义分别转给他人的行为。</w:t>
      </w:r>
    </w:p>
    <w:p>
      <w:pPr>
        <w:pStyle w:val="null3"/>
        <w:ind w:firstLine="480"/>
      </w:pPr>
      <w:r>
        <w:rPr/>
        <w:t>二、中标人转包的，视同拒绝履行政府采购合同，将依法追究法律责任。</w:t>
      </w:r>
    </w:p>
    <w:p>
      <w:pPr>
        <w:pStyle w:val="null3"/>
        <w:outlineLvl w:val="3"/>
      </w:pPr>
      <w:r>
        <w:rPr>
          <w:b/>
          <w:sz w:val="24"/>
        </w:rPr>
        <w:t>2.6.3采购人增加合同标的的权利</w:t>
      </w:r>
    </w:p>
    <w:p>
      <w:pPr>
        <w:pStyle w:val="null3"/>
        <w:ind w:firstLine="480"/>
      </w:pPr>
      <w:r>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b/>
          <w:sz w:val="24"/>
        </w:rPr>
        <w:t>2.6.4履行合同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b/>
          <w:sz w:val="24"/>
        </w:rPr>
        <w:t xml:space="preserve"> 2.6.5履约验收方案</w:t>
      </w:r>
    </w:p>
    <w:p>
      <w:pPr>
        <w:pStyle w:val="null3"/>
      </w:pPr>
      <w:r>
        <w:rPr/>
        <w:t>采购包1：</w:t>
      </w:r>
    </w:p>
    <w:p>
      <w:pPr>
        <w:pStyle w:val="null3"/>
      </w:pPr>
      <w:r>
        <w:rPr/>
        <w:t>完成本项目设备供货、测试并满足相关行业技术规范要求，对采购人完成技术培训等。</w:t>
      </w:r>
    </w:p>
    <w:p>
      <w:pPr>
        <w:pStyle w:val="null3"/>
        <w:outlineLvl w:val="3"/>
      </w:pPr>
      <w:r>
        <w:rPr>
          <w:b/>
          <w:sz w:val="24"/>
        </w:rPr>
        <w:t>2.6.6资金支付</w:t>
      </w:r>
    </w:p>
    <w:p>
      <w:pPr>
        <w:pStyle w:val="null3"/>
        <w:ind w:firstLine="480"/>
      </w:pPr>
      <w:r>
        <w:rPr/>
        <w:t>采购人按财政部门的相关规定及采购合同的约定进行支付。</w:t>
      </w:r>
    </w:p>
    <w:p>
      <w:pPr>
        <w:pStyle w:val="null3"/>
        <w:outlineLvl w:val="2"/>
      </w:pPr>
      <w:r>
        <w:rPr>
          <w:b/>
          <w:sz w:val="28"/>
        </w:rPr>
        <w:t>2.7纪律要求</w:t>
      </w:r>
    </w:p>
    <w:p>
      <w:pPr>
        <w:pStyle w:val="null3"/>
        <w:outlineLvl w:val="3"/>
      </w:pPr>
      <w:r>
        <w:rPr>
          <w:b/>
          <w:sz w:val="24"/>
        </w:rPr>
        <w:t xml:space="preserve"> 2.7.1评标活动纪律要求</w:t>
      </w:r>
    </w:p>
    <w:p>
      <w:pPr>
        <w:pStyle w:val="null3"/>
        <w:ind w:firstLine="480"/>
      </w:pPr>
      <w:r>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t>对各投标人的商业秘密，评标委员会成员应予以保密，不得泄露给其他投标人。</w:t>
      </w:r>
    </w:p>
    <w:p>
      <w:pPr>
        <w:pStyle w:val="null3"/>
        <w:outlineLvl w:val="3"/>
      </w:pPr>
      <w:r>
        <w:rPr>
          <w:b/>
          <w:sz w:val="24"/>
        </w:rPr>
        <w:t xml:space="preserve"> 2.7.2投标人不得具有的情形（实质性要求）</w:t>
      </w:r>
    </w:p>
    <w:p>
      <w:pPr>
        <w:pStyle w:val="null3"/>
        <w:ind w:firstLine="480"/>
      </w:pPr>
      <w:r>
        <w:rPr/>
        <w:t>一、有下列情形之一的，视为投标人串通投标：</w:t>
      </w:r>
    </w:p>
    <w:p>
      <w:pPr>
        <w:pStyle w:val="null3"/>
        <w:ind w:firstLine="480"/>
      </w:pPr>
      <w:r>
        <w:rPr/>
        <w:t>（一）不同投标人的投标文件由同一单位或者个人编制；</w:t>
      </w:r>
    </w:p>
    <w:p>
      <w:pPr>
        <w:pStyle w:val="null3"/>
        <w:ind w:firstLine="480"/>
      </w:pPr>
      <w:r>
        <w:rPr/>
        <w:t>（二）不同投标人委托同一单位或者个人办理投标事宜；</w:t>
      </w:r>
    </w:p>
    <w:p>
      <w:pPr>
        <w:pStyle w:val="null3"/>
        <w:ind w:firstLine="480"/>
      </w:pPr>
      <w:r>
        <w:rPr/>
        <w:t>（三）不同投标人的投标文件载明的项目管理成员或者联系人员为同一人；</w:t>
      </w:r>
    </w:p>
    <w:p>
      <w:pPr>
        <w:pStyle w:val="null3"/>
        <w:ind w:firstLine="480"/>
      </w:pPr>
      <w:r>
        <w:rPr/>
        <w:t>（四）不同投标人的投标文件异常一致或者投标报价呈规律性差异；</w:t>
      </w:r>
    </w:p>
    <w:p>
      <w:pPr>
        <w:pStyle w:val="null3"/>
        <w:ind w:firstLine="480"/>
      </w:pPr>
      <w:r>
        <w:rPr/>
        <w:t>（五）不同投标人的投标文件相互混装。</w:t>
      </w:r>
    </w:p>
    <w:p>
      <w:pPr>
        <w:pStyle w:val="null3"/>
        <w:ind w:firstLine="480"/>
      </w:pPr>
      <w:r>
        <w:rPr/>
        <w:t>二、提供虚假材料谋取中标；</w:t>
      </w:r>
    </w:p>
    <w:p>
      <w:pPr>
        <w:pStyle w:val="null3"/>
        <w:ind w:firstLine="480"/>
      </w:pPr>
      <w:r>
        <w:rPr/>
        <w:t>三、采取不正当手段诋毁、排挤其他投标人；</w:t>
      </w:r>
    </w:p>
    <w:p>
      <w:pPr>
        <w:pStyle w:val="null3"/>
        <w:ind w:firstLine="480"/>
      </w:pPr>
      <w:r>
        <w:rPr/>
        <w:t>四、与采购人或代理机构、其他投标人恶意串通；</w:t>
      </w:r>
    </w:p>
    <w:p>
      <w:pPr>
        <w:pStyle w:val="null3"/>
        <w:ind w:firstLine="480"/>
      </w:pPr>
      <w:r>
        <w:rPr/>
        <w:t>五、向采购人或代理机构、评标委员会成员行贿或者提供其他不正当利益；</w:t>
      </w:r>
    </w:p>
    <w:p>
      <w:pPr>
        <w:pStyle w:val="null3"/>
        <w:ind w:firstLine="480"/>
      </w:pPr>
      <w:r>
        <w:rPr/>
        <w:t>六、在招标过程中与采购人或代理机构进行协商谈判；</w:t>
      </w:r>
    </w:p>
    <w:p>
      <w:pPr>
        <w:pStyle w:val="null3"/>
        <w:ind w:firstLine="480"/>
      </w:pPr>
      <w:r>
        <w:rPr/>
        <w:t>七、中标后无正当理由拒不与采购人签订政府采购合同；</w:t>
      </w:r>
    </w:p>
    <w:p>
      <w:pPr>
        <w:pStyle w:val="null3"/>
        <w:ind w:firstLine="480"/>
      </w:pPr>
      <w:r>
        <w:rPr/>
        <w:t>八、未按照采购文件确定的事项签订政府采购合同；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投标人有上述情形的，按照规定追究法律责任，具备一至十一条情形之一的，其投标文件无效，或取消被确认为中标供应商的资格或认定中标无效。</w:t>
      </w:r>
    </w:p>
    <w:p>
      <w:pPr>
        <w:pStyle w:val="null3"/>
        <w:outlineLvl w:val="2"/>
      </w:pPr>
      <w:r>
        <w:rPr>
          <w:b/>
          <w:sz w:val="28"/>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根据委托代理协议约定，供应商对招标文件中采购需求的询问、质疑由 </w:t>
      </w:r>
      <w:r>
        <w:rPr/>
        <w:t>永明项目管理有限公司</w:t>
      </w:r>
      <w:r>
        <w:rPr/>
        <w:t xml:space="preserve"> 负责答复；供应商对除采购需求外的采购文件的询问、质疑由</w:t>
      </w:r>
      <w:r>
        <w:rPr/>
        <w:t>永明项目管理有限公司</w:t>
      </w:r>
      <w:r>
        <w:rPr/>
        <w:t xml:space="preserve"> 负责答复；供应商对采购过程、采购结果的询问、质疑由 </w:t>
      </w:r>
      <w:r>
        <w:rPr/>
        <w:t>永明项目管理有限公司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t>（一）对可以质疑的采购文件提出质疑的，为收到采购文件之日或者采购文件公告期限届满之日</w:t>
      </w:r>
    </w:p>
    <w:p>
      <w:pPr>
        <w:pStyle w:val="null3"/>
        <w:jc w:val="left"/>
      </w:pPr>
      <w:r>
        <w:rPr/>
        <w:t>（二）对采购过程提出质疑的，为各采购程序环节结束之日；</w:t>
      </w:r>
    </w:p>
    <w:p>
      <w:pPr>
        <w:pStyle w:val="null3"/>
        <w:jc w:val="left"/>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（一）质疑书正本1份；（政府采购供应商质疑函范本详见附件一）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（五）针对质疑事项必要的证明材料（针对招标文件提出的质疑，需提交从项目电子化交易系统获取的招标文件回执单）。</w:t>
      </w:r>
    </w:p>
    <w:p>
      <w:pPr>
        <w:pStyle w:val="null3"/>
      </w:pPr>
      <w:r>
        <w:rPr/>
        <w:t>答复主体：代理机构</w:t>
      </w:r>
    </w:p>
    <w:p>
      <w:pPr>
        <w:pStyle w:val="null3"/>
      </w:pPr>
      <w:r>
        <w:rPr/>
        <w:t>联系人：高鑫</w:t>
      </w:r>
    </w:p>
    <w:p>
      <w:pPr>
        <w:pStyle w:val="null3"/>
      </w:pPr>
      <w:r>
        <w:rPr/>
        <w:t>联系电话：15349216200</w:t>
      </w:r>
    </w:p>
    <w:p>
      <w:pPr>
        <w:pStyle w:val="null3"/>
      </w:pPr>
      <w:r>
        <w:rPr/>
        <w:t>地址：陕西省西咸新区沣西新城尚业路1309号总部经济园6号楼516室</w:t>
      </w:r>
    </w:p>
    <w:p>
      <w:pPr>
        <w:pStyle w:val="null3"/>
      </w:pPr>
      <w:r>
        <w:rPr/>
        <w:t>邮编：710061</w:t>
      </w:r>
    </w:p>
    <w:p>
      <w:pPr>
        <w:pStyle w:val="null3"/>
        <w:ind w:firstLine="480"/>
      </w:pPr>
      <w:r>
        <w:rPr/>
        <w:t>注：根据《中华人民共和国政府采购法》的规定，供应商质疑不得超出采购文件、采购过程、采购结果的范围。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b/>
          <w:sz w:val="36"/>
        </w:rPr>
        <w:t>第三章 招标项目技术、服务、商务及其他要求</w:t>
      </w:r>
    </w:p>
    <w:p>
      <w:pPr>
        <w:pStyle w:val="null3"/>
        <w:ind w:firstLine="480"/>
      </w:pPr>
      <w:r>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b/>
          <w:sz w:val="28"/>
        </w:rPr>
        <w:t>3.1采购项目概况</w:t>
      </w:r>
    </w:p>
    <w:p>
      <w:pPr>
        <w:pStyle w:val="null3"/>
        <w:ind w:firstLine="480"/>
      </w:pPr>
      <w:r>
        <w:rPr/>
        <w:t>完成1套量子（冷原子）绝对重力仪、1套激光干涉绝对重力仪设备的购置、安装调试、测试及培训。</w:t>
      </w:r>
    </w:p>
    <w:p>
      <w:pPr>
        <w:pStyle w:val="null3"/>
        <w:outlineLvl w:val="2"/>
      </w:pPr>
      <w:r>
        <w:rPr>
          <w:b/>
          <w:sz w:val="28"/>
        </w:rPr>
        <w:t>3.2采购内容</w:t>
      </w:r>
    </w:p>
    <w:p>
      <w:pPr>
        <w:pStyle w:val="null3"/>
      </w:pPr>
      <w:r>
        <w:rPr/>
        <w:t>采购包1：</w:t>
      </w:r>
    </w:p>
    <w:p>
      <w:pPr>
        <w:pStyle w:val="null3"/>
      </w:pPr>
      <w:r>
        <w:rPr/>
        <w:t>采购包预算金额（元）: 6,900,000.00</w:t>
      </w:r>
    </w:p>
    <w:p>
      <w:pPr>
        <w:pStyle w:val="null3"/>
      </w:pPr>
      <w:r>
        <w:rPr/>
        <w:t>采购包最高限价（元）: 6,900,000.00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绝对重力仪</w:t>
            </w:r>
          </w:p>
        </w:tc>
        <w:tc>
          <w:tcPr>
            <w:tcW w:type="dxa" w:w="831"/>
          </w:tcPr>
          <w:p>
            <w:pPr>
              <w:pStyle w:val="null3"/>
              <w:jc w:val="right"/>
            </w:pPr>
            <w:r>
              <w:rPr/>
              <w:t>1.00</w:t>
            </w:r>
          </w:p>
        </w:tc>
        <w:tc>
          <w:tcPr>
            <w:tcW w:type="dxa" w:w="831"/>
          </w:tcPr>
          <w:p>
            <w:pPr>
              <w:pStyle w:val="null3"/>
              <w:jc w:val="right"/>
            </w:pPr>
            <w:r>
              <w:rPr/>
              <w:t>6,900,000.00</w:t>
            </w:r>
          </w:p>
        </w:tc>
        <w:tc>
          <w:tcPr>
            <w:tcW w:type="dxa" w:w="831"/>
          </w:tcPr>
          <w:p>
            <w:pPr>
              <w:pStyle w:val="null3"/>
            </w:pPr>
            <w:r>
              <w:rPr/>
              <w:t>批</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b/>
          <w:sz w:val="28"/>
        </w:rPr>
        <w:t>3.3技术要求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标的名称：绝对重力仪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rFonts w:ascii="宋体" w:hAnsi="宋体" w:cs="宋体" w:eastAsia="宋体"/>
                <w:b/>
                <w:color w:val="000000"/>
                <w:sz w:val="21"/>
              </w:rPr>
              <w:t>核心产品：</w:t>
            </w:r>
            <w:r>
              <w:rPr>
                <w:rFonts w:ascii="宋体" w:hAnsi="宋体" w:cs="宋体" w:eastAsia="宋体"/>
                <w:color w:val="000000"/>
                <w:sz w:val="21"/>
              </w:rPr>
              <w:t>量子（冷原子）绝对重力仪</w:t>
            </w:r>
            <w:r>
              <w:rPr>
                <w:rFonts w:ascii="宋体" w:hAnsi="宋体" w:cs="宋体" w:eastAsia="宋体"/>
                <w:color w:val="000000"/>
                <w:sz w:val="21"/>
              </w:rPr>
              <w:t>1套</w:t>
            </w:r>
          </w:p>
          <w:tbl>
            <w:tblPr>
              <w:tblInd w:type="dxa" w:w="120"/>
              <w:tblBorders>
                <w:top w:val="none" w:color="000000" w:sz="4"/>
                <w:left w:val="none" w:color="000000" w:sz="4"/>
                <w:bottom w:val="none" w:color="000000" w:sz="4"/>
                <w:right w:val="none" w:color="000000" w:sz="4"/>
                <w:insideH w:val="none"/>
                <w:insideV w:val="none"/>
              </w:tblBorders>
            </w:tblPr>
            <w:tblGrid>
              <w:gridCol w:w="366"/>
              <w:gridCol w:w="444"/>
              <w:gridCol w:w="847"/>
              <w:gridCol w:w="1700"/>
              <w:gridCol w:w="465"/>
            </w:tblGrid>
            <w:tr>
              <w:tc>
                <w:tcPr>
                  <w:tcW w:type="dxa" w:w="366"/>
                  <w:tcBorders>
                    <w:top w:val="single" w:color="000000" w:sz="4"/>
                    <w:left w:val="single" w:color="000000" w:sz="4"/>
                    <w:bottom w:val="single" w:color="000000" w:sz="4"/>
                    <w:right w:val="single" w:color="000000" w:sz="4"/>
                  </w:tcBorders>
                  <w:shd w:fill="A6A6A6"/>
                  <w:tcMar>
                    <w:top w:type="dxa" w:w="0"/>
                    <w:left w:type="dxa" w:w="105"/>
                    <w:bottom w:type="dxa" w:w="0"/>
                    <w:right w:type="dxa" w:w="105"/>
                  </w:tcMar>
                  <w:vAlign w:val="top"/>
                </w:tcPr>
                <w:p>
                  <w:pPr>
                    <w:pStyle w:val="null3"/>
                    <w:jc w:val="center"/>
                  </w:pPr>
                  <w:r>
                    <w:rPr>
                      <w:rFonts w:ascii="宋体" w:hAnsi="宋体" w:cs="宋体" w:eastAsia="宋体"/>
                      <w:sz w:val="21"/>
                    </w:rPr>
                    <w:t>序号</w:t>
                  </w:r>
                </w:p>
              </w:tc>
              <w:tc>
                <w:tcPr>
                  <w:tcW w:type="dxa" w:w="444"/>
                  <w:tcBorders>
                    <w:top w:val="single" w:color="000000" w:sz="4"/>
                    <w:left w:val="single" w:color="000000" w:sz="4"/>
                    <w:bottom w:val="single" w:color="000000" w:sz="4"/>
                    <w:right w:val="single" w:color="000000" w:sz="4"/>
                  </w:tcBorders>
                  <w:shd w:fill="A6A6A6"/>
                  <w:tcMar>
                    <w:top w:type="dxa" w:w="0"/>
                    <w:left w:type="dxa" w:w="105"/>
                    <w:bottom w:type="dxa" w:w="0"/>
                    <w:right w:type="dxa" w:w="105"/>
                  </w:tcMar>
                  <w:vAlign w:val="top"/>
                </w:tcPr>
                <w:p>
                  <w:pPr>
                    <w:pStyle w:val="null3"/>
                    <w:jc w:val="center"/>
                  </w:pPr>
                  <w:r>
                    <w:rPr>
                      <w:rFonts w:ascii="宋体" w:hAnsi="宋体" w:cs="宋体" w:eastAsia="宋体"/>
                      <w:sz w:val="21"/>
                    </w:rPr>
                    <w:t>重要性</w:t>
                  </w:r>
                </w:p>
              </w:tc>
              <w:tc>
                <w:tcPr>
                  <w:tcW w:type="dxa" w:w="847"/>
                  <w:tcBorders>
                    <w:top w:val="single" w:color="000000" w:sz="4"/>
                    <w:left w:val="single" w:color="000000" w:sz="4"/>
                    <w:bottom w:val="single" w:color="000000" w:sz="4"/>
                    <w:right w:val="single" w:color="000000" w:sz="4"/>
                  </w:tcBorders>
                  <w:shd w:fill="A6A6A6"/>
                  <w:tcMar>
                    <w:top w:type="dxa" w:w="0"/>
                    <w:left w:type="dxa" w:w="105"/>
                    <w:bottom w:type="dxa" w:w="0"/>
                    <w:right w:type="dxa" w:w="105"/>
                  </w:tcMar>
                  <w:vAlign w:val="top"/>
                </w:tcPr>
                <w:p>
                  <w:pPr>
                    <w:pStyle w:val="null3"/>
                    <w:jc w:val="center"/>
                  </w:pPr>
                  <w:r>
                    <w:rPr>
                      <w:rFonts w:ascii="宋体" w:hAnsi="宋体" w:cs="宋体" w:eastAsia="宋体"/>
                      <w:sz w:val="21"/>
                    </w:rPr>
                    <w:t>指标项</w:t>
                  </w:r>
                </w:p>
              </w:tc>
              <w:tc>
                <w:tcPr>
                  <w:tcW w:type="dxa" w:w="1700"/>
                  <w:tcBorders>
                    <w:top w:val="single" w:color="000000" w:sz="4"/>
                    <w:left w:val="single" w:color="000000" w:sz="4"/>
                    <w:bottom w:val="single" w:color="000000" w:sz="4"/>
                    <w:right w:val="single" w:color="000000" w:sz="4"/>
                  </w:tcBorders>
                  <w:shd w:fill="A6A6A6"/>
                  <w:tcMar>
                    <w:top w:type="dxa" w:w="0"/>
                    <w:left w:type="dxa" w:w="105"/>
                    <w:bottom w:type="dxa" w:w="0"/>
                    <w:right w:type="dxa" w:w="105"/>
                  </w:tcMar>
                  <w:vAlign w:val="top"/>
                </w:tcPr>
                <w:p>
                  <w:pPr>
                    <w:pStyle w:val="null3"/>
                    <w:jc w:val="center"/>
                  </w:pPr>
                  <w:r>
                    <w:rPr>
                      <w:rFonts w:ascii="宋体" w:hAnsi="宋体" w:cs="宋体" w:eastAsia="宋体"/>
                      <w:sz w:val="21"/>
                    </w:rPr>
                    <w:t>指标要求</w:t>
                  </w:r>
                </w:p>
              </w:tc>
              <w:tc>
                <w:tcPr>
                  <w:tcW w:type="dxa" w:w="465"/>
                  <w:tcBorders>
                    <w:top w:val="single" w:color="000000" w:sz="4"/>
                    <w:left w:val="single" w:color="000000" w:sz="4"/>
                    <w:bottom w:val="single" w:color="000000" w:sz="4"/>
                    <w:right w:val="single" w:color="000000" w:sz="4"/>
                  </w:tcBorders>
                  <w:shd w:fill="A6A6A6"/>
                  <w:tcMar>
                    <w:top w:type="dxa" w:w="0"/>
                    <w:left w:type="dxa" w:w="105"/>
                    <w:bottom w:type="dxa" w:w="0"/>
                    <w:right w:type="dxa" w:w="105"/>
                  </w:tcMar>
                  <w:vAlign w:val="top"/>
                </w:tcPr>
                <w:p>
                  <w:pPr>
                    <w:pStyle w:val="null3"/>
                    <w:jc w:val="center"/>
                  </w:pPr>
                  <w:r>
                    <w:rPr>
                      <w:rFonts w:ascii="宋体" w:hAnsi="宋体" w:cs="宋体" w:eastAsia="宋体"/>
                      <w:sz w:val="21"/>
                    </w:rPr>
                    <w:t>证明材料要求</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1</w:t>
                  </w:r>
                </w:p>
              </w:tc>
              <w:tc>
                <w:tcPr>
                  <w:tcW w:type="dxa" w:w="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w:t>
                  </w:r>
                </w:p>
              </w:tc>
              <w:tc>
                <w:tcPr>
                  <w:tcW w:type="dxa" w:w="8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测程</w:t>
                  </w:r>
                </w:p>
              </w:tc>
              <w:tc>
                <w:tcPr>
                  <w:tcW w:type="dxa" w:w="17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w:t>
                  </w:r>
                  <w:r>
                    <w:rPr>
                      <w:rFonts w:ascii="calibri" w:hAnsi="calibri" w:cs="calibri" w:eastAsia="calibri"/>
                      <w:sz w:val="21"/>
                    </w:rPr>
                    <w:t>6000×10</w:t>
                  </w:r>
                  <w:r>
                    <w:rPr>
                      <w:rFonts w:ascii="calibri" w:hAnsi="calibri" w:cs="calibri" w:eastAsia="calibri"/>
                      <w:sz w:val="21"/>
                      <w:vertAlign w:val="superscript"/>
                    </w:rPr>
                    <w:t>-5</w:t>
                  </w:r>
                  <w:r>
                    <w:rPr>
                      <w:rFonts w:ascii="calibri" w:hAnsi="calibri" w:cs="calibri" w:eastAsia="calibri"/>
                      <w:sz w:val="21"/>
                    </w:rPr>
                    <w:t>ms</w:t>
                  </w:r>
                  <w:r>
                    <w:rPr>
                      <w:rFonts w:ascii="calibri" w:hAnsi="calibri" w:cs="calibri" w:eastAsia="calibri"/>
                      <w:sz w:val="21"/>
                      <w:vertAlign w:val="superscript"/>
                    </w:rPr>
                    <w:t>-2</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是</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2</w:t>
                  </w:r>
                </w:p>
              </w:tc>
              <w:tc>
                <w:tcPr>
                  <w:tcW w:type="dxa" w:w="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w:t>
                  </w:r>
                </w:p>
              </w:tc>
              <w:tc>
                <w:tcPr>
                  <w:tcW w:type="dxa" w:w="8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精度</w:t>
                  </w:r>
                </w:p>
              </w:tc>
              <w:tc>
                <w:tcPr>
                  <w:tcW w:type="dxa" w:w="17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w:t>
                  </w:r>
                  <w:r>
                    <w:rPr>
                      <w:rFonts w:ascii="calibri" w:hAnsi="calibri" w:cs="calibri" w:eastAsia="calibri"/>
                      <w:sz w:val="21"/>
                    </w:rPr>
                    <w:t>10×10</w:t>
                  </w:r>
                  <w:r>
                    <w:rPr>
                      <w:rFonts w:ascii="calibri" w:hAnsi="calibri" w:cs="calibri" w:eastAsia="calibri"/>
                      <w:sz w:val="21"/>
                      <w:vertAlign w:val="superscript"/>
                    </w:rPr>
                    <w:t>-8</w:t>
                  </w:r>
                  <w:r>
                    <w:rPr>
                      <w:rFonts w:ascii="calibri" w:hAnsi="calibri" w:cs="calibri" w:eastAsia="calibri"/>
                      <w:sz w:val="21"/>
                    </w:rPr>
                    <w:t>ms</w:t>
                  </w:r>
                  <w:r>
                    <w:rPr>
                      <w:rFonts w:ascii="calibri" w:hAnsi="calibri" w:cs="calibri" w:eastAsia="calibri"/>
                      <w:sz w:val="21"/>
                      <w:vertAlign w:val="superscript"/>
                    </w:rPr>
                    <w:t>-2</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是</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3</w:t>
                  </w:r>
                </w:p>
              </w:tc>
              <w:tc>
                <w:tcPr>
                  <w:tcW w:type="dxa" w:w="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w:t>
                  </w:r>
                </w:p>
              </w:tc>
              <w:tc>
                <w:tcPr>
                  <w:tcW w:type="dxa" w:w="8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准确度</w:t>
                  </w:r>
                </w:p>
              </w:tc>
              <w:tc>
                <w:tcPr>
                  <w:tcW w:type="dxa" w:w="17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w:t>
                  </w:r>
                  <w:r>
                    <w:rPr>
                      <w:rFonts w:ascii="calibri" w:hAnsi="calibri" w:cs="calibri" w:eastAsia="calibri"/>
                      <w:sz w:val="21"/>
                    </w:rPr>
                    <w:t>10×10</w:t>
                  </w:r>
                  <w:r>
                    <w:rPr>
                      <w:rFonts w:ascii="calibri" w:hAnsi="calibri" w:cs="calibri" w:eastAsia="calibri"/>
                      <w:sz w:val="21"/>
                      <w:vertAlign w:val="superscript"/>
                    </w:rPr>
                    <w:t>-8</w:t>
                  </w:r>
                  <w:r>
                    <w:rPr>
                      <w:rFonts w:ascii="calibri" w:hAnsi="calibri" w:cs="calibri" w:eastAsia="calibri"/>
                      <w:sz w:val="21"/>
                    </w:rPr>
                    <w:t>ms</w:t>
                  </w:r>
                  <w:r>
                    <w:rPr>
                      <w:rFonts w:ascii="calibri" w:hAnsi="calibri" w:cs="calibri" w:eastAsia="calibri"/>
                      <w:sz w:val="21"/>
                      <w:vertAlign w:val="superscript"/>
                    </w:rPr>
                    <w:t>-2</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是</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4</w:t>
                  </w:r>
                </w:p>
              </w:tc>
              <w:tc>
                <w:tcPr>
                  <w:tcW w:type="dxa" w:w="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w:t>
                  </w:r>
                </w:p>
              </w:tc>
              <w:tc>
                <w:tcPr>
                  <w:tcW w:type="dxa" w:w="8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分辨力</w:t>
                  </w:r>
                </w:p>
              </w:tc>
              <w:tc>
                <w:tcPr>
                  <w:tcW w:type="dxa" w:w="17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w:t>
                  </w:r>
                  <w:r>
                    <w:rPr>
                      <w:rFonts w:ascii="calibri" w:hAnsi="calibri" w:cs="calibri" w:eastAsia="calibri"/>
                      <w:sz w:val="21"/>
                    </w:rPr>
                    <w:t>1×10</w:t>
                  </w:r>
                  <w:r>
                    <w:rPr>
                      <w:rFonts w:ascii="calibri" w:hAnsi="calibri" w:cs="calibri" w:eastAsia="calibri"/>
                      <w:sz w:val="21"/>
                      <w:vertAlign w:val="superscript"/>
                    </w:rPr>
                    <w:t>-8</w:t>
                  </w:r>
                  <w:r>
                    <w:rPr>
                      <w:rFonts w:ascii="calibri" w:hAnsi="calibri" w:cs="calibri" w:eastAsia="calibri"/>
                      <w:sz w:val="21"/>
                    </w:rPr>
                    <w:t>ms</w:t>
                  </w:r>
                  <w:r>
                    <w:rPr>
                      <w:rFonts w:ascii="calibri" w:hAnsi="calibri" w:cs="calibri" w:eastAsia="calibri"/>
                      <w:sz w:val="21"/>
                      <w:vertAlign w:val="superscript"/>
                    </w:rPr>
                    <w:t>-2</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是</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5</w:t>
                  </w:r>
                </w:p>
              </w:tc>
              <w:tc>
                <w:tcPr>
                  <w:tcW w:type="dxa" w:w="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w:t>
                  </w:r>
                </w:p>
              </w:tc>
              <w:tc>
                <w:tcPr>
                  <w:tcW w:type="dxa" w:w="8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重复性标准差</w:t>
                  </w:r>
                </w:p>
              </w:tc>
              <w:tc>
                <w:tcPr>
                  <w:tcW w:type="dxa" w:w="17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w:t>
                  </w:r>
                  <w:r>
                    <w:rPr>
                      <w:rFonts w:ascii="calibri" w:hAnsi="calibri" w:cs="calibri" w:eastAsia="calibri"/>
                      <w:sz w:val="21"/>
                    </w:rPr>
                    <w:t>10×10</w:t>
                  </w:r>
                  <w:r>
                    <w:rPr>
                      <w:rFonts w:ascii="calibri" w:hAnsi="calibri" w:cs="calibri" w:eastAsia="calibri"/>
                      <w:sz w:val="21"/>
                      <w:vertAlign w:val="superscript"/>
                    </w:rPr>
                    <w:t>-8</w:t>
                  </w:r>
                  <w:r>
                    <w:rPr>
                      <w:rFonts w:ascii="calibri" w:hAnsi="calibri" w:cs="calibri" w:eastAsia="calibri"/>
                      <w:sz w:val="21"/>
                    </w:rPr>
                    <w:t>ms</w:t>
                  </w:r>
                  <w:r>
                    <w:rPr>
                      <w:rFonts w:ascii="calibri" w:hAnsi="calibri" w:cs="calibri" w:eastAsia="calibri"/>
                      <w:sz w:val="21"/>
                      <w:vertAlign w:val="superscript"/>
                    </w:rPr>
                    <w:t>-2</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是</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6</w:t>
                  </w:r>
                </w:p>
              </w:tc>
              <w:tc>
                <w:tcPr>
                  <w:tcW w:type="dxa" w:w="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w:t>
                  </w:r>
                </w:p>
              </w:tc>
              <w:tc>
                <w:tcPr>
                  <w:tcW w:type="dxa" w:w="8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抗磁场干扰</w:t>
                  </w:r>
                </w:p>
              </w:tc>
              <w:tc>
                <w:tcPr>
                  <w:tcW w:type="dxa" w:w="17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w:t>
                  </w:r>
                  <w:r>
                    <w:rPr>
                      <w:rFonts w:ascii="calibri" w:hAnsi="calibri" w:cs="calibri" w:eastAsia="calibri"/>
                      <w:sz w:val="21"/>
                    </w:rPr>
                    <w:t>0.125×10</w:t>
                  </w:r>
                  <w:r>
                    <w:rPr>
                      <w:rFonts w:ascii="calibri" w:hAnsi="calibri" w:cs="calibri" w:eastAsia="calibri"/>
                      <w:sz w:val="21"/>
                      <w:vertAlign w:val="superscript"/>
                    </w:rPr>
                    <w:t>-8</w:t>
                  </w:r>
                  <w:r>
                    <w:rPr>
                      <w:rFonts w:ascii="calibri" w:hAnsi="calibri" w:cs="calibri" w:eastAsia="calibri"/>
                      <w:sz w:val="21"/>
                    </w:rPr>
                    <w:t>ms</w:t>
                  </w:r>
                  <w:r>
                    <w:rPr>
                      <w:rFonts w:ascii="calibri" w:hAnsi="calibri" w:cs="calibri" w:eastAsia="calibri"/>
                      <w:sz w:val="21"/>
                      <w:vertAlign w:val="superscript"/>
                    </w:rPr>
                    <w:t>-2</w:t>
                  </w:r>
                  <w:r>
                    <w:rPr>
                      <w:rFonts w:ascii="calibri" w:hAnsi="calibri" w:cs="calibri" w:eastAsia="calibri"/>
                      <w:sz w:val="21"/>
                    </w:rPr>
                    <w:t>/(A</w:t>
                  </w:r>
                  <w:r>
                    <w:rPr>
                      <w:rFonts w:ascii="calibri" w:hAnsi="calibri" w:cs="calibri" w:eastAsia="calibri"/>
                      <w:sz w:val="21"/>
                    </w:rPr>
                    <w:t>·</w:t>
                  </w:r>
                  <w:r>
                    <w:rPr>
                      <w:rFonts w:ascii="calibri" w:hAnsi="calibri" w:cs="calibri" w:eastAsia="calibri"/>
                      <w:sz w:val="21"/>
                    </w:rPr>
                    <w:t>m</w:t>
                  </w:r>
                  <w:r>
                    <w:rPr>
                      <w:rFonts w:ascii="calibri" w:hAnsi="calibri" w:cs="calibri" w:eastAsia="calibri"/>
                      <w:sz w:val="21"/>
                      <w:vertAlign w:val="superscript"/>
                    </w:rPr>
                    <w:t>-1</w:t>
                  </w:r>
                  <w:r>
                    <w:rPr>
                      <w:rFonts w:ascii="calibri" w:hAnsi="calibri" w:cs="calibri" w:eastAsia="calibri"/>
                      <w:sz w:val="21"/>
                    </w:rPr>
                    <w:t>)</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是</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7</w:t>
                  </w:r>
                </w:p>
              </w:tc>
              <w:tc>
                <w:tcPr>
                  <w:tcW w:type="dxa" w:w="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w:t>
                  </w:r>
                </w:p>
              </w:tc>
              <w:tc>
                <w:tcPr>
                  <w:tcW w:type="dxa" w:w="8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抗气压影响</w:t>
                  </w:r>
                </w:p>
              </w:tc>
              <w:tc>
                <w:tcPr>
                  <w:tcW w:type="dxa" w:w="17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w:t>
                  </w:r>
                  <w:r>
                    <w:rPr>
                      <w:rFonts w:ascii="calibri" w:hAnsi="calibri" w:cs="calibri" w:eastAsia="calibri"/>
                      <w:sz w:val="21"/>
                    </w:rPr>
                    <w:t>1×10</w:t>
                  </w:r>
                  <w:r>
                    <w:rPr>
                      <w:rFonts w:ascii="calibri" w:hAnsi="calibri" w:cs="calibri" w:eastAsia="calibri"/>
                      <w:sz w:val="21"/>
                      <w:vertAlign w:val="superscript"/>
                    </w:rPr>
                    <w:t>-8</w:t>
                  </w:r>
                  <w:r>
                    <w:rPr>
                      <w:rFonts w:ascii="calibri" w:hAnsi="calibri" w:cs="calibri" w:eastAsia="calibri"/>
                      <w:sz w:val="21"/>
                    </w:rPr>
                    <w:t>ms</w:t>
                  </w:r>
                  <w:r>
                    <w:rPr>
                      <w:rFonts w:ascii="calibri" w:hAnsi="calibri" w:cs="calibri" w:eastAsia="calibri"/>
                      <w:sz w:val="21"/>
                      <w:vertAlign w:val="superscript"/>
                    </w:rPr>
                    <w:t>-2</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是</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8</w:t>
                  </w:r>
                </w:p>
              </w:tc>
              <w:tc>
                <w:tcPr>
                  <w:tcW w:type="dxa" w:w="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w:t>
                  </w:r>
                </w:p>
              </w:tc>
              <w:tc>
                <w:tcPr>
                  <w:tcW w:type="dxa" w:w="8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接口要求</w:t>
                  </w:r>
                </w:p>
              </w:tc>
              <w:tc>
                <w:tcPr>
                  <w:tcW w:type="dxa" w:w="17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可以是</w:t>
                  </w:r>
                  <w:r>
                    <w:rPr>
                      <w:rFonts w:ascii="calibri" w:hAnsi="calibri" w:cs="calibri" w:eastAsia="calibri"/>
                      <w:sz w:val="21"/>
                    </w:rPr>
                    <w:t>RS232C</w:t>
                  </w:r>
                  <w:r>
                    <w:rPr>
                      <w:rFonts w:ascii="宋体" w:hAnsi="宋体" w:cs="宋体" w:eastAsia="宋体"/>
                      <w:sz w:val="21"/>
                    </w:rPr>
                    <w:t>、</w:t>
                  </w:r>
                  <w:r>
                    <w:rPr>
                      <w:rFonts w:ascii="calibri" w:hAnsi="calibri" w:cs="calibri" w:eastAsia="calibri"/>
                      <w:sz w:val="21"/>
                    </w:rPr>
                    <w:t>USB</w:t>
                  </w:r>
                  <w:r>
                    <w:rPr>
                      <w:rFonts w:ascii="宋体" w:hAnsi="宋体" w:cs="宋体" w:eastAsia="宋体"/>
                      <w:sz w:val="21"/>
                    </w:rPr>
                    <w:t>、</w:t>
                  </w:r>
                  <w:r>
                    <w:rPr>
                      <w:rFonts w:ascii="calibri" w:hAnsi="calibri" w:cs="calibri" w:eastAsia="calibri"/>
                      <w:sz w:val="21"/>
                    </w:rPr>
                    <w:t>CANBUS</w:t>
                  </w:r>
                  <w:r>
                    <w:rPr>
                      <w:rFonts w:ascii="宋体" w:hAnsi="宋体" w:cs="宋体" w:eastAsia="宋体"/>
                      <w:sz w:val="21"/>
                    </w:rPr>
                    <w:t>或</w:t>
                  </w:r>
                  <w:r>
                    <w:rPr>
                      <w:rFonts w:ascii="calibri" w:hAnsi="calibri" w:cs="calibri" w:eastAsia="calibri"/>
                      <w:sz w:val="21"/>
                    </w:rPr>
                    <w:t>TCP/IP</w:t>
                  </w:r>
                  <w:r>
                    <w:rPr>
                      <w:rFonts w:ascii="宋体" w:hAnsi="宋体" w:cs="宋体" w:eastAsia="宋体"/>
                      <w:sz w:val="21"/>
                    </w:rPr>
                    <w:t>协议接口中的任一种</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是</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9</w:t>
                  </w:r>
                </w:p>
              </w:tc>
              <w:tc>
                <w:tcPr>
                  <w:tcW w:type="dxa" w:w="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w:t>
                  </w:r>
                </w:p>
              </w:tc>
              <w:tc>
                <w:tcPr>
                  <w:tcW w:type="dxa" w:w="8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授时功能</w:t>
                  </w:r>
                </w:p>
              </w:tc>
              <w:tc>
                <w:tcPr>
                  <w:tcW w:type="dxa" w:w="17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接受人工指令进行校时</w:t>
                  </w:r>
                  <w:r>
                    <w:rPr>
                      <w:rFonts w:ascii="宋体" w:hAnsi="宋体" w:cs="宋体" w:eastAsia="宋体"/>
                      <w:sz w:val="21"/>
                    </w:rPr>
                    <w:t>；</w:t>
                  </w:r>
                  <w:r>
                    <w:rPr>
                      <w:rFonts w:ascii="宋体" w:hAnsi="宋体" w:cs="宋体" w:eastAsia="宋体"/>
                      <w:sz w:val="21"/>
                    </w:rPr>
                    <w:t>北斗</w:t>
                  </w:r>
                  <w:r>
                    <w:rPr>
                      <w:rFonts w:ascii="宋体" w:hAnsi="宋体" w:cs="宋体" w:eastAsia="宋体"/>
                      <w:sz w:val="21"/>
                    </w:rPr>
                    <w:t>授时</w:t>
                  </w:r>
                  <w:r>
                    <w:rPr>
                      <w:rFonts w:ascii="宋体" w:hAnsi="宋体" w:cs="宋体" w:eastAsia="宋体"/>
                      <w:sz w:val="21"/>
                    </w:rPr>
                    <w:t>（</w:t>
                  </w:r>
                  <w:r>
                    <w:rPr>
                      <w:rFonts w:ascii="宋体" w:hAnsi="宋体" w:cs="宋体" w:eastAsia="宋体"/>
                      <w:sz w:val="21"/>
                    </w:rPr>
                    <w:t>如供货时不能满足，后续需按要求免费提供功能完善升级服务</w:t>
                  </w:r>
                  <w:r>
                    <w:rPr>
                      <w:rFonts w:ascii="宋体" w:hAnsi="宋体" w:cs="宋体" w:eastAsia="宋体"/>
                      <w:sz w:val="21"/>
                    </w:rPr>
                    <w:t>）</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是</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10</w:t>
                  </w:r>
                </w:p>
              </w:tc>
              <w:tc>
                <w:tcPr>
                  <w:tcW w:type="dxa" w:w="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w:t>
                  </w:r>
                </w:p>
              </w:tc>
              <w:tc>
                <w:tcPr>
                  <w:tcW w:type="dxa" w:w="8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仪器工作温度范围</w:t>
                  </w:r>
                </w:p>
              </w:tc>
              <w:tc>
                <w:tcPr>
                  <w:tcW w:type="dxa" w:w="17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calibri" w:hAnsi="calibri" w:cs="calibri" w:eastAsia="calibri"/>
                      <w:sz w:val="21"/>
                    </w:rPr>
                    <w:t>20℃</w:t>
                  </w:r>
                  <w:r>
                    <w:rPr>
                      <w:rFonts w:ascii="宋体" w:hAnsi="宋体" w:cs="宋体" w:eastAsia="宋体"/>
                      <w:color w:val="000000"/>
                      <w:sz w:val="21"/>
                    </w:rPr>
                    <w:t>～</w:t>
                  </w:r>
                  <w:r>
                    <w:rPr>
                      <w:rFonts w:ascii="calibri" w:hAnsi="calibri" w:cs="calibri" w:eastAsia="calibri"/>
                      <w:sz w:val="21"/>
                    </w:rPr>
                    <w:t>30℃</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是</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11</w:t>
                  </w:r>
                </w:p>
              </w:tc>
              <w:tc>
                <w:tcPr>
                  <w:tcW w:type="dxa" w:w="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w:t>
                  </w:r>
                </w:p>
              </w:tc>
              <w:tc>
                <w:tcPr>
                  <w:tcW w:type="dxa" w:w="8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仪器工作相对湿度范围</w:t>
                  </w:r>
                </w:p>
              </w:tc>
              <w:tc>
                <w:tcPr>
                  <w:tcW w:type="dxa" w:w="17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w:t>
                  </w:r>
                  <w:r>
                    <w:rPr>
                      <w:rFonts w:ascii="calibri" w:hAnsi="calibri" w:cs="calibri" w:eastAsia="calibri"/>
                      <w:sz w:val="21"/>
                    </w:rPr>
                    <w:t>90%</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是</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12</w:t>
                  </w:r>
                </w:p>
              </w:tc>
              <w:tc>
                <w:tcPr>
                  <w:tcW w:type="dxa" w:w="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w:t>
                  </w:r>
                </w:p>
              </w:tc>
              <w:tc>
                <w:tcPr>
                  <w:tcW w:type="dxa" w:w="8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供电</w:t>
                  </w:r>
                </w:p>
              </w:tc>
              <w:tc>
                <w:tcPr>
                  <w:tcW w:type="dxa" w:w="17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稳态电压允许范围：</w:t>
                  </w:r>
                  <w:r>
                    <w:rPr>
                      <w:rFonts w:ascii="calibri" w:hAnsi="calibri" w:cs="calibri" w:eastAsia="calibri"/>
                      <w:sz w:val="21"/>
                    </w:rPr>
                    <w:t>220×</w:t>
                  </w:r>
                  <w:r>
                    <w:rPr>
                      <w:rFonts w:ascii="宋体" w:hAnsi="宋体" w:cs="宋体" w:eastAsia="宋体"/>
                      <w:sz w:val="21"/>
                    </w:rPr>
                    <w:t>（</w:t>
                  </w:r>
                  <w:r>
                    <w:rPr>
                      <w:rFonts w:ascii="calibri" w:hAnsi="calibri" w:cs="calibri" w:eastAsia="calibri"/>
                      <w:sz w:val="21"/>
                    </w:rPr>
                    <w:t>1±10%</w:t>
                  </w:r>
                  <w:r>
                    <w:rPr>
                      <w:rFonts w:ascii="宋体" w:hAnsi="宋体" w:cs="宋体" w:eastAsia="宋体"/>
                      <w:sz w:val="21"/>
                    </w:rPr>
                    <w:t>）</w:t>
                  </w:r>
                  <w:r>
                    <w:rPr>
                      <w:rFonts w:ascii="calibri" w:hAnsi="calibri" w:cs="calibri" w:eastAsia="calibri"/>
                      <w:sz w:val="21"/>
                    </w:rPr>
                    <w:t>V</w:t>
                  </w:r>
                  <w:r>
                    <w:rPr>
                      <w:rFonts w:ascii="宋体" w:hAnsi="宋体" w:cs="宋体" w:eastAsia="宋体"/>
                      <w:sz w:val="21"/>
                    </w:rPr>
                    <w:t>稳态频率允许范围：</w:t>
                  </w:r>
                  <w:r>
                    <w:rPr>
                      <w:rFonts w:ascii="calibri" w:hAnsi="calibri" w:cs="calibri" w:eastAsia="calibri"/>
                      <w:sz w:val="21"/>
                    </w:rPr>
                    <w:t>50×</w:t>
                  </w:r>
                  <w:r>
                    <w:rPr>
                      <w:rFonts w:ascii="宋体" w:hAnsi="宋体" w:cs="宋体" w:eastAsia="宋体"/>
                      <w:sz w:val="21"/>
                    </w:rPr>
                    <w:t>（</w:t>
                  </w:r>
                  <w:r>
                    <w:rPr>
                      <w:rFonts w:ascii="calibri" w:hAnsi="calibri" w:cs="calibri" w:eastAsia="calibri"/>
                      <w:sz w:val="21"/>
                    </w:rPr>
                    <w:t>1±5%</w:t>
                  </w:r>
                  <w:r>
                    <w:rPr>
                      <w:rFonts w:ascii="宋体" w:hAnsi="宋体" w:cs="宋体" w:eastAsia="宋体"/>
                      <w:sz w:val="21"/>
                    </w:rPr>
                    <w:t>）</w:t>
                  </w:r>
                  <w:r>
                    <w:rPr>
                      <w:rFonts w:ascii="calibri" w:hAnsi="calibri" w:cs="calibri" w:eastAsia="calibri"/>
                      <w:sz w:val="21"/>
                    </w:rPr>
                    <w:t>Hz</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是</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13</w:t>
                  </w:r>
                </w:p>
              </w:tc>
              <w:tc>
                <w:tcPr>
                  <w:tcW w:type="dxa" w:w="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w:t>
                  </w:r>
                </w:p>
              </w:tc>
              <w:tc>
                <w:tcPr>
                  <w:tcW w:type="dxa" w:w="8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安全要求</w:t>
                  </w:r>
                </w:p>
              </w:tc>
              <w:tc>
                <w:tcPr>
                  <w:tcW w:type="dxa" w:w="17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电击防护：性能应符合国家标准</w:t>
                  </w:r>
                  <w:r>
                    <w:rPr>
                      <w:rFonts w:ascii="calibri" w:hAnsi="calibri" w:cs="calibri" w:eastAsia="calibri"/>
                      <w:sz w:val="21"/>
                    </w:rPr>
                    <w:t>GB 4706.1-2005</w:t>
                  </w:r>
                  <w:r>
                    <w:rPr>
                      <w:rFonts w:ascii="宋体" w:hAnsi="宋体" w:cs="宋体" w:eastAsia="宋体"/>
                      <w:sz w:val="21"/>
                    </w:rPr>
                    <w:t>中规定的</w:t>
                  </w:r>
                  <w:r>
                    <w:rPr>
                      <w:rFonts w:ascii="calibri" w:hAnsi="calibri" w:cs="calibri" w:eastAsia="calibri"/>
                      <w:sz w:val="21"/>
                    </w:rPr>
                    <w:t>Ⅰ</w:t>
                  </w:r>
                  <w:r>
                    <w:rPr>
                      <w:rFonts w:ascii="宋体" w:hAnsi="宋体" w:cs="宋体" w:eastAsia="宋体"/>
                      <w:sz w:val="21"/>
                    </w:rPr>
                    <w:t>类器具要求；电气强度电压：仪器的交流电压输入端与机壳之间应能承受</w:t>
                  </w:r>
                  <w:r>
                    <w:rPr>
                      <w:rFonts w:ascii="calibri" w:hAnsi="calibri" w:cs="calibri" w:eastAsia="calibri"/>
                      <w:sz w:val="21"/>
                    </w:rPr>
                    <w:t>1750V</w:t>
                  </w:r>
                  <w:r>
                    <w:rPr>
                      <w:rFonts w:ascii="宋体" w:hAnsi="宋体" w:cs="宋体" w:eastAsia="宋体"/>
                      <w:sz w:val="21"/>
                    </w:rPr>
                    <w:t>（有效值）电压</w:t>
                  </w:r>
                  <w:r>
                    <w:rPr>
                      <w:rFonts w:ascii="calibri" w:hAnsi="calibri" w:cs="calibri" w:eastAsia="calibri"/>
                      <w:sz w:val="21"/>
                    </w:rPr>
                    <w:t>1min</w:t>
                  </w:r>
                  <w:r>
                    <w:rPr>
                      <w:rFonts w:ascii="宋体" w:hAnsi="宋体" w:cs="宋体" w:eastAsia="宋体"/>
                      <w:sz w:val="21"/>
                    </w:rPr>
                    <w:t>；泄漏电流：仪器交流变压器的次级对机壳漏电峰值小于</w:t>
                  </w:r>
                  <w:r>
                    <w:rPr>
                      <w:rFonts w:ascii="calibri" w:hAnsi="calibri" w:cs="calibri" w:eastAsia="calibri"/>
                      <w:sz w:val="21"/>
                    </w:rPr>
                    <w:t>3.5mA</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是</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14</w:t>
                  </w:r>
                </w:p>
              </w:tc>
              <w:tc>
                <w:tcPr>
                  <w:tcW w:type="dxa" w:w="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w:t>
                  </w:r>
                </w:p>
              </w:tc>
              <w:tc>
                <w:tcPr>
                  <w:tcW w:type="dxa" w:w="8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隔振方式</w:t>
                  </w:r>
                </w:p>
              </w:tc>
              <w:tc>
                <w:tcPr>
                  <w:tcW w:type="dxa" w:w="17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采用主被动隔振平台</w:t>
                  </w:r>
                  <w:r>
                    <w:rPr>
                      <w:rFonts w:ascii="宋体" w:hAnsi="宋体" w:cs="宋体" w:eastAsia="宋体"/>
                      <w:sz w:val="21"/>
                    </w:rPr>
                    <w:t>或有振动补偿方式</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是</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15</w:t>
                  </w:r>
                </w:p>
              </w:tc>
              <w:tc>
                <w:tcPr>
                  <w:tcW w:type="dxa" w:w="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w:t>
                  </w:r>
                </w:p>
              </w:tc>
              <w:tc>
                <w:tcPr>
                  <w:tcW w:type="dxa" w:w="8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功率</w:t>
                  </w:r>
                </w:p>
              </w:tc>
              <w:tc>
                <w:tcPr>
                  <w:tcW w:type="dxa" w:w="17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不高于</w:t>
                  </w:r>
                  <w:r>
                    <w:rPr>
                      <w:rFonts w:ascii="calibri" w:hAnsi="calibri" w:cs="calibri" w:eastAsia="calibri"/>
                      <w:sz w:val="21"/>
                    </w:rPr>
                    <w:t>3</w:t>
                  </w:r>
                  <w:r>
                    <w:rPr>
                      <w:rFonts w:ascii="calibri" w:hAnsi="calibri" w:cs="calibri" w:eastAsia="calibri"/>
                      <w:sz w:val="21"/>
                    </w:rPr>
                    <w:t>00W</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是</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16</w:t>
                  </w:r>
                </w:p>
              </w:tc>
              <w:tc>
                <w:tcPr>
                  <w:tcW w:type="dxa" w:w="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w:t>
                  </w:r>
                </w:p>
              </w:tc>
              <w:tc>
                <w:tcPr>
                  <w:tcW w:type="dxa" w:w="8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装备总重量</w:t>
                  </w:r>
                </w:p>
              </w:tc>
              <w:tc>
                <w:tcPr>
                  <w:tcW w:type="dxa" w:w="17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小于</w:t>
                  </w:r>
                  <w:r>
                    <w:rPr>
                      <w:rFonts w:ascii="calibri" w:hAnsi="calibri" w:cs="calibri" w:eastAsia="calibri"/>
                      <w:sz w:val="21"/>
                    </w:rPr>
                    <w:t>1</w:t>
                  </w:r>
                  <w:r>
                    <w:rPr>
                      <w:rFonts w:ascii="calibri" w:hAnsi="calibri" w:cs="calibri" w:eastAsia="calibri"/>
                      <w:sz w:val="21"/>
                    </w:rPr>
                    <w:t>5</w:t>
                  </w:r>
                  <w:r>
                    <w:rPr>
                      <w:rFonts w:ascii="calibri" w:hAnsi="calibri" w:cs="calibri" w:eastAsia="calibri"/>
                      <w:sz w:val="21"/>
                    </w:rPr>
                    <w:t>0kg</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是</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17</w:t>
                  </w:r>
                </w:p>
              </w:tc>
              <w:tc>
                <w:tcPr>
                  <w:tcW w:type="dxa" w:w="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w:t>
                  </w:r>
                </w:p>
              </w:tc>
              <w:tc>
                <w:tcPr>
                  <w:tcW w:type="dxa" w:w="8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总</w:t>
                  </w:r>
                  <w:r>
                    <w:rPr>
                      <w:rFonts w:ascii="宋体" w:hAnsi="宋体" w:cs="宋体" w:eastAsia="宋体"/>
                      <w:sz w:val="21"/>
                    </w:rPr>
                    <w:t>占地面积</w:t>
                  </w:r>
                </w:p>
              </w:tc>
              <w:tc>
                <w:tcPr>
                  <w:tcW w:type="dxa" w:w="17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小于</w:t>
                  </w:r>
                  <w:r>
                    <w:rPr>
                      <w:rFonts w:ascii="calibri" w:hAnsi="calibri" w:cs="calibri" w:eastAsia="calibri"/>
                      <w:sz w:val="21"/>
                    </w:rPr>
                    <w:t>2m</w:t>
                  </w:r>
                  <w:r>
                    <w:rPr>
                      <w:rFonts w:ascii="calibri" w:hAnsi="calibri" w:cs="calibri" w:eastAsia="calibri"/>
                      <w:sz w:val="21"/>
                      <w:vertAlign w:val="superscript"/>
                    </w:rPr>
                    <w:t>2</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18</w:t>
                  </w:r>
                </w:p>
              </w:tc>
              <w:tc>
                <w:tcPr>
                  <w:tcW w:type="dxa" w:w="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w:t>
                  </w:r>
                </w:p>
              </w:tc>
              <w:tc>
                <w:tcPr>
                  <w:tcW w:type="dxa" w:w="8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总</w:t>
                  </w:r>
                  <w:r>
                    <w:rPr>
                      <w:rFonts w:ascii="宋体" w:hAnsi="宋体" w:cs="宋体" w:eastAsia="宋体"/>
                      <w:sz w:val="21"/>
                    </w:rPr>
                    <w:t>体积</w:t>
                  </w:r>
                </w:p>
              </w:tc>
              <w:tc>
                <w:tcPr>
                  <w:tcW w:type="dxa" w:w="17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小于</w:t>
                  </w:r>
                  <w:r>
                    <w:rPr>
                      <w:rFonts w:ascii="calibri" w:hAnsi="calibri" w:cs="calibri" w:eastAsia="calibri"/>
                      <w:sz w:val="21"/>
                    </w:rPr>
                    <w:t>3m</w:t>
                  </w:r>
                  <w:r>
                    <w:rPr>
                      <w:rFonts w:ascii="calibri" w:hAnsi="calibri" w:cs="calibri" w:eastAsia="calibri"/>
                      <w:sz w:val="21"/>
                      <w:vertAlign w:val="superscript"/>
                    </w:rPr>
                    <w:t>3</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19</w:t>
                  </w:r>
                </w:p>
              </w:tc>
              <w:tc>
                <w:tcPr>
                  <w:tcW w:type="dxa" w:w="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w:t>
                  </w:r>
                </w:p>
              </w:tc>
              <w:tc>
                <w:tcPr>
                  <w:tcW w:type="dxa" w:w="8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实时修正量</w:t>
                  </w:r>
                </w:p>
              </w:tc>
              <w:tc>
                <w:tcPr>
                  <w:tcW w:type="dxa" w:w="17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潮汐、极移、气压等</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是</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20</w:t>
                  </w:r>
                </w:p>
              </w:tc>
              <w:tc>
                <w:tcPr>
                  <w:tcW w:type="dxa" w:w="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w:t>
                  </w:r>
                </w:p>
              </w:tc>
              <w:tc>
                <w:tcPr>
                  <w:tcW w:type="dxa" w:w="8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测量软件</w:t>
                  </w:r>
                </w:p>
              </w:tc>
              <w:tc>
                <w:tcPr>
                  <w:tcW w:type="dxa" w:w="17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一键式测量，自动数字采集，综合信息</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是</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21</w:t>
                  </w:r>
                </w:p>
              </w:tc>
              <w:tc>
                <w:tcPr>
                  <w:tcW w:type="dxa" w:w="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w:t>
                  </w:r>
                </w:p>
              </w:tc>
              <w:tc>
                <w:tcPr>
                  <w:tcW w:type="dxa" w:w="8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电子手簿</w:t>
                  </w:r>
                </w:p>
              </w:tc>
              <w:tc>
                <w:tcPr>
                  <w:tcW w:type="dxa" w:w="17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基本配置：内存</w:t>
                  </w:r>
                  <w:r>
                    <w:rPr>
                      <w:rFonts w:ascii="calibri" w:hAnsi="calibri" w:cs="calibri" w:eastAsia="calibri"/>
                      <w:sz w:val="21"/>
                    </w:rPr>
                    <w:t>12+256GB</w:t>
                  </w:r>
                  <w:r>
                    <w:rPr>
                      <w:rFonts w:ascii="宋体" w:hAnsi="宋体" w:cs="宋体" w:eastAsia="宋体"/>
                      <w:sz w:val="21"/>
                    </w:rPr>
                    <w:t>以上；系统：国产操作系统；屏幕尺寸：</w:t>
                  </w:r>
                  <w:r>
                    <w:rPr>
                      <w:rFonts w:ascii="calibri" w:hAnsi="calibri" w:cs="calibri" w:eastAsia="calibri"/>
                      <w:sz w:val="21"/>
                    </w:rPr>
                    <w:t>11</w:t>
                  </w:r>
                  <w:r>
                    <w:rPr>
                      <w:rFonts w:ascii="宋体" w:hAnsi="宋体" w:cs="宋体" w:eastAsia="宋体"/>
                      <w:sz w:val="21"/>
                    </w:rPr>
                    <w:t>英寸以上；</w:t>
                  </w:r>
                </w:p>
                <w:p>
                  <w:pPr>
                    <w:pStyle w:val="null3"/>
                    <w:jc w:val="both"/>
                  </w:pPr>
                  <w:r>
                    <w:rPr>
                      <w:rFonts w:ascii="宋体" w:hAnsi="宋体" w:cs="宋体" w:eastAsia="宋体"/>
                      <w:sz w:val="21"/>
                    </w:rPr>
                    <w:t>电子手簿：需符合地震系统地震绝对重力监测记录习惯，具备绝对重力测量相关的资料（测点任务图、点之记、测点环境调查、测点观测值、仪器作业过程状态、测量结果汇总统计）查询和建立、所有资料的导入、导出等功能。</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22</w:t>
                  </w:r>
                </w:p>
              </w:tc>
              <w:tc>
                <w:tcPr>
                  <w:tcW w:type="dxa" w:w="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w:t>
                  </w:r>
                </w:p>
              </w:tc>
              <w:tc>
                <w:tcPr>
                  <w:tcW w:type="dxa" w:w="8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数据处理终端</w:t>
                  </w:r>
                </w:p>
              </w:tc>
              <w:tc>
                <w:tcPr>
                  <w:tcW w:type="dxa" w:w="17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高性能数据处理终端，</w:t>
                  </w:r>
                  <w:r>
                    <w:rPr>
                      <w:rFonts w:ascii="宋体" w:hAnsi="宋体" w:cs="宋体" w:eastAsia="宋体"/>
                      <w:sz w:val="21"/>
                    </w:rPr>
                    <w:t>满足对重力数据进行处理分析，以得出地球重力场的特征和变化趋势，将处理后的数据进行可视化展示。</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23</w:t>
                  </w:r>
                </w:p>
              </w:tc>
              <w:tc>
                <w:tcPr>
                  <w:tcW w:type="dxa" w:w="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w:t>
                  </w:r>
                </w:p>
              </w:tc>
              <w:tc>
                <w:tcPr>
                  <w:tcW w:type="dxa" w:w="8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真空腔</w:t>
                  </w:r>
                </w:p>
              </w:tc>
              <w:tc>
                <w:tcPr>
                  <w:tcW w:type="dxa" w:w="17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优于</w:t>
                  </w:r>
                  <w:r>
                    <w:rPr>
                      <w:rFonts w:ascii="宋体" w:hAnsi="宋体" w:cs="宋体" w:eastAsia="宋体"/>
                      <w:sz w:val="21"/>
                    </w:rPr>
                    <w:t>1</w:t>
                  </w:r>
                  <w:r>
                    <w:rPr>
                      <w:rFonts w:ascii="宋体" w:hAnsi="宋体" w:cs="宋体" w:eastAsia="宋体"/>
                      <w:sz w:val="21"/>
                    </w:rPr>
                    <w:t>×</w:t>
                  </w:r>
                  <w:r>
                    <w:rPr>
                      <w:rFonts w:ascii="宋体" w:hAnsi="宋体" w:cs="宋体" w:eastAsia="宋体"/>
                      <w:sz w:val="21"/>
                    </w:rPr>
                    <w:t>10</w:t>
                  </w:r>
                  <w:r>
                    <w:rPr>
                      <w:rFonts w:ascii="宋体" w:hAnsi="宋体" w:cs="宋体" w:eastAsia="宋体"/>
                      <w:sz w:val="21"/>
                      <w:vertAlign w:val="superscript"/>
                    </w:rPr>
                    <w:t>-7</w:t>
                  </w:r>
                  <w:r>
                    <w:rPr>
                      <w:rFonts w:ascii="宋体" w:hAnsi="宋体" w:cs="宋体" w:eastAsia="宋体"/>
                      <w:sz w:val="21"/>
                    </w:rPr>
                    <w:t xml:space="preserve"> </w:t>
                  </w:r>
                  <w:r>
                    <w:rPr>
                      <w:rFonts w:ascii="宋体" w:hAnsi="宋体" w:cs="宋体" w:eastAsia="宋体"/>
                      <w:sz w:val="21"/>
                    </w:rPr>
                    <w:t>Pa</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是</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24</w:t>
                  </w:r>
                </w:p>
              </w:tc>
              <w:tc>
                <w:tcPr>
                  <w:tcW w:type="dxa" w:w="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w:t>
                  </w:r>
                </w:p>
              </w:tc>
              <w:tc>
                <w:tcPr>
                  <w:tcW w:type="dxa" w:w="8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其他要求</w:t>
                  </w:r>
                </w:p>
              </w:tc>
              <w:tc>
                <w:tcPr>
                  <w:tcW w:type="dxa" w:w="17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《地震监测专业设备定型结果》和定型检测报告</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是</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25</w:t>
                  </w:r>
                </w:p>
              </w:tc>
              <w:tc>
                <w:tcPr>
                  <w:tcW w:type="dxa" w:w="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w:t>
                  </w:r>
                </w:p>
              </w:tc>
              <w:tc>
                <w:tcPr>
                  <w:tcW w:type="dxa" w:w="8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测量辅助设备</w:t>
                  </w:r>
                </w:p>
              </w:tc>
              <w:tc>
                <w:tcPr>
                  <w:tcW w:type="dxa" w:w="17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电子气压计、电子温度计等</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tc>
      </w:tr>
      <w:tr>
        <w:tc>
          <w:tcPr>
            <w:tcW w:type="dxa" w:w="2769"/>
          </w:tcPr>
          <w:p/>
        </w:tc>
        <w:tc>
          <w:tcPr>
            <w:tcW w:type="dxa" w:w="2769"/>
          </w:tcPr>
          <w:p>
            <w:pPr>
              <w:pStyle w:val="null3"/>
            </w:pPr>
            <w:r>
              <w:rPr/>
              <w:t>2</w:t>
            </w:r>
          </w:p>
        </w:tc>
        <w:tc>
          <w:tcPr>
            <w:tcW w:type="dxa" w:w="2769"/>
          </w:tcPr>
          <w:p>
            <w:pPr>
              <w:pStyle w:val="null3"/>
              <w:jc w:val="both"/>
            </w:pPr>
            <w:r>
              <w:rPr>
                <w:rFonts w:ascii="宋体" w:hAnsi="宋体" w:cs="宋体" w:eastAsia="宋体"/>
                <w:color w:val="000000"/>
                <w:sz w:val="21"/>
              </w:rPr>
              <w:t>激光干涉绝对重力仪</w:t>
            </w:r>
            <w:r>
              <w:rPr>
                <w:rFonts w:ascii="宋体" w:hAnsi="宋体" w:cs="宋体" w:eastAsia="宋体"/>
                <w:color w:val="000000"/>
                <w:sz w:val="21"/>
              </w:rPr>
              <w:t>1套</w:t>
            </w:r>
          </w:p>
          <w:tbl>
            <w:tblPr>
              <w:tblInd w:type="dxa" w:w="105"/>
              <w:tblBorders>
                <w:top w:val="none" w:color="000000" w:sz="4"/>
                <w:left w:val="none" w:color="000000" w:sz="4"/>
                <w:bottom w:val="none" w:color="000000" w:sz="4"/>
                <w:right w:val="none" w:color="000000" w:sz="4"/>
                <w:insideH w:val="none"/>
                <w:insideV w:val="none"/>
              </w:tblBorders>
            </w:tblPr>
            <w:tblGrid>
              <w:gridCol w:w="375"/>
              <w:gridCol w:w="437"/>
              <w:gridCol w:w="844"/>
              <w:gridCol w:w="1693"/>
              <w:gridCol w:w="463"/>
            </w:tblGrid>
            <w:tr>
              <w:tc>
                <w:tcPr>
                  <w:tcW w:type="dxa" w:w="375"/>
                  <w:tcBorders>
                    <w:top w:val="single" w:color="000000" w:sz="4"/>
                    <w:left w:val="single" w:color="000000" w:sz="4"/>
                    <w:bottom w:val="single" w:color="000000" w:sz="4"/>
                    <w:right w:val="single" w:color="000000" w:sz="4"/>
                  </w:tcBorders>
                  <w:shd w:fill="A6A6A6"/>
                  <w:tcMar>
                    <w:top w:type="dxa" w:w="0"/>
                    <w:left w:type="dxa" w:w="105"/>
                    <w:bottom w:type="dxa" w:w="0"/>
                    <w:right w:type="dxa" w:w="105"/>
                  </w:tcMar>
                  <w:vAlign w:val="top"/>
                </w:tcPr>
                <w:p>
                  <w:pPr>
                    <w:pStyle w:val="null3"/>
                    <w:jc w:val="center"/>
                  </w:pPr>
                  <w:r>
                    <w:rPr>
                      <w:rFonts w:ascii="宋体" w:hAnsi="宋体" w:cs="宋体" w:eastAsia="宋体"/>
                      <w:sz w:val="21"/>
                    </w:rPr>
                    <w:t>序号</w:t>
                  </w:r>
                </w:p>
              </w:tc>
              <w:tc>
                <w:tcPr>
                  <w:tcW w:type="dxa" w:w="437"/>
                  <w:tcBorders>
                    <w:top w:val="single" w:color="000000" w:sz="4"/>
                    <w:left w:val="single" w:color="000000" w:sz="4"/>
                    <w:bottom w:val="single" w:color="000000" w:sz="4"/>
                    <w:right w:val="single" w:color="000000" w:sz="4"/>
                  </w:tcBorders>
                  <w:shd w:fill="A6A6A6"/>
                  <w:tcMar>
                    <w:top w:type="dxa" w:w="0"/>
                    <w:left w:type="dxa" w:w="105"/>
                    <w:bottom w:type="dxa" w:w="0"/>
                    <w:right w:type="dxa" w:w="105"/>
                  </w:tcMar>
                  <w:vAlign w:val="top"/>
                </w:tcPr>
                <w:p>
                  <w:pPr>
                    <w:pStyle w:val="null3"/>
                    <w:jc w:val="center"/>
                  </w:pPr>
                  <w:r>
                    <w:rPr>
                      <w:rFonts w:ascii="宋体" w:hAnsi="宋体" w:cs="宋体" w:eastAsia="宋体"/>
                      <w:sz w:val="21"/>
                    </w:rPr>
                    <w:t>重要性</w:t>
                  </w:r>
                </w:p>
              </w:tc>
              <w:tc>
                <w:tcPr>
                  <w:tcW w:type="dxa" w:w="844"/>
                  <w:tcBorders>
                    <w:top w:val="single" w:color="000000" w:sz="4"/>
                    <w:left w:val="single" w:color="000000" w:sz="4"/>
                    <w:bottom w:val="single" w:color="000000" w:sz="4"/>
                    <w:right w:val="single" w:color="000000" w:sz="4"/>
                  </w:tcBorders>
                  <w:shd w:fill="A6A6A6"/>
                  <w:tcMar>
                    <w:top w:type="dxa" w:w="0"/>
                    <w:left w:type="dxa" w:w="105"/>
                    <w:bottom w:type="dxa" w:w="0"/>
                    <w:right w:type="dxa" w:w="105"/>
                  </w:tcMar>
                  <w:vAlign w:val="top"/>
                </w:tcPr>
                <w:p>
                  <w:pPr>
                    <w:pStyle w:val="null3"/>
                    <w:jc w:val="center"/>
                  </w:pPr>
                  <w:r>
                    <w:rPr>
                      <w:rFonts w:ascii="宋体" w:hAnsi="宋体" w:cs="宋体" w:eastAsia="宋体"/>
                      <w:sz w:val="21"/>
                    </w:rPr>
                    <w:t>指标项</w:t>
                  </w:r>
                </w:p>
              </w:tc>
              <w:tc>
                <w:tcPr>
                  <w:tcW w:type="dxa" w:w="1693"/>
                  <w:tcBorders>
                    <w:top w:val="single" w:color="000000" w:sz="4"/>
                    <w:left w:val="single" w:color="000000" w:sz="4"/>
                    <w:bottom w:val="single" w:color="000000" w:sz="4"/>
                    <w:right w:val="single" w:color="000000" w:sz="4"/>
                  </w:tcBorders>
                  <w:shd w:fill="A6A6A6"/>
                  <w:tcMar>
                    <w:top w:type="dxa" w:w="0"/>
                    <w:left w:type="dxa" w:w="105"/>
                    <w:bottom w:type="dxa" w:w="0"/>
                    <w:right w:type="dxa" w:w="105"/>
                  </w:tcMar>
                  <w:vAlign w:val="top"/>
                </w:tcPr>
                <w:p>
                  <w:pPr>
                    <w:pStyle w:val="null3"/>
                    <w:jc w:val="center"/>
                  </w:pPr>
                  <w:r>
                    <w:rPr>
                      <w:rFonts w:ascii="宋体" w:hAnsi="宋体" w:cs="宋体" w:eastAsia="宋体"/>
                      <w:sz w:val="21"/>
                    </w:rPr>
                    <w:t>指标要求</w:t>
                  </w:r>
                </w:p>
              </w:tc>
              <w:tc>
                <w:tcPr>
                  <w:tcW w:type="dxa" w:w="463"/>
                  <w:tcBorders>
                    <w:top w:val="single" w:color="000000" w:sz="4"/>
                    <w:left w:val="single" w:color="000000" w:sz="4"/>
                    <w:bottom w:val="single" w:color="000000" w:sz="4"/>
                    <w:right w:val="single" w:color="000000" w:sz="4"/>
                  </w:tcBorders>
                  <w:shd w:fill="A6A6A6"/>
                  <w:tcMar>
                    <w:top w:type="dxa" w:w="0"/>
                    <w:left w:type="dxa" w:w="105"/>
                    <w:bottom w:type="dxa" w:w="0"/>
                    <w:right w:type="dxa" w:w="105"/>
                  </w:tcMar>
                  <w:vAlign w:val="top"/>
                </w:tcPr>
                <w:p>
                  <w:pPr>
                    <w:pStyle w:val="null3"/>
                    <w:jc w:val="center"/>
                  </w:pPr>
                  <w:r>
                    <w:rPr>
                      <w:rFonts w:ascii="宋体" w:hAnsi="宋体" w:cs="宋体" w:eastAsia="宋体"/>
                      <w:sz w:val="21"/>
                    </w:rPr>
                    <w:t>证明材料要求</w:t>
                  </w:r>
                </w:p>
              </w:tc>
            </w:tr>
            <w:tr>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1</w:t>
                  </w:r>
                </w:p>
              </w:tc>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w:t>
                  </w:r>
                </w:p>
              </w:tc>
              <w:tc>
                <w:tcPr>
                  <w:tcW w:type="dxa" w:w="8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测程</w:t>
                  </w:r>
                </w:p>
              </w:tc>
              <w:tc>
                <w:tcPr>
                  <w:tcW w:type="dxa" w:w="1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w:t>
                  </w:r>
                  <w:r>
                    <w:rPr>
                      <w:rFonts w:ascii="calibri" w:hAnsi="calibri" w:cs="calibri" w:eastAsia="calibri"/>
                      <w:sz w:val="21"/>
                    </w:rPr>
                    <w:t>6000×10</w:t>
                  </w:r>
                  <w:r>
                    <w:rPr>
                      <w:rFonts w:ascii="calibri" w:hAnsi="calibri" w:cs="calibri" w:eastAsia="calibri"/>
                      <w:sz w:val="21"/>
                      <w:vertAlign w:val="superscript"/>
                    </w:rPr>
                    <w:t>-5</w:t>
                  </w:r>
                  <w:r>
                    <w:rPr>
                      <w:rFonts w:ascii="calibri" w:hAnsi="calibri" w:cs="calibri" w:eastAsia="calibri"/>
                      <w:sz w:val="21"/>
                    </w:rPr>
                    <w:t>ms</w:t>
                  </w:r>
                  <w:r>
                    <w:rPr>
                      <w:rFonts w:ascii="calibri" w:hAnsi="calibri" w:cs="calibri" w:eastAsia="calibri"/>
                      <w:sz w:val="21"/>
                      <w:vertAlign w:val="superscript"/>
                    </w:rPr>
                    <w:t>-2</w:t>
                  </w:r>
                </w:p>
              </w:tc>
              <w:tc>
                <w:tcPr>
                  <w:tcW w:type="dxa" w:w="4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是</w:t>
                  </w:r>
                </w:p>
              </w:tc>
            </w:tr>
            <w:tr>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2</w:t>
                  </w:r>
                </w:p>
              </w:tc>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w:t>
                  </w:r>
                </w:p>
              </w:tc>
              <w:tc>
                <w:tcPr>
                  <w:tcW w:type="dxa" w:w="8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精度</w:t>
                  </w:r>
                </w:p>
              </w:tc>
              <w:tc>
                <w:tcPr>
                  <w:tcW w:type="dxa" w:w="1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w:t>
                  </w:r>
                  <w:r>
                    <w:rPr>
                      <w:rFonts w:ascii="calibri" w:hAnsi="calibri" w:cs="calibri" w:eastAsia="calibri"/>
                      <w:sz w:val="21"/>
                    </w:rPr>
                    <w:t>10×10</w:t>
                  </w:r>
                  <w:r>
                    <w:rPr>
                      <w:rFonts w:ascii="calibri" w:hAnsi="calibri" w:cs="calibri" w:eastAsia="calibri"/>
                      <w:sz w:val="21"/>
                      <w:vertAlign w:val="superscript"/>
                    </w:rPr>
                    <w:t>-8</w:t>
                  </w:r>
                  <w:r>
                    <w:rPr>
                      <w:rFonts w:ascii="calibri" w:hAnsi="calibri" w:cs="calibri" w:eastAsia="calibri"/>
                      <w:sz w:val="21"/>
                    </w:rPr>
                    <w:t>ms</w:t>
                  </w:r>
                  <w:r>
                    <w:rPr>
                      <w:rFonts w:ascii="calibri" w:hAnsi="calibri" w:cs="calibri" w:eastAsia="calibri"/>
                      <w:sz w:val="21"/>
                      <w:vertAlign w:val="superscript"/>
                    </w:rPr>
                    <w:t>-2</w:t>
                  </w:r>
                </w:p>
              </w:tc>
              <w:tc>
                <w:tcPr>
                  <w:tcW w:type="dxa" w:w="4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是</w:t>
                  </w:r>
                </w:p>
              </w:tc>
            </w:tr>
            <w:tr>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3</w:t>
                  </w:r>
                </w:p>
              </w:tc>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w:t>
                  </w:r>
                </w:p>
              </w:tc>
              <w:tc>
                <w:tcPr>
                  <w:tcW w:type="dxa" w:w="8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准确度</w:t>
                  </w:r>
                </w:p>
              </w:tc>
              <w:tc>
                <w:tcPr>
                  <w:tcW w:type="dxa" w:w="1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w:t>
                  </w:r>
                  <w:r>
                    <w:rPr>
                      <w:rFonts w:ascii="calibri" w:hAnsi="calibri" w:cs="calibri" w:eastAsia="calibri"/>
                      <w:sz w:val="21"/>
                    </w:rPr>
                    <w:t>10×10</w:t>
                  </w:r>
                  <w:r>
                    <w:rPr>
                      <w:rFonts w:ascii="calibri" w:hAnsi="calibri" w:cs="calibri" w:eastAsia="calibri"/>
                      <w:sz w:val="21"/>
                      <w:vertAlign w:val="superscript"/>
                    </w:rPr>
                    <w:t>-8</w:t>
                  </w:r>
                  <w:r>
                    <w:rPr>
                      <w:rFonts w:ascii="calibri" w:hAnsi="calibri" w:cs="calibri" w:eastAsia="calibri"/>
                      <w:sz w:val="21"/>
                    </w:rPr>
                    <w:t>ms</w:t>
                  </w:r>
                  <w:r>
                    <w:rPr>
                      <w:rFonts w:ascii="calibri" w:hAnsi="calibri" w:cs="calibri" w:eastAsia="calibri"/>
                      <w:sz w:val="21"/>
                      <w:vertAlign w:val="superscript"/>
                    </w:rPr>
                    <w:t>-2</w:t>
                  </w:r>
                </w:p>
              </w:tc>
              <w:tc>
                <w:tcPr>
                  <w:tcW w:type="dxa" w:w="4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是</w:t>
                  </w:r>
                </w:p>
              </w:tc>
            </w:tr>
            <w:tr>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4</w:t>
                  </w:r>
                </w:p>
              </w:tc>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w:t>
                  </w:r>
                </w:p>
              </w:tc>
              <w:tc>
                <w:tcPr>
                  <w:tcW w:type="dxa" w:w="8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分辨力</w:t>
                  </w:r>
                </w:p>
              </w:tc>
              <w:tc>
                <w:tcPr>
                  <w:tcW w:type="dxa" w:w="1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w:t>
                  </w:r>
                  <w:r>
                    <w:rPr>
                      <w:rFonts w:ascii="calibri" w:hAnsi="calibri" w:cs="calibri" w:eastAsia="calibri"/>
                      <w:sz w:val="21"/>
                    </w:rPr>
                    <w:t>1×10</w:t>
                  </w:r>
                  <w:r>
                    <w:rPr>
                      <w:rFonts w:ascii="calibri" w:hAnsi="calibri" w:cs="calibri" w:eastAsia="calibri"/>
                      <w:sz w:val="21"/>
                      <w:vertAlign w:val="superscript"/>
                    </w:rPr>
                    <w:t>-8</w:t>
                  </w:r>
                  <w:r>
                    <w:rPr>
                      <w:rFonts w:ascii="calibri" w:hAnsi="calibri" w:cs="calibri" w:eastAsia="calibri"/>
                      <w:sz w:val="21"/>
                    </w:rPr>
                    <w:t>ms</w:t>
                  </w:r>
                  <w:r>
                    <w:rPr>
                      <w:rFonts w:ascii="calibri" w:hAnsi="calibri" w:cs="calibri" w:eastAsia="calibri"/>
                      <w:sz w:val="21"/>
                      <w:vertAlign w:val="superscript"/>
                    </w:rPr>
                    <w:t>-2</w:t>
                  </w:r>
                </w:p>
              </w:tc>
              <w:tc>
                <w:tcPr>
                  <w:tcW w:type="dxa" w:w="4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是</w:t>
                  </w:r>
                </w:p>
              </w:tc>
            </w:tr>
            <w:tr>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5</w:t>
                  </w:r>
                </w:p>
              </w:tc>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w:t>
                  </w:r>
                </w:p>
              </w:tc>
              <w:tc>
                <w:tcPr>
                  <w:tcW w:type="dxa" w:w="8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重复性标准差</w:t>
                  </w:r>
                </w:p>
              </w:tc>
              <w:tc>
                <w:tcPr>
                  <w:tcW w:type="dxa" w:w="1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w:t>
                  </w:r>
                  <w:r>
                    <w:rPr>
                      <w:rFonts w:ascii="calibri" w:hAnsi="calibri" w:cs="calibri" w:eastAsia="calibri"/>
                      <w:sz w:val="21"/>
                    </w:rPr>
                    <w:t>10×10</w:t>
                  </w:r>
                  <w:r>
                    <w:rPr>
                      <w:rFonts w:ascii="calibri" w:hAnsi="calibri" w:cs="calibri" w:eastAsia="calibri"/>
                      <w:sz w:val="21"/>
                      <w:vertAlign w:val="superscript"/>
                    </w:rPr>
                    <w:t>-8</w:t>
                  </w:r>
                  <w:r>
                    <w:rPr>
                      <w:rFonts w:ascii="calibri" w:hAnsi="calibri" w:cs="calibri" w:eastAsia="calibri"/>
                      <w:sz w:val="21"/>
                    </w:rPr>
                    <w:t>ms</w:t>
                  </w:r>
                  <w:r>
                    <w:rPr>
                      <w:rFonts w:ascii="calibri" w:hAnsi="calibri" w:cs="calibri" w:eastAsia="calibri"/>
                      <w:sz w:val="21"/>
                      <w:vertAlign w:val="superscript"/>
                    </w:rPr>
                    <w:t>-2</w:t>
                  </w:r>
                </w:p>
              </w:tc>
              <w:tc>
                <w:tcPr>
                  <w:tcW w:type="dxa" w:w="4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是</w:t>
                  </w:r>
                </w:p>
              </w:tc>
            </w:tr>
            <w:tr>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6</w:t>
                  </w:r>
                </w:p>
              </w:tc>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w:t>
                  </w:r>
                </w:p>
              </w:tc>
              <w:tc>
                <w:tcPr>
                  <w:tcW w:type="dxa" w:w="8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抗气压影响</w:t>
                  </w:r>
                </w:p>
              </w:tc>
              <w:tc>
                <w:tcPr>
                  <w:tcW w:type="dxa" w:w="1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w:t>
                  </w:r>
                  <w:r>
                    <w:rPr>
                      <w:rFonts w:ascii="calibri" w:hAnsi="calibri" w:cs="calibri" w:eastAsia="calibri"/>
                      <w:sz w:val="21"/>
                    </w:rPr>
                    <w:t>1×10</w:t>
                  </w:r>
                  <w:r>
                    <w:rPr>
                      <w:rFonts w:ascii="calibri" w:hAnsi="calibri" w:cs="calibri" w:eastAsia="calibri"/>
                      <w:sz w:val="21"/>
                      <w:vertAlign w:val="superscript"/>
                    </w:rPr>
                    <w:t>-8</w:t>
                  </w:r>
                  <w:r>
                    <w:rPr>
                      <w:rFonts w:ascii="calibri" w:hAnsi="calibri" w:cs="calibri" w:eastAsia="calibri"/>
                      <w:sz w:val="21"/>
                    </w:rPr>
                    <w:t>ms</w:t>
                  </w:r>
                  <w:r>
                    <w:rPr>
                      <w:rFonts w:ascii="calibri" w:hAnsi="calibri" w:cs="calibri" w:eastAsia="calibri"/>
                      <w:sz w:val="21"/>
                      <w:vertAlign w:val="superscript"/>
                    </w:rPr>
                    <w:t>-2</w:t>
                  </w:r>
                </w:p>
              </w:tc>
              <w:tc>
                <w:tcPr>
                  <w:tcW w:type="dxa" w:w="4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是</w:t>
                  </w:r>
                </w:p>
              </w:tc>
            </w:tr>
            <w:tr>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7</w:t>
                  </w:r>
                </w:p>
              </w:tc>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w:t>
                  </w:r>
                </w:p>
              </w:tc>
              <w:tc>
                <w:tcPr>
                  <w:tcW w:type="dxa" w:w="8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接口要求</w:t>
                  </w:r>
                </w:p>
              </w:tc>
              <w:tc>
                <w:tcPr>
                  <w:tcW w:type="dxa" w:w="1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可以是</w:t>
                  </w:r>
                  <w:r>
                    <w:rPr>
                      <w:rFonts w:ascii="calibri" w:hAnsi="calibri" w:cs="calibri" w:eastAsia="calibri"/>
                      <w:sz w:val="21"/>
                    </w:rPr>
                    <w:t>RS232C</w:t>
                  </w:r>
                  <w:r>
                    <w:rPr>
                      <w:rFonts w:ascii="宋体" w:hAnsi="宋体" w:cs="宋体" w:eastAsia="宋体"/>
                      <w:sz w:val="21"/>
                    </w:rPr>
                    <w:t>、</w:t>
                  </w:r>
                  <w:r>
                    <w:rPr>
                      <w:rFonts w:ascii="calibri" w:hAnsi="calibri" w:cs="calibri" w:eastAsia="calibri"/>
                      <w:sz w:val="21"/>
                    </w:rPr>
                    <w:t>USB</w:t>
                  </w:r>
                  <w:r>
                    <w:rPr>
                      <w:rFonts w:ascii="宋体" w:hAnsi="宋体" w:cs="宋体" w:eastAsia="宋体"/>
                      <w:sz w:val="21"/>
                    </w:rPr>
                    <w:t>、</w:t>
                  </w:r>
                  <w:r>
                    <w:rPr>
                      <w:rFonts w:ascii="calibri" w:hAnsi="calibri" w:cs="calibri" w:eastAsia="calibri"/>
                      <w:sz w:val="21"/>
                    </w:rPr>
                    <w:t>CANBUS</w:t>
                  </w:r>
                  <w:r>
                    <w:rPr>
                      <w:rFonts w:ascii="宋体" w:hAnsi="宋体" w:cs="宋体" w:eastAsia="宋体"/>
                      <w:sz w:val="21"/>
                    </w:rPr>
                    <w:t>或</w:t>
                  </w:r>
                  <w:r>
                    <w:rPr>
                      <w:rFonts w:ascii="calibri" w:hAnsi="calibri" w:cs="calibri" w:eastAsia="calibri"/>
                      <w:sz w:val="21"/>
                    </w:rPr>
                    <w:t>TCP/IP</w:t>
                  </w:r>
                  <w:r>
                    <w:rPr>
                      <w:rFonts w:ascii="宋体" w:hAnsi="宋体" w:cs="宋体" w:eastAsia="宋体"/>
                      <w:sz w:val="21"/>
                    </w:rPr>
                    <w:t>协议接口中的任一种</w:t>
                  </w:r>
                </w:p>
              </w:tc>
              <w:tc>
                <w:tcPr>
                  <w:tcW w:type="dxa" w:w="4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是</w:t>
                  </w:r>
                </w:p>
              </w:tc>
            </w:tr>
            <w:tr>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8</w:t>
                  </w:r>
                </w:p>
              </w:tc>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w:t>
                  </w:r>
                </w:p>
              </w:tc>
              <w:tc>
                <w:tcPr>
                  <w:tcW w:type="dxa" w:w="8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授时功能</w:t>
                  </w:r>
                </w:p>
              </w:tc>
              <w:tc>
                <w:tcPr>
                  <w:tcW w:type="dxa" w:w="1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接受人工指令进行校时</w:t>
                  </w:r>
                  <w:r>
                    <w:rPr>
                      <w:rFonts w:ascii="宋体" w:hAnsi="宋体" w:cs="宋体" w:eastAsia="宋体"/>
                      <w:sz w:val="21"/>
                    </w:rPr>
                    <w:t>；</w:t>
                  </w:r>
                  <w:r>
                    <w:rPr>
                      <w:rFonts w:ascii="宋体" w:hAnsi="宋体" w:cs="宋体" w:eastAsia="宋体"/>
                      <w:sz w:val="21"/>
                    </w:rPr>
                    <w:t>北斗</w:t>
                  </w:r>
                  <w:r>
                    <w:rPr>
                      <w:rFonts w:ascii="宋体" w:hAnsi="宋体" w:cs="宋体" w:eastAsia="宋体"/>
                      <w:sz w:val="21"/>
                    </w:rPr>
                    <w:t>授时</w:t>
                  </w:r>
                  <w:r>
                    <w:rPr>
                      <w:rFonts w:ascii="宋体" w:hAnsi="宋体" w:cs="宋体" w:eastAsia="宋体"/>
                      <w:sz w:val="21"/>
                    </w:rPr>
                    <w:t>（</w:t>
                  </w:r>
                  <w:r>
                    <w:rPr>
                      <w:rFonts w:ascii="宋体" w:hAnsi="宋体" w:cs="宋体" w:eastAsia="宋体"/>
                      <w:sz w:val="21"/>
                    </w:rPr>
                    <w:t>如供货时不能满足，后续需按要求免费提供功能完善升级服务</w:t>
                  </w:r>
                  <w:r>
                    <w:rPr>
                      <w:rFonts w:ascii="宋体" w:hAnsi="宋体" w:cs="宋体" w:eastAsia="宋体"/>
                      <w:sz w:val="21"/>
                    </w:rPr>
                    <w:t>）</w:t>
                  </w:r>
                </w:p>
              </w:tc>
              <w:tc>
                <w:tcPr>
                  <w:tcW w:type="dxa" w:w="4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是</w:t>
                  </w:r>
                </w:p>
              </w:tc>
            </w:tr>
            <w:tr>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9</w:t>
                  </w:r>
                </w:p>
              </w:tc>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w:t>
                  </w:r>
                </w:p>
              </w:tc>
              <w:tc>
                <w:tcPr>
                  <w:tcW w:type="dxa" w:w="8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仪器工作温度范围</w:t>
                  </w:r>
                </w:p>
              </w:tc>
              <w:tc>
                <w:tcPr>
                  <w:tcW w:type="dxa" w:w="1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calibri" w:hAnsi="calibri" w:cs="calibri" w:eastAsia="calibri"/>
                      <w:sz w:val="21"/>
                    </w:rPr>
                    <w:t>20℃</w:t>
                  </w:r>
                  <w:r>
                    <w:rPr>
                      <w:rFonts w:ascii="宋体" w:hAnsi="宋体" w:cs="宋体" w:eastAsia="宋体"/>
                      <w:color w:val="000000"/>
                      <w:sz w:val="21"/>
                    </w:rPr>
                    <w:t>～</w:t>
                  </w:r>
                  <w:r>
                    <w:rPr>
                      <w:rFonts w:ascii="calibri" w:hAnsi="calibri" w:cs="calibri" w:eastAsia="calibri"/>
                      <w:sz w:val="21"/>
                    </w:rPr>
                    <w:t>30℃</w:t>
                  </w:r>
                </w:p>
              </w:tc>
              <w:tc>
                <w:tcPr>
                  <w:tcW w:type="dxa" w:w="4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是</w:t>
                  </w:r>
                </w:p>
              </w:tc>
            </w:tr>
            <w:tr>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10</w:t>
                  </w:r>
                </w:p>
              </w:tc>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w:t>
                  </w:r>
                </w:p>
              </w:tc>
              <w:tc>
                <w:tcPr>
                  <w:tcW w:type="dxa" w:w="8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仪器工作相对湿度范围</w:t>
                  </w:r>
                </w:p>
              </w:tc>
              <w:tc>
                <w:tcPr>
                  <w:tcW w:type="dxa" w:w="1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w:t>
                  </w:r>
                  <w:r>
                    <w:rPr>
                      <w:rFonts w:ascii="calibri" w:hAnsi="calibri" w:cs="calibri" w:eastAsia="calibri"/>
                      <w:sz w:val="21"/>
                    </w:rPr>
                    <w:t>90%</w:t>
                  </w:r>
                </w:p>
              </w:tc>
              <w:tc>
                <w:tcPr>
                  <w:tcW w:type="dxa" w:w="4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是</w:t>
                  </w:r>
                </w:p>
              </w:tc>
            </w:tr>
            <w:tr>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11</w:t>
                  </w:r>
                </w:p>
              </w:tc>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w:t>
                  </w:r>
                </w:p>
              </w:tc>
              <w:tc>
                <w:tcPr>
                  <w:tcW w:type="dxa" w:w="8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供电</w:t>
                  </w:r>
                </w:p>
              </w:tc>
              <w:tc>
                <w:tcPr>
                  <w:tcW w:type="dxa" w:w="1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稳态电压允许范围：</w:t>
                  </w:r>
                  <w:r>
                    <w:rPr>
                      <w:rFonts w:ascii="calibri" w:hAnsi="calibri" w:cs="calibri" w:eastAsia="calibri"/>
                      <w:sz w:val="21"/>
                    </w:rPr>
                    <w:t>220×</w:t>
                  </w:r>
                  <w:r>
                    <w:rPr>
                      <w:rFonts w:ascii="宋体" w:hAnsi="宋体" w:cs="宋体" w:eastAsia="宋体"/>
                      <w:sz w:val="21"/>
                    </w:rPr>
                    <w:t>（</w:t>
                  </w:r>
                  <w:r>
                    <w:rPr>
                      <w:rFonts w:ascii="calibri" w:hAnsi="calibri" w:cs="calibri" w:eastAsia="calibri"/>
                      <w:sz w:val="21"/>
                    </w:rPr>
                    <w:t>1±10%</w:t>
                  </w:r>
                  <w:r>
                    <w:rPr>
                      <w:rFonts w:ascii="宋体" w:hAnsi="宋体" w:cs="宋体" w:eastAsia="宋体"/>
                      <w:sz w:val="21"/>
                    </w:rPr>
                    <w:t>）</w:t>
                  </w:r>
                  <w:r>
                    <w:rPr>
                      <w:rFonts w:ascii="calibri" w:hAnsi="calibri" w:cs="calibri" w:eastAsia="calibri"/>
                      <w:sz w:val="21"/>
                    </w:rPr>
                    <w:t>V</w:t>
                  </w:r>
                  <w:r>
                    <w:rPr>
                      <w:rFonts w:ascii="宋体" w:hAnsi="宋体" w:cs="宋体" w:eastAsia="宋体"/>
                      <w:sz w:val="21"/>
                    </w:rPr>
                    <w:t>稳态频率允许范围：</w:t>
                  </w:r>
                  <w:r>
                    <w:rPr>
                      <w:rFonts w:ascii="calibri" w:hAnsi="calibri" w:cs="calibri" w:eastAsia="calibri"/>
                      <w:sz w:val="21"/>
                    </w:rPr>
                    <w:t>50×</w:t>
                  </w:r>
                  <w:r>
                    <w:rPr>
                      <w:rFonts w:ascii="宋体" w:hAnsi="宋体" w:cs="宋体" w:eastAsia="宋体"/>
                      <w:sz w:val="21"/>
                    </w:rPr>
                    <w:t>（</w:t>
                  </w:r>
                  <w:r>
                    <w:rPr>
                      <w:rFonts w:ascii="calibri" w:hAnsi="calibri" w:cs="calibri" w:eastAsia="calibri"/>
                      <w:sz w:val="21"/>
                    </w:rPr>
                    <w:t>1±5%</w:t>
                  </w:r>
                  <w:r>
                    <w:rPr>
                      <w:rFonts w:ascii="宋体" w:hAnsi="宋体" w:cs="宋体" w:eastAsia="宋体"/>
                      <w:sz w:val="21"/>
                    </w:rPr>
                    <w:t>）</w:t>
                  </w:r>
                  <w:r>
                    <w:rPr>
                      <w:rFonts w:ascii="calibri" w:hAnsi="calibri" w:cs="calibri" w:eastAsia="calibri"/>
                      <w:sz w:val="21"/>
                    </w:rPr>
                    <w:t>Hz</w:t>
                  </w:r>
                </w:p>
              </w:tc>
              <w:tc>
                <w:tcPr>
                  <w:tcW w:type="dxa" w:w="4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是</w:t>
                  </w:r>
                </w:p>
              </w:tc>
            </w:tr>
            <w:tr>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12</w:t>
                  </w:r>
                </w:p>
              </w:tc>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w:t>
                  </w:r>
                </w:p>
              </w:tc>
              <w:tc>
                <w:tcPr>
                  <w:tcW w:type="dxa" w:w="8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安全要求</w:t>
                  </w:r>
                </w:p>
              </w:tc>
              <w:tc>
                <w:tcPr>
                  <w:tcW w:type="dxa" w:w="1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电击防护：性能应符合国家标准</w:t>
                  </w:r>
                  <w:r>
                    <w:rPr>
                      <w:rFonts w:ascii="calibri" w:hAnsi="calibri" w:cs="calibri" w:eastAsia="calibri"/>
                      <w:sz w:val="21"/>
                    </w:rPr>
                    <w:t>GB 4706.1-2005</w:t>
                  </w:r>
                  <w:r>
                    <w:rPr>
                      <w:rFonts w:ascii="宋体" w:hAnsi="宋体" w:cs="宋体" w:eastAsia="宋体"/>
                      <w:sz w:val="21"/>
                    </w:rPr>
                    <w:t>中规定的</w:t>
                  </w:r>
                  <w:r>
                    <w:rPr>
                      <w:rFonts w:ascii="calibri" w:hAnsi="calibri" w:cs="calibri" w:eastAsia="calibri"/>
                      <w:sz w:val="21"/>
                    </w:rPr>
                    <w:t>Ⅰ</w:t>
                  </w:r>
                  <w:r>
                    <w:rPr>
                      <w:rFonts w:ascii="宋体" w:hAnsi="宋体" w:cs="宋体" w:eastAsia="宋体"/>
                      <w:sz w:val="21"/>
                    </w:rPr>
                    <w:t>类器具要求；电气强度电压：仪器的交流电压输入端与机壳之间应能承受</w:t>
                  </w:r>
                  <w:r>
                    <w:rPr>
                      <w:rFonts w:ascii="calibri" w:hAnsi="calibri" w:cs="calibri" w:eastAsia="calibri"/>
                      <w:sz w:val="21"/>
                    </w:rPr>
                    <w:t>1750V</w:t>
                  </w:r>
                  <w:r>
                    <w:rPr>
                      <w:rFonts w:ascii="宋体" w:hAnsi="宋体" w:cs="宋体" w:eastAsia="宋体"/>
                      <w:sz w:val="21"/>
                    </w:rPr>
                    <w:t>（有效值）电压</w:t>
                  </w:r>
                  <w:r>
                    <w:rPr>
                      <w:rFonts w:ascii="calibri" w:hAnsi="calibri" w:cs="calibri" w:eastAsia="calibri"/>
                      <w:sz w:val="21"/>
                    </w:rPr>
                    <w:t>1min</w:t>
                  </w:r>
                  <w:r>
                    <w:rPr>
                      <w:rFonts w:ascii="宋体" w:hAnsi="宋体" w:cs="宋体" w:eastAsia="宋体"/>
                      <w:sz w:val="21"/>
                    </w:rPr>
                    <w:t>；泄漏电流：仪器交流变压器的次级对机壳漏电峰值小于</w:t>
                  </w:r>
                  <w:r>
                    <w:rPr>
                      <w:rFonts w:ascii="calibri" w:hAnsi="calibri" w:cs="calibri" w:eastAsia="calibri"/>
                      <w:sz w:val="21"/>
                    </w:rPr>
                    <w:t>3.5mA</w:t>
                  </w:r>
                </w:p>
              </w:tc>
              <w:tc>
                <w:tcPr>
                  <w:tcW w:type="dxa" w:w="4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是</w:t>
                  </w:r>
                </w:p>
              </w:tc>
            </w:tr>
            <w:tr>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13</w:t>
                  </w:r>
                </w:p>
              </w:tc>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w:t>
                  </w:r>
                </w:p>
              </w:tc>
              <w:tc>
                <w:tcPr>
                  <w:tcW w:type="dxa" w:w="8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隔振方式</w:t>
                  </w:r>
                </w:p>
              </w:tc>
              <w:tc>
                <w:tcPr>
                  <w:tcW w:type="dxa" w:w="1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有隔振手段或振动保护机制</w:t>
                  </w:r>
                </w:p>
              </w:tc>
              <w:tc>
                <w:tcPr>
                  <w:tcW w:type="dxa" w:w="4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是</w:t>
                  </w:r>
                </w:p>
              </w:tc>
            </w:tr>
            <w:tr>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14</w:t>
                  </w:r>
                </w:p>
              </w:tc>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w:t>
                  </w:r>
                </w:p>
              </w:tc>
              <w:tc>
                <w:tcPr>
                  <w:tcW w:type="dxa" w:w="8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功率</w:t>
                  </w:r>
                </w:p>
              </w:tc>
              <w:tc>
                <w:tcPr>
                  <w:tcW w:type="dxa" w:w="1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不高于</w:t>
                  </w:r>
                  <w:r>
                    <w:rPr>
                      <w:rFonts w:ascii="calibri" w:hAnsi="calibri" w:cs="calibri" w:eastAsia="calibri"/>
                      <w:sz w:val="21"/>
                    </w:rPr>
                    <w:t>3</w:t>
                  </w:r>
                  <w:r>
                    <w:rPr>
                      <w:rFonts w:ascii="calibri" w:hAnsi="calibri" w:cs="calibri" w:eastAsia="calibri"/>
                      <w:sz w:val="21"/>
                    </w:rPr>
                    <w:t>00W</w:t>
                  </w:r>
                </w:p>
              </w:tc>
              <w:tc>
                <w:tcPr>
                  <w:tcW w:type="dxa" w:w="4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是</w:t>
                  </w:r>
                </w:p>
              </w:tc>
            </w:tr>
            <w:tr>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15</w:t>
                  </w:r>
                </w:p>
              </w:tc>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w:t>
                  </w:r>
                </w:p>
              </w:tc>
              <w:tc>
                <w:tcPr>
                  <w:tcW w:type="dxa" w:w="8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装备总重量</w:t>
                  </w:r>
                </w:p>
              </w:tc>
              <w:tc>
                <w:tcPr>
                  <w:tcW w:type="dxa" w:w="1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小于</w:t>
                  </w:r>
                  <w:r>
                    <w:rPr>
                      <w:rFonts w:ascii="calibri" w:hAnsi="calibri" w:cs="calibri" w:eastAsia="calibri"/>
                      <w:sz w:val="21"/>
                    </w:rPr>
                    <w:t>1</w:t>
                  </w:r>
                  <w:r>
                    <w:rPr>
                      <w:rFonts w:ascii="calibri" w:hAnsi="calibri" w:cs="calibri" w:eastAsia="calibri"/>
                      <w:sz w:val="21"/>
                    </w:rPr>
                    <w:t>00</w:t>
                  </w:r>
                  <w:r>
                    <w:rPr>
                      <w:rFonts w:ascii="calibri" w:hAnsi="calibri" w:cs="calibri" w:eastAsia="calibri"/>
                      <w:sz w:val="21"/>
                    </w:rPr>
                    <w:t>kg</w:t>
                  </w:r>
                </w:p>
              </w:tc>
              <w:tc>
                <w:tcPr>
                  <w:tcW w:type="dxa" w:w="4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是</w:t>
                  </w:r>
                </w:p>
              </w:tc>
            </w:tr>
            <w:tr>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16</w:t>
                  </w:r>
                </w:p>
              </w:tc>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w:t>
                  </w:r>
                </w:p>
              </w:tc>
              <w:tc>
                <w:tcPr>
                  <w:tcW w:type="dxa" w:w="8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总</w:t>
                  </w:r>
                  <w:r>
                    <w:rPr>
                      <w:rFonts w:ascii="宋体" w:hAnsi="宋体" w:cs="宋体" w:eastAsia="宋体"/>
                      <w:sz w:val="21"/>
                    </w:rPr>
                    <w:t>占地面积</w:t>
                  </w:r>
                </w:p>
              </w:tc>
              <w:tc>
                <w:tcPr>
                  <w:tcW w:type="dxa" w:w="1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小于</w:t>
                  </w:r>
                  <w:r>
                    <w:rPr>
                      <w:rFonts w:ascii="calibri" w:hAnsi="calibri" w:cs="calibri" w:eastAsia="calibri"/>
                      <w:sz w:val="21"/>
                    </w:rPr>
                    <w:t>2m</w:t>
                  </w:r>
                  <w:r>
                    <w:rPr>
                      <w:rFonts w:ascii="calibri" w:hAnsi="calibri" w:cs="calibri" w:eastAsia="calibri"/>
                      <w:sz w:val="21"/>
                      <w:vertAlign w:val="superscript"/>
                    </w:rPr>
                    <w:t>2</w:t>
                  </w:r>
                </w:p>
              </w:tc>
              <w:tc>
                <w:tcPr>
                  <w:tcW w:type="dxa" w:w="4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17</w:t>
                  </w:r>
                </w:p>
              </w:tc>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w:t>
                  </w:r>
                </w:p>
              </w:tc>
              <w:tc>
                <w:tcPr>
                  <w:tcW w:type="dxa" w:w="8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总</w:t>
                  </w:r>
                  <w:r>
                    <w:rPr>
                      <w:rFonts w:ascii="宋体" w:hAnsi="宋体" w:cs="宋体" w:eastAsia="宋体"/>
                      <w:sz w:val="21"/>
                    </w:rPr>
                    <w:t>体积</w:t>
                  </w:r>
                </w:p>
              </w:tc>
              <w:tc>
                <w:tcPr>
                  <w:tcW w:type="dxa" w:w="1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小于</w:t>
                  </w:r>
                  <w:r>
                    <w:rPr>
                      <w:rFonts w:ascii="calibri" w:hAnsi="calibri" w:cs="calibri" w:eastAsia="calibri"/>
                      <w:sz w:val="21"/>
                    </w:rPr>
                    <w:t>3m</w:t>
                  </w:r>
                  <w:r>
                    <w:rPr>
                      <w:rFonts w:ascii="calibri" w:hAnsi="calibri" w:cs="calibri" w:eastAsia="calibri"/>
                      <w:sz w:val="21"/>
                      <w:vertAlign w:val="superscript"/>
                    </w:rPr>
                    <w:t>3</w:t>
                  </w:r>
                </w:p>
              </w:tc>
              <w:tc>
                <w:tcPr>
                  <w:tcW w:type="dxa" w:w="4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18</w:t>
                  </w:r>
                </w:p>
              </w:tc>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w:t>
                  </w:r>
                </w:p>
              </w:tc>
              <w:tc>
                <w:tcPr>
                  <w:tcW w:type="dxa" w:w="8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实时修正量</w:t>
                  </w:r>
                </w:p>
              </w:tc>
              <w:tc>
                <w:tcPr>
                  <w:tcW w:type="dxa" w:w="1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潮汐、极移、气压等</w:t>
                  </w:r>
                </w:p>
              </w:tc>
              <w:tc>
                <w:tcPr>
                  <w:tcW w:type="dxa" w:w="4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是</w:t>
                  </w:r>
                </w:p>
              </w:tc>
            </w:tr>
            <w:tr>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19</w:t>
                  </w:r>
                </w:p>
              </w:tc>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w:t>
                  </w:r>
                </w:p>
              </w:tc>
              <w:tc>
                <w:tcPr>
                  <w:tcW w:type="dxa" w:w="8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测量软件</w:t>
                  </w:r>
                </w:p>
              </w:tc>
              <w:tc>
                <w:tcPr>
                  <w:tcW w:type="dxa" w:w="1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一键式测量，自动数字采集，综合信息</w:t>
                  </w:r>
                </w:p>
              </w:tc>
              <w:tc>
                <w:tcPr>
                  <w:tcW w:type="dxa" w:w="4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是</w:t>
                  </w:r>
                </w:p>
              </w:tc>
            </w:tr>
            <w:tr>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20</w:t>
                  </w:r>
                </w:p>
              </w:tc>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w:t>
                  </w:r>
                </w:p>
              </w:tc>
              <w:tc>
                <w:tcPr>
                  <w:tcW w:type="dxa" w:w="8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电子手簿</w:t>
                  </w:r>
                </w:p>
              </w:tc>
              <w:tc>
                <w:tcPr>
                  <w:tcW w:type="dxa" w:w="1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基本配置：内存</w:t>
                  </w:r>
                  <w:r>
                    <w:rPr>
                      <w:rFonts w:ascii="calibri" w:hAnsi="calibri" w:cs="calibri" w:eastAsia="calibri"/>
                      <w:sz w:val="21"/>
                    </w:rPr>
                    <w:t>12+256GB</w:t>
                  </w:r>
                  <w:r>
                    <w:rPr>
                      <w:rFonts w:ascii="宋体" w:hAnsi="宋体" w:cs="宋体" w:eastAsia="宋体"/>
                      <w:sz w:val="21"/>
                    </w:rPr>
                    <w:t>以上；系统：国产操作系统；屏幕尺寸：</w:t>
                  </w:r>
                  <w:r>
                    <w:rPr>
                      <w:rFonts w:ascii="calibri" w:hAnsi="calibri" w:cs="calibri" w:eastAsia="calibri"/>
                      <w:sz w:val="21"/>
                    </w:rPr>
                    <w:t>11</w:t>
                  </w:r>
                  <w:r>
                    <w:rPr>
                      <w:rFonts w:ascii="宋体" w:hAnsi="宋体" w:cs="宋体" w:eastAsia="宋体"/>
                      <w:sz w:val="21"/>
                    </w:rPr>
                    <w:t>英寸以上；</w:t>
                  </w:r>
                </w:p>
                <w:p>
                  <w:pPr>
                    <w:pStyle w:val="null3"/>
                    <w:jc w:val="both"/>
                  </w:pPr>
                  <w:r>
                    <w:rPr>
                      <w:rFonts w:ascii="宋体" w:hAnsi="宋体" w:cs="宋体" w:eastAsia="宋体"/>
                      <w:sz w:val="21"/>
                    </w:rPr>
                    <w:t>电子手簿：需符合地震系统地震绝对重力监测记录习惯，具备绝对重力测量相关的资料（测点任务图、点之记、测点环境调查、测点观测值、仪器作业过程状态、测量结果汇总统计）查询和建立、所有资料的导入、导出等功能。</w:t>
                  </w:r>
                </w:p>
              </w:tc>
              <w:tc>
                <w:tcPr>
                  <w:tcW w:type="dxa" w:w="4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21</w:t>
                  </w:r>
                </w:p>
              </w:tc>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w:t>
                  </w:r>
                </w:p>
              </w:tc>
              <w:tc>
                <w:tcPr>
                  <w:tcW w:type="dxa" w:w="8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数据处理终端</w:t>
                  </w:r>
                </w:p>
              </w:tc>
              <w:tc>
                <w:tcPr>
                  <w:tcW w:type="dxa" w:w="1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高性能数据处理终端，</w:t>
                  </w:r>
                  <w:r>
                    <w:rPr>
                      <w:rFonts w:ascii="宋体" w:hAnsi="宋体" w:cs="宋体" w:eastAsia="宋体"/>
                      <w:sz w:val="21"/>
                    </w:rPr>
                    <w:t>满足对重力数据进行处理分析，以得出地球重力场的特征和变化趋势，将处理后的数据进行可视化展示。</w:t>
                  </w:r>
                </w:p>
              </w:tc>
              <w:tc>
                <w:tcPr>
                  <w:tcW w:type="dxa" w:w="4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22</w:t>
                  </w:r>
                </w:p>
              </w:tc>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w:t>
                  </w:r>
                </w:p>
              </w:tc>
              <w:tc>
                <w:tcPr>
                  <w:tcW w:type="dxa" w:w="8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真空腔</w:t>
                  </w:r>
                </w:p>
              </w:tc>
              <w:tc>
                <w:tcPr>
                  <w:tcW w:type="dxa" w:w="1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优于</w:t>
                  </w:r>
                  <w:r>
                    <w:rPr>
                      <w:rFonts w:ascii="宋体" w:hAnsi="宋体" w:cs="宋体" w:eastAsia="宋体"/>
                      <w:sz w:val="21"/>
                    </w:rPr>
                    <w:t>5</w:t>
                  </w:r>
                  <w:r>
                    <w:rPr>
                      <w:rFonts w:ascii="宋体" w:hAnsi="宋体" w:cs="宋体" w:eastAsia="宋体"/>
                      <w:sz w:val="21"/>
                    </w:rPr>
                    <w:t>×</w:t>
                  </w:r>
                  <w:r>
                    <w:rPr>
                      <w:rFonts w:ascii="宋体" w:hAnsi="宋体" w:cs="宋体" w:eastAsia="宋体"/>
                      <w:sz w:val="21"/>
                    </w:rPr>
                    <w:t>10</w:t>
                  </w:r>
                  <w:r>
                    <w:rPr>
                      <w:rFonts w:ascii="宋体" w:hAnsi="宋体" w:cs="宋体" w:eastAsia="宋体"/>
                      <w:sz w:val="21"/>
                      <w:vertAlign w:val="superscript"/>
                    </w:rPr>
                    <w:t>-4</w:t>
                  </w:r>
                  <w:r>
                    <w:rPr>
                      <w:rFonts w:ascii="宋体" w:hAnsi="宋体" w:cs="宋体" w:eastAsia="宋体"/>
                      <w:sz w:val="21"/>
                    </w:rPr>
                    <w:t xml:space="preserve"> </w:t>
                  </w:r>
                  <w:r>
                    <w:rPr>
                      <w:rFonts w:ascii="宋体" w:hAnsi="宋体" w:cs="宋体" w:eastAsia="宋体"/>
                      <w:sz w:val="21"/>
                    </w:rPr>
                    <w:t>Pa</w:t>
                  </w:r>
                </w:p>
              </w:tc>
              <w:tc>
                <w:tcPr>
                  <w:tcW w:type="dxa" w:w="4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是</w:t>
                  </w:r>
                </w:p>
              </w:tc>
            </w:tr>
            <w:tr>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23</w:t>
                  </w:r>
                </w:p>
              </w:tc>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w:t>
                  </w:r>
                </w:p>
              </w:tc>
              <w:tc>
                <w:tcPr>
                  <w:tcW w:type="dxa" w:w="8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其他要求</w:t>
                  </w:r>
                </w:p>
              </w:tc>
              <w:tc>
                <w:tcPr>
                  <w:tcW w:type="dxa" w:w="1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《地震监测专业设备定型结果》和定型检测报告</w:t>
                  </w:r>
                </w:p>
              </w:tc>
              <w:tc>
                <w:tcPr>
                  <w:tcW w:type="dxa" w:w="4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是</w:t>
                  </w:r>
                </w:p>
              </w:tc>
            </w:tr>
            <w:tr>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24</w:t>
                  </w:r>
                </w:p>
              </w:tc>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w:t>
                  </w:r>
                </w:p>
              </w:tc>
              <w:tc>
                <w:tcPr>
                  <w:tcW w:type="dxa" w:w="8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测量辅助设备</w:t>
                  </w:r>
                </w:p>
              </w:tc>
              <w:tc>
                <w:tcPr>
                  <w:tcW w:type="dxa" w:w="1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电子气压计、电子温度计等</w:t>
                  </w:r>
                </w:p>
              </w:tc>
              <w:tc>
                <w:tcPr>
                  <w:tcW w:type="dxa" w:w="4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tc>
      </w:tr>
    </w:tbl>
    <w:p>
      <w:pPr>
        <w:pStyle w:val="null3"/>
        <w:outlineLvl w:val="2"/>
      </w:pPr>
      <w:r>
        <w:rPr>
          <w:b/>
          <w:sz w:val="28"/>
        </w:rPr>
        <w:t>3.4商务要求</w:t>
      </w:r>
    </w:p>
    <w:p>
      <w:pPr>
        <w:pStyle w:val="null3"/>
        <w:outlineLvl w:val="3"/>
      </w:pPr>
      <w:r>
        <w:rPr>
          <w:b/>
          <w:sz w:val="24"/>
        </w:rPr>
        <w:t xml:space="preserve"> 3.4.1交货时间</w:t>
      </w:r>
    </w:p>
    <w:p>
      <w:pPr>
        <w:pStyle w:val="null3"/>
      </w:pPr>
      <w:r>
        <w:rPr/>
        <w:t>采购包1：</w:t>
      </w:r>
    </w:p>
    <w:p>
      <w:pPr>
        <w:pStyle w:val="null3"/>
      </w:pPr>
      <w:r>
        <w:rPr/>
        <w:t>合同签订后90日内完成设备到货，并配送至采购人指定地点；120日历天内配合采购人完成设备测试；150天内完成项目验收。</w:t>
      </w:r>
    </w:p>
    <w:p>
      <w:pPr>
        <w:pStyle w:val="null3"/>
        <w:outlineLvl w:val="3"/>
      </w:pPr>
      <w:r>
        <w:rPr>
          <w:b/>
          <w:sz w:val="24"/>
        </w:rPr>
        <w:t>3.4.2交货地点</w:t>
      </w:r>
    </w:p>
    <w:p>
      <w:pPr>
        <w:pStyle w:val="null3"/>
      </w:pPr>
      <w:r>
        <w:rPr/>
        <w:t>采购包1：</w:t>
      </w:r>
    </w:p>
    <w:p>
      <w:pPr>
        <w:pStyle w:val="null3"/>
      </w:pPr>
      <w:r>
        <w:rPr/>
        <w:t>陕西省地震局</w:t>
      </w:r>
    </w:p>
    <w:p>
      <w:pPr>
        <w:pStyle w:val="null3"/>
        <w:outlineLvl w:val="3"/>
      </w:pPr>
      <w:r>
        <w:rPr>
          <w:b/>
          <w:sz w:val="24"/>
        </w:rPr>
        <w:t>3.4.3支付方式</w:t>
      </w:r>
    </w:p>
    <w:p>
      <w:pPr>
        <w:pStyle w:val="null3"/>
      </w:pPr>
      <w:r>
        <w:rPr/>
        <w:t>采购包1：</w:t>
      </w:r>
    </w:p>
    <w:p>
      <w:pPr>
        <w:pStyle w:val="null3"/>
      </w:pPr>
      <w:r>
        <w:rPr/>
        <w:t>分期付款</w:t>
      </w:r>
    </w:p>
    <w:p>
      <w:pPr>
        <w:pStyle w:val="null3"/>
        <w:outlineLvl w:val="3"/>
      </w:pPr>
      <w:r>
        <w:rPr>
          <w:b/>
          <w:sz w:val="24"/>
        </w:rPr>
        <w:t>3.4.4支付约定</w:t>
      </w:r>
    </w:p>
    <w:p>
      <w:pPr>
        <w:pStyle w:val="null3"/>
      </w:pPr>
      <w:r>
        <w:rPr/>
        <w:t>采购包1：</w:t>
      </w:r>
      <w:r>
        <w:rPr/>
        <w:t xml:space="preserve"> 付款条件说明： </w:t>
      </w:r>
      <w:r>
        <w:rPr/>
        <w:t>合同签订后，甲方凭借乙方开具的等额普通增值税发票</w:t>
      </w:r>
      <w:r>
        <w:rPr/>
        <w:t xml:space="preserve"> ，达到付款条件起 </w:t>
      </w:r>
      <w:r>
        <w:rPr/>
        <w:t>15</w:t>
      </w:r>
      <w:r>
        <w:rPr/>
        <w:t xml:space="preserve"> 日内，支付合同总金额的 </w:t>
      </w:r>
      <w:r>
        <w:rPr/>
        <w:t>60.00</w:t>
      </w:r>
      <w:r>
        <w:rPr/>
        <w:t>%。</w:t>
      </w:r>
    </w:p>
    <w:p>
      <w:pPr>
        <w:pStyle w:val="null3"/>
      </w:pPr>
      <w:r>
        <w:rPr/>
        <w:t>采购包1：</w:t>
      </w:r>
      <w:r>
        <w:rPr/>
        <w:t xml:space="preserve"> 付款条件说明： </w:t>
      </w:r>
      <w:r>
        <w:rPr/>
        <w:t>设备全部到货并通过甲方到货验收后，甲方凭借乙方开具的等额普通增值税发票</w:t>
      </w:r>
      <w:r>
        <w:rPr/>
        <w:t xml:space="preserve"> ，达到付款条件起 </w:t>
      </w:r>
      <w:r>
        <w:rPr/>
        <w:t>30</w:t>
      </w:r>
      <w:r>
        <w:rPr/>
        <w:t xml:space="preserve"> 日内，支付合同总金额的 </w:t>
      </w:r>
      <w:r>
        <w:rPr/>
        <w:t>20.00</w:t>
      </w:r>
      <w:r>
        <w:rPr/>
        <w:t>%。</w:t>
      </w:r>
    </w:p>
    <w:p>
      <w:pPr>
        <w:pStyle w:val="null3"/>
      </w:pPr>
      <w:r>
        <w:rPr/>
        <w:t>采购包1：</w:t>
      </w:r>
      <w:r>
        <w:rPr/>
        <w:t xml:space="preserve"> 付款条件说明： </w:t>
      </w:r>
      <w:r>
        <w:rPr/>
        <w:t>完成仪器测试、安装调试并通过甲方合同验收后。甲方凭借乙方开具的等额普通增值税发票</w:t>
      </w:r>
      <w:r>
        <w:rPr/>
        <w:t xml:space="preserve"> ，达到付款条件起 </w:t>
      </w:r>
      <w:r>
        <w:rPr/>
        <w:t>30</w:t>
      </w:r>
      <w:r>
        <w:rPr/>
        <w:t xml:space="preserve"> 日内，支付合同总金额的 </w:t>
      </w:r>
      <w:r>
        <w:rPr/>
        <w:t>20.00</w:t>
      </w:r>
      <w:r>
        <w:rPr/>
        <w:t>%。</w:t>
      </w:r>
    </w:p>
    <w:p>
      <w:pPr>
        <w:pStyle w:val="null3"/>
        <w:outlineLvl w:val="3"/>
      </w:pPr>
      <w:r>
        <w:rPr>
          <w:b/>
          <w:sz w:val="24"/>
        </w:rPr>
        <w:t>3.4.5验收标准和方法</w:t>
      </w:r>
    </w:p>
    <w:p>
      <w:pPr>
        <w:pStyle w:val="null3"/>
      </w:pPr>
      <w:r>
        <w:rPr/>
        <w:t>采购包1：</w:t>
      </w:r>
    </w:p>
    <w:p>
      <w:pPr>
        <w:pStyle w:val="null3"/>
      </w:pPr>
      <w:r>
        <w:rPr/>
        <w:t>1．到货检验 (1)中标人在产品出厂前，应按产品技术标准规定的检验项目和检验方法进行全面检验，中标人应随同货物出具产地证书、出厂检验报告和产品质量合格证等。同时需要第三方计量机构鉴定报告。 （2）中标人自检，要求中标人对所有货物的性能进行自检，检验结果必须符合招标文件技术要求以及合同中相关条款，并向采购人提供自检记录。 （3）开箱检验，中标人与采购人按招标文件以及合同相关条款要求一同对货物进行验收，验收结果应符合采购人使用要求。若发现未符合招标文件及合同相关条款要求，需立即进行整改。 （4）对比测试验收，中标人应按采购人要求对本次采购的货物进行对比测试，用以检验仪器的真实性能，并出具相关的测试报告，完成测试验收。 2.验收费用 验收所发生的一切费用均由中标人承担(并入投标报价内)。</w:t>
      </w:r>
    </w:p>
    <w:p>
      <w:pPr>
        <w:pStyle w:val="null3"/>
        <w:outlineLvl w:val="3"/>
      </w:pPr>
      <w:r>
        <w:rPr>
          <w:b/>
          <w:sz w:val="24"/>
        </w:rPr>
        <w:t>3.4.6包装方式及运输</w:t>
      </w:r>
    </w:p>
    <w:p>
      <w:pPr>
        <w:pStyle w:val="null3"/>
      </w:pPr>
      <w:r>
        <w:rPr/>
        <w:t>采购包1：</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由于包装不善所引起的货物锈蚀、损坏和损失均由中标人承担。</w:t>
      </w:r>
    </w:p>
    <w:p>
      <w:pPr>
        <w:pStyle w:val="null3"/>
        <w:outlineLvl w:val="3"/>
      </w:pPr>
      <w:r>
        <w:rPr>
          <w:b/>
          <w:sz w:val="24"/>
        </w:rPr>
        <w:t>3.4.7质量保修范围和保修期</w:t>
      </w:r>
    </w:p>
    <w:p>
      <w:pPr>
        <w:pStyle w:val="null3"/>
      </w:pPr>
      <w:r>
        <w:rPr/>
        <w:t>采购包1：</w:t>
      </w:r>
    </w:p>
    <w:p>
      <w:pPr>
        <w:pStyle w:val="null3"/>
      </w:pPr>
      <w:r>
        <w:rPr/>
        <w:t>中标人必须提供至少3年免费维修服务，软件免费升级。中标人免费维修故障设备，并承担返厂维修的往返运保费及其它所有费用，保证采购合同执行完毕后继续提供设备维修服务。在质保期内如发现设备性能指标与合同中规定的存在较大偏离，中标人需及时更换同型号设备，更换设备须提供采购人认可的检测机构出具的检测报告。</w:t>
      </w:r>
    </w:p>
    <w:p>
      <w:pPr>
        <w:pStyle w:val="null3"/>
        <w:outlineLvl w:val="3"/>
      </w:pPr>
      <w:r>
        <w:rPr>
          <w:b/>
          <w:sz w:val="24"/>
        </w:rPr>
        <w:t>3.4.8违约责任与解决争议的方法</w:t>
      </w:r>
    </w:p>
    <w:p>
      <w:pPr>
        <w:pStyle w:val="null3"/>
      </w:pPr>
      <w:r>
        <w:rPr/>
        <w:t>采购包1：</w:t>
      </w:r>
    </w:p>
    <w:p>
      <w:pPr>
        <w:pStyle w:val="null3"/>
      </w:pPr>
      <w:r>
        <w:rPr/>
        <w:t>合同双方任何一方违反本合同约定，造成项目实施工作停滞、延误或失败的，按以下规定承担违约责任： 1、甲方未能按合同约定期限约定数额按时足额支付乙方项目款项，甲方应向乙方支付补偿滞纳金，滞纳金额=本期应付款*0.5%*欠款天数（财政资金下达原因除外），逾期付款违约金上限不超过合同总价款的5%。 2、甲方应按照合同相关条款中规定的答复期限对乙方的更改申请、成果确认等给出反馈，逾期造成的项目延误，乙方后续交付成果时间可适当顺延。 3、乙方未能按照合同第八条规定的时间履行合同内容，甲方有权要求乙方提供相应赔偿： （1）延误30日内，乙方为甲方提供核心设备年续保费用作为赔偿。 （2）延误30日（含）至60日，乙方除为甲方提供核心设备年续保费用外，还应以甲方认可的适当的条件和方法为甲方提供与项目设备类似的设备或服务。 （3）延误超过60日（含），甲方可单方面解除合同，乙方返还甲方已支付的合同款，并赔偿甲方合同总价款*30%。 4、乙方因自身原因无法完成合同内容，提前终止合同，乙方返还甲方已支付的合同款，并赔偿甲方合同总价款*30%。 5、乙方伪造资料，项目实施中弄虚作假，对项目实施造成实质性影响，甲方可单方面解除合同，乙方返还甲方已支付的合同款，并赔偿甲方合同总价款*30%。</w:t>
      </w:r>
    </w:p>
    <w:p>
      <w:pPr>
        <w:pStyle w:val="null3"/>
        <w:jc w:val="left"/>
        <w:outlineLvl w:val="2"/>
      </w:pPr>
      <w:r>
        <w:rPr>
          <w:b/>
          <w:sz w:val="28"/>
        </w:rPr>
        <w:t>3.5其他要求</w:t>
      </w:r>
    </w:p>
    <w:p>
      <w:pPr>
        <w:pStyle w:val="null3"/>
      </w:pPr>
      <w:r>
        <w:rPr/>
        <w:t>本项目采用评标方法为综合评分法，带“★”的参数需求为实质性要求，供应商必须响应，带“▲、#、△”号条款为允许负偏离的参数需求，若未响应或者不满足，将在综合评审中予以扣分处理。 详见附件3.5其他要求</w:t>
      </w:r>
    </w:p>
    <w:p>
      <w:pPr>
        <w:pStyle w:val="null3"/>
      </w:pPr>
      <w:r>
        <w:rPr/>
        <w:t xml:space="preserve"> </w:t>
        <w:br/>
        <w:br w:type="page"/>
      </w:r>
    </w:p>
    <w:p>
      <w:pPr>
        <w:pStyle w:val="null3"/>
        <w:jc w:val="center"/>
        <w:outlineLvl w:val="1"/>
      </w:pPr>
      <w:r>
        <w:rPr>
          <w:b/>
          <w:sz w:val="36"/>
        </w:rPr>
        <w:t>第四章 资格审查</w:t>
      </w:r>
    </w:p>
    <w:p>
      <w:pPr>
        <w:pStyle w:val="null3"/>
        <w:ind w:firstLine="480"/>
      </w:pPr>
      <w:r>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t>资格审查标准及要求如下：</w:t>
      </w:r>
    </w:p>
    <w:p>
      <w:pPr>
        <w:pStyle w:val="null3"/>
        <w:outlineLvl w:val="2"/>
      </w:pPr>
      <w:r>
        <w:rPr>
          <w:b/>
          <w:sz w:val="28"/>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1）具有独立承担民事责任能力的法人、其他组织或自然人，并出具合法有效的营业执照或事业单位法人证书等国家规定的相关证明，自然人参与的提供其身份证明；（2）书面声明：参加本次政府采购活动前三年内在经营活动中没有重大违纪，以及未被列入失信被执行人、重大税收违法案件当事人名单、政府采购严重违法失信行为记录名单的书面声明；（3）具有履行合同所必需的产品和专业技术能力的承诺函；（4）供应商需在项目电子化交易系统中按要求填写《投标函》完成承诺并进行电子签章。</w:t>
            </w:r>
          </w:p>
        </w:tc>
        <w:tc>
          <w:tcPr>
            <w:tcW w:type="dxa" w:w="1661"/>
          </w:tcPr>
          <w:p>
            <w:pPr>
              <w:pStyle w:val="null3"/>
            </w:pPr>
            <w:r>
              <w:rPr/>
              <w:t>资格证明文件 投标函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1）财务状况报告：供应商提供2022年度经审计的财务会计报告（包括审计报告、资产负债表、利润表、现金流量表、所有者权益变动表及其附注，成立时间至提交投标文件截止时间不足一年的可提供成立后任意时段的资产负债表），或其开标前三个月内基本存款账户开户银行出具的资信证明，或信用担保机构出具的投标担保函。（以上三种形式的资料提供任何一种即可）。（2）税收缴纳证明：提供上一年度至今已缴纳的至少一个月的纳税证明或完税证明，依法免税的单位应提供相关证明材料； （3）社会保障资金缴纳证明：提供上一年度至今已缴存的至少一个月的社会保障资金缴存单据或社保机构开具的社会保险参保缴费情况证明，依法不需要缴纳社会保障资金的单位应提供相关证明材料。 供应商需在项目电子化交易系统中按要求上传相应证明文件并进行电子签章。</w:t>
            </w:r>
          </w:p>
        </w:tc>
        <w:tc>
          <w:tcPr>
            <w:tcW w:type="dxa" w:w="1661"/>
          </w:tcPr>
          <w:p>
            <w:pPr>
              <w:pStyle w:val="null3"/>
            </w:pPr>
            <w:r>
              <w:rPr/>
              <w:t>资格证明文件</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资格证明文件 投标函</w:t>
            </w:r>
          </w:p>
        </w:tc>
      </w:tr>
    </w:tbl>
    <w:p>
      <w:pPr>
        <w:pStyle w:val="null3"/>
        <w:outlineLvl w:val="2"/>
      </w:pPr>
      <w:r>
        <w:rPr>
          <w:b/>
          <w:sz w:val="28"/>
        </w:rPr>
        <w:t>4.2特殊资格审查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授权委托书</w:t>
            </w:r>
          </w:p>
        </w:tc>
        <w:tc>
          <w:tcPr>
            <w:tcW w:type="dxa" w:w="3322"/>
          </w:tcPr>
          <w:p>
            <w:pPr>
              <w:pStyle w:val="null3"/>
            </w:pPr>
            <w:r>
              <w:rPr/>
              <w:t>授权委托书：法定代表人（主要负责人）委托代理人参加投标时，应提供法定代表人（主要负责人）委托授权书；法定代表人（主要负责人）亲自参加投标时，应提供法定代表人（主要负责人）身份证明书。</w:t>
            </w:r>
          </w:p>
        </w:tc>
        <w:tc>
          <w:tcPr>
            <w:tcW w:type="dxa" w:w="1661"/>
          </w:tcPr>
          <w:p>
            <w:pPr>
              <w:pStyle w:val="null3"/>
            </w:pPr>
            <w:r>
              <w:rPr/>
              <w:t>资格证明文件</w:t>
            </w:r>
          </w:p>
        </w:tc>
      </w:tr>
      <w:tr>
        <w:tc>
          <w:tcPr>
            <w:tcW w:type="dxa" w:w="831"/>
          </w:tcPr>
          <w:p>
            <w:pPr>
              <w:pStyle w:val="null3"/>
            </w:pPr>
            <w:r>
              <w:rPr/>
              <w:t>2</w:t>
            </w:r>
          </w:p>
        </w:tc>
        <w:tc>
          <w:tcPr>
            <w:tcW w:type="dxa" w:w="2492"/>
          </w:tcPr>
          <w:p>
            <w:pPr>
              <w:pStyle w:val="null3"/>
            </w:pPr>
            <w:r>
              <w:rPr/>
              <w:t>信誉</w:t>
            </w:r>
          </w:p>
        </w:tc>
        <w:tc>
          <w:tcPr>
            <w:tcW w:type="dxa" w:w="3322"/>
          </w:tcPr>
          <w:p>
            <w:pPr>
              <w:pStyle w:val="null3"/>
            </w:pPr>
            <w:r>
              <w:rPr/>
              <w:t>对列入“信用中国”网站(www.creditchina.gov.cn)记录“失信被执行人、重大税收违法失信主体、政府采购严重违法失信行为记录名单”；中国政府采购网(www.ccgp.gov.cn)“政府采购严重违法失信行为信息记录”的单位，应当拒绝参与政府采购活动</w:t>
            </w:r>
          </w:p>
        </w:tc>
        <w:tc>
          <w:tcPr>
            <w:tcW w:type="dxa" w:w="1661"/>
          </w:tcPr>
          <w:p>
            <w:pPr>
              <w:pStyle w:val="null3"/>
            </w:pPr>
            <w:r>
              <w:rPr/>
              <w:t>资格证明文件</w:t>
            </w:r>
          </w:p>
        </w:tc>
      </w:tr>
    </w:tbl>
    <w:p>
      <w:pPr>
        <w:pStyle w:val="null3"/>
        <w:outlineLvl w:val="2"/>
      </w:pPr>
      <w:r>
        <w:rPr>
          <w:b/>
          <w:sz w:val="28"/>
        </w:rPr>
        <w:t>4.3落实政府采购政策资格审查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 xml:space="preserve"> </w:t>
        <w:br/>
        <w:br w:type="page"/>
      </w:r>
    </w:p>
    <w:p>
      <w:pPr>
        <w:pStyle w:val="null3"/>
        <w:jc w:val="center"/>
        <w:outlineLvl w:val="1"/>
      </w:pPr>
      <w:r>
        <w:rPr>
          <w:b/>
          <w:sz w:val="36"/>
        </w:rPr>
        <w:t>第五章 评标办法</w:t>
      </w:r>
    </w:p>
    <w:p>
      <w:pPr>
        <w:pStyle w:val="null3"/>
        <w:outlineLvl w:val="2"/>
      </w:pPr>
      <w:r>
        <w:rPr>
          <w:b/>
          <w:sz w:val="28"/>
        </w:rPr>
        <w:t>5.1总则</w:t>
      </w:r>
    </w:p>
    <w:p>
      <w:pPr>
        <w:pStyle w:val="null3"/>
        <w:ind w:firstLine="480"/>
      </w:pPr>
      <w:r>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t xml:space="preserve"> 二、评标工作由代理机构负责组织，具体评标事务由采购人或代理机构依法组建的评标委员会负责。评标委员会由采购人代表和评审专家组成。</w:t>
      </w:r>
    </w:p>
    <w:p>
      <w:pPr>
        <w:pStyle w:val="null3"/>
        <w:ind w:firstLine="480"/>
      </w:pPr>
      <w:r>
        <w:rPr/>
        <w:t>三、评标工作应遵循公平、公正、科学及择优的原则，并以相同的评标程序和标准对待所有的投标人。</w:t>
      </w:r>
    </w:p>
    <w:p>
      <w:pPr>
        <w:pStyle w:val="null3"/>
        <w:ind w:firstLine="480"/>
      </w:pPr>
      <w:r>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b/>
          <w:sz w:val="28"/>
        </w:rPr>
        <w:t>5.2评标委员会</w:t>
      </w:r>
    </w:p>
    <w:p>
      <w:pPr>
        <w:pStyle w:val="null3"/>
        <w:ind w:firstLine="480"/>
      </w:pPr>
      <w:r>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t>四、评标委员会按照招标文件规定的评标程序、评标方法和标准进行评标，并独立履行下列职责：</w:t>
      </w:r>
    </w:p>
    <w:p>
      <w:pPr>
        <w:pStyle w:val="null3"/>
        <w:ind w:firstLine="480"/>
      </w:pPr>
      <w:r>
        <w:rPr/>
        <w:t>（一）熟悉和理解招标文件；</w:t>
      </w:r>
    </w:p>
    <w:p>
      <w:pPr>
        <w:pStyle w:val="null3"/>
        <w:ind w:firstLine="480"/>
      </w:pPr>
      <w:r>
        <w:rPr/>
        <w:t>（二）审查供应商投标文件等是否满足招标文件要求，并作出评价；</w:t>
      </w:r>
    </w:p>
    <w:p>
      <w:pPr>
        <w:pStyle w:val="null3"/>
        <w:ind w:firstLine="480"/>
      </w:pPr>
      <w:r>
        <w:rPr/>
        <w:t xml:space="preserve"> （三）根据需要要求采购组织单位对招标文件作出解释；根据需要要求供应商对投标文件有关事项作出澄清、说明或者更正；</w:t>
      </w:r>
    </w:p>
    <w:p>
      <w:pPr>
        <w:pStyle w:val="null3"/>
        <w:ind w:firstLine="480"/>
      </w:pPr>
      <w:r>
        <w:rPr/>
        <w:t>（四）推荐中标候选供应商，或者受采购人委托确定中标供应商；</w:t>
      </w:r>
    </w:p>
    <w:p>
      <w:pPr>
        <w:pStyle w:val="null3"/>
        <w:ind w:firstLine="480"/>
      </w:pPr>
      <w:r>
        <w:rPr/>
        <w:t>（五）起草评标报告并进行签署；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b/>
          <w:sz w:val="28"/>
        </w:rPr>
        <w:t>5.3 评标方法</w:t>
      </w:r>
    </w:p>
    <w:p>
      <w:pPr>
        <w:pStyle w:val="null3"/>
      </w:pPr>
      <w:r>
        <w:rPr/>
        <w:t>采购包1：综合评分法</w:t>
      </w:r>
    </w:p>
    <w:p>
      <w:pPr>
        <w:pStyle w:val="null3"/>
        <w:outlineLvl w:val="2"/>
      </w:pPr>
      <w:r>
        <w:rPr>
          <w:b/>
          <w:sz w:val="28"/>
        </w:rPr>
        <w:t>5.4评标程序</w:t>
      </w:r>
    </w:p>
    <w:p>
      <w:pPr>
        <w:pStyle w:val="null3"/>
        <w:outlineLvl w:val="3"/>
      </w:pPr>
      <w:r>
        <w:rPr>
          <w:b/>
          <w:sz w:val="24"/>
        </w:rPr>
        <w:t xml:space="preserve"> 5.4.1熟悉和理解招标文件和停止评标</w:t>
      </w:r>
    </w:p>
    <w:p>
      <w:pPr>
        <w:pStyle w:val="null3"/>
        <w:ind w:firstLine="480"/>
      </w:pPr>
      <w:r>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t>二、本招标文件有下列情形之一的，评标委员会应当停止评标：</w:t>
      </w:r>
    </w:p>
    <w:p>
      <w:pPr>
        <w:pStyle w:val="null3"/>
        <w:ind w:firstLine="480"/>
      </w:pPr>
      <w:r>
        <w:rPr/>
        <w:t>（一）招标文件的规定存在歧义、重大缺陷的；</w:t>
      </w:r>
    </w:p>
    <w:p>
      <w:pPr>
        <w:pStyle w:val="null3"/>
        <w:ind w:firstLine="480"/>
      </w:pPr>
      <w:r>
        <w:rPr/>
        <w:t>（二）招标文件明显以不合理条件对供应商实行差别待遇或者歧视待遇的；</w:t>
      </w:r>
    </w:p>
    <w:p>
      <w:pPr>
        <w:pStyle w:val="null3"/>
        <w:ind w:firstLine="480"/>
      </w:pPr>
      <w:r>
        <w:rPr/>
        <w:t>（三）采购项目属于国家规定的优先、强制采购范围，但是招标文件未依法体现优先、强制采购相关规定的；</w:t>
      </w:r>
    </w:p>
    <w:p>
      <w:pPr>
        <w:pStyle w:val="null3"/>
        <w:ind w:firstLine="480"/>
      </w:pPr>
      <w:r>
        <w:rPr/>
        <w:t>（四）采购项目属于政府采购促进中小企业发展的范围，但是招标文件未依法体现促进中小企业发展相关规定的；</w:t>
      </w:r>
    </w:p>
    <w:p>
      <w:pPr>
        <w:pStyle w:val="null3"/>
        <w:ind w:firstLine="480"/>
      </w:pPr>
      <w:r>
        <w:rPr/>
        <w:t xml:space="preserve"> （五）招标文件规定的评标方法是综合评分法、最低评标价法之外的评标方法，或者虽然名称为综合评分法、最低评标价法，但实际上不符合国家规定；</w:t>
      </w:r>
    </w:p>
    <w:p>
      <w:pPr>
        <w:pStyle w:val="null3"/>
        <w:ind w:firstLine="480"/>
      </w:pPr>
      <w:r>
        <w:rPr/>
        <w:t>（六）招标文件将投标人的资格条件列为评分因素的；</w:t>
      </w:r>
    </w:p>
    <w:p>
      <w:pPr>
        <w:pStyle w:val="null3"/>
        <w:ind w:firstLine="480"/>
      </w:pPr>
      <w:r>
        <w:rPr/>
        <w:t>（七）招标文件有违反国家其他有关强制性规定的情形。</w:t>
      </w:r>
    </w:p>
    <w:p>
      <w:pPr>
        <w:pStyle w:val="null3"/>
        <w:ind w:firstLine="480"/>
      </w:pPr>
      <w:r>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b/>
          <w:sz w:val="24"/>
        </w:rPr>
        <w:t>5.4.2符合性审查</w:t>
      </w:r>
    </w:p>
    <w:p>
      <w:pPr>
        <w:pStyle w:val="null3"/>
        <w:ind w:firstLine="480"/>
      </w:pPr>
      <w:r>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t xml:space="preserve"> 在符合性审查过程中，如果出现评标委员会成员意见不一致的情况，按照少数服从多数的原则确定，但不得违背政府采购基本原则和招标文件规定。</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低于采购预算50%或者低于其他有效投标人报价算术平均价40%，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标的清单</w:t>
            </w:r>
          </w:p>
        </w:tc>
      </w:tr>
      <w:tr>
        <w:tc>
          <w:tcPr>
            <w:tcW w:type="dxa" w:w="831"/>
          </w:tcPr>
          <w:p>
            <w:pPr>
              <w:pStyle w:val="null3"/>
            </w:pPr>
            <w:r>
              <w:rPr/>
              <w:t>2</w:t>
            </w:r>
          </w:p>
        </w:tc>
        <w:tc>
          <w:tcPr>
            <w:tcW w:type="dxa" w:w="2492"/>
          </w:tcPr>
          <w:p>
            <w:pPr>
              <w:pStyle w:val="null3"/>
            </w:pPr>
            <w:r>
              <w:rPr/>
              <w:t>符合性审查</w:t>
            </w:r>
          </w:p>
        </w:tc>
        <w:tc>
          <w:tcPr>
            <w:tcW w:type="dxa" w:w="3322"/>
          </w:tcPr>
          <w:p>
            <w:pPr>
              <w:pStyle w:val="null3"/>
            </w:pPr>
            <w:r>
              <w:rPr/>
              <w:t>（1）响应文件的签署盖章：响应文件上法定代表人或其委托代理人的签字齐全并加盖单位章；（2）投标报价：投标报价只能有一个有效报价，不得提交选择性报价，且报价不超过采购预算金额；（3）对招标文件响应程度：要求全面响应，不能有任何采购人不能接受的附加条件；（4）投标有效期：90日历天； （5）交货期：合同签订后90日内完成设备到货，并配送至采购人指定地点；120日历天内配合采购人完成设备测试；150天内完成项目验收。（6）交货地点：陕西省地震局（7）付款方式：按招标文件的付款方式。</w:t>
            </w:r>
          </w:p>
        </w:tc>
        <w:tc>
          <w:tcPr>
            <w:tcW w:type="dxa" w:w="1661"/>
          </w:tcPr>
          <w:p>
            <w:pPr>
              <w:pStyle w:val="null3"/>
            </w:pPr>
            <w:r>
              <w:rPr/>
              <w:t>中小企业声明函 商务条款偏离表 技术参数偏离表 资格证明文件 国产设备承诺函 投标函 残疾人福利性单位声明函 投标分项报价表 服务方案 投标人认证评价 标的清单 投标文件封面 供应商类似项目业绩一览表 监狱企业的证明文件 实施方案</w:t>
            </w:r>
          </w:p>
        </w:tc>
      </w:tr>
    </w:tbl>
    <w:p>
      <w:pPr>
        <w:pStyle w:val="null3"/>
        <w:ind w:firstLine="480"/>
      </w:pPr>
      <w:r>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b/>
          <w:sz w:val="24"/>
        </w:rPr>
        <w:t>5.4.3解释、澄清有关问题</w:t>
      </w:r>
    </w:p>
    <w:p>
      <w:pPr>
        <w:pStyle w:val="null3"/>
        <w:ind w:firstLine="480"/>
      </w:pPr>
      <w:r>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t>（一）投标人投标文件中不响应招标文件规定的技术参数指标和商务应答；</w:t>
      </w:r>
    </w:p>
    <w:p>
      <w:pPr>
        <w:pStyle w:val="null3"/>
        <w:ind w:firstLine="480"/>
      </w:pPr>
      <w:r>
        <w:rPr/>
        <w:t>（二）投标人投标文件中未提供的证明其是否符合招标文件资格、符合性规定要求的相关材料。</w:t>
      </w:r>
    </w:p>
    <w:p>
      <w:pPr>
        <w:pStyle w:val="null3"/>
        <w:ind w:firstLine="480"/>
      </w:pPr>
      <w:r>
        <w:rPr/>
        <w:t>（三）投标人投标文件中的材料因印刷、影印等不清晰而难以辨认的。</w:t>
      </w:r>
    </w:p>
    <w:p>
      <w:pPr>
        <w:pStyle w:val="null3"/>
        <w:ind w:firstLine="480"/>
      </w:pPr>
      <w:r>
        <w:rPr/>
        <w:t>四、投标文件报价出现下列情况的，按以下原则处理：</w:t>
      </w:r>
    </w:p>
    <w:p>
      <w:pPr>
        <w:pStyle w:val="null3"/>
        <w:ind w:firstLine="480"/>
      </w:pPr>
      <w:r>
        <w:rPr/>
        <w:t>（一）投标文件中开标一览表（报价表）内容与投标文件中相应内容不一致的，以开标一览表（报价表）为准；</w:t>
      </w:r>
    </w:p>
    <w:p>
      <w:pPr>
        <w:pStyle w:val="null3"/>
        <w:ind w:firstLine="480"/>
      </w:pPr>
      <w:r>
        <w:rPr/>
        <w:t>（二）大写金额和小写金额不一致的，以大写金额为准，但大写金额出现文字错误，导致金额无法判断的除外；</w:t>
      </w:r>
    </w:p>
    <w:p>
      <w:pPr>
        <w:pStyle w:val="null3"/>
        <w:ind w:firstLine="480"/>
      </w:pPr>
      <w:r>
        <w:rPr/>
        <w:t>（三）单价金额小数点或者百分比有明显错位的，以开标一览表总价为准，并修改单价；</w:t>
      </w:r>
    </w:p>
    <w:p>
      <w:pPr>
        <w:pStyle w:val="null3"/>
        <w:ind w:firstLine="480"/>
      </w:pPr>
      <w:r>
        <w:rPr/>
        <w:t>（四）总价金额与按单价汇总金额不一致的，以单价金额计算结果为准。</w:t>
      </w:r>
    </w:p>
    <w:p>
      <w:pPr>
        <w:pStyle w:val="null3"/>
        <w:ind w:firstLine="480"/>
      </w:pPr>
      <w:r>
        <w:rPr/>
        <w:t xml:space="preserve"> 同时出现两种以上不一致的，按照前款规定的顺序修正。修正后的报价经投标人确认后产生约束力，投标人不确认的，其投标无效。</w:t>
      </w:r>
    </w:p>
    <w:p>
      <w:pPr>
        <w:pStyle w:val="null3"/>
        <w:ind w:firstLine="480"/>
      </w:pPr>
      <w:r>
        <w:rPr/>
        <w:t>五、对不同语言文本投标文件的解释发生异议的，以中文文本为准。</w:t>
      </w:r>
    </w:p>
    <w:p>
      <w:pPr>
        <w:pStyle w:val="null3"/>
        <w:ind w:firstLine="480"/>
      </w:pPr>
      <w:r>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t>评标委员会应当积极履行澄清、说明或者更正的职责，不得滥用权力。</w:t>
      </w:r>
    </w:p>
    <w:p>
      <w:pPr>
        <w:pStyle w:val="null3"/>
        <w:outlineLvl w:val="3"/>
      </w:pPr>
      <w:r>
        <w:rPr>
          <w:b/>
          <w:sz w:val="24"/>
        </w:rPr>
        <w:t>5.4.4比较与评价</w:t>
      </w:r>
    </w:p>
    <w:p>
      <w:pPr>
        <w:pStyle w:val="null3"/>
        <w:ind w:firstLine="480"/>
      </w:pPr>
      <w:r>
        <w:rPr/>
        <w:t xml:space="preserve"> 评标委员会应当按照招标文件规定的评标细则及标准，对符合性检查合格的投标文件进行商务和技术评估，综合比较和评价。</w:t>
      </w:r>
    </w:p>
    <w:p>
      <w:pPr>
        <w:pStyle w:val="null3"/>
        <w:outlineLvl w:val="3"/>
      </w:pPr>
      <w:r>
        <w:rPr>
          <w:b/>
          <w:sz w:val="24"/>
        </w:rPr>
        <w:t xml:space="preserve"> 5.4.5复核</w:t>
      </w:r>
    </w:p>
    <w:p>
      <w:pPr>
        <w:pStyle w:val="null3"/>
        <w:ind w:firstLine="480"/>
      </w:pPr>
      <w:r>
        <w:rPr/>
        <w:t xml:space="preserve"> 评分汇总结束后，评标委员会应当进行复核，对拟推荐为中标候选供应商、报价最低、投标文件被认定为无效等进行重点复核。</w:t>
      </w:r>
    </w:p>
    <w:p>
      <w:pPr>
        <w:pStyle w:val="null3"/>
        <w:ind w:firstLine="480"/>
      </w:pPr>
      <w:r>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t>评标结果汇总完成后，除下列情形外，任何人不得修改评标结果：</w:t>
      </w:r>
    </w:p>
    <w:p>
      <w:pPr>
        <w:pStyle w:val="null3"/>
        <w:ind w:firstLine="480"/>
      </w:pPr>
      <w:r>
        <w:rPr/>
        <w:t>（一）分值汇总计算错误的；</w:t>
      </w:r>
    </w:p>
    <w:p>
      <w:pPr>
        <w:pStyle w:val="null3"/>
        <w:ind w:firstLine="480"/>
      </w:pPr>
      <w:r>
        <w:rPr/>
        <w:t>（二）分项评分超出评分标准范围的；</w:t>
      </w:r>
    </w:p>
    <w:p>
      <w:pPr>
        <w:pStyle w:val="null3"/>
        <w:ind w:firstLine="480"/>
      </w:pPr>
      <w:r>
        <w:rPr/>
        <w:t>（三）评标委员会成员对客观评审因素评分不一致的；</w:t>
      </w:r>
    </w:p>
    <w:p>
      <w:pPr>
        <w:pStyle w:val="null3"/>
        <w:ind w:firstLine="480"/>
      </w:pPr>
      <w:r>
        <w:rPr/>
        <w:t>（四）经评标委员会认定评分畸高、畸低的。</w:t>
      </w:r>
    </w:p>
    <w:p>
      <w:pPr>
        <w:pStyle w:val="null3"/>
        <w:ind w:firstLine="480"/>
      </w:pPr>
      <w:r>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b/>
          <w:sz w:val="24"/>
        </w:rPr>
        <w:t>5.4.6确定中标候选人名单</w:t>
      </w:r>
    </w:p>
    <w:p>
      <w:pPr>
        <w:pStyle w:val="null3"/>
      </w:pPr>
      <w:r>
        <w:rPr/>
        <w:t>采购包1：</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b/>
          <w:sz w:val="24"/>
        </w:rPr>
        <w:t>5.4.7编写评标报告</w:t>
      </w:r>
    </w:p>
    <w:p>
      <w:pPr>
        <w:pStyle w:val="null3"/>
        <w:ind w:firstLine="480"/>
      </w:pPr>
      <w:r>
        <w:rPr/>
        <w:t>评标报告是评标委员会根据全体评标成员签字的评标记录和评标结果编写的报告，其主要内容包括：</w:t>
      </w:r>
    </w:p>
    <w:p>
      <w:pPr>
        <w:pStyle w:val="null3"/>
        <w:ind w:firstLine="480"/>
      </w:pPr>
      <w:r>
        <w:rPr/>
        <w:t>一、招标公告刊登的媒体名称、开标日期和地点；</w:t>
      </w:r>
    </w:p>
    <w:p>
      <w:pPr>
        <w:pStyle w:val="null3"/>
        <w:ind w:firstLine="480"/>
      </w:pPr>
      <w:r>
        <w:rPr/>
        <w:t>二、投标人名单和评标委员会成员名单；</w:t>
      </w:r>
    </w:p>
    <w:p>
      <w:pPr>
        <w:pStyle w:val="null3"/>
        <w:ind w:firstLine="480"/>
      </w:pPr>
      <w:r>
        <w:rPr/>
        <w:t>三、评审方法和标准；</w:t>
      </w:r>
    </w:p>
    <w:p>
      <w:pPr>
        <w:pStyle w:val="null3"/>
        <w:ind w:firstLine="480"/>
      </w:pPr>
      <w:r>
        <w:rPr/>
        <w:t>四、开标记录和评审情况及说明，包括投标无效供应商名单及原因；</w:t>
      </w:r>
    </w:p>
    <w:p>
      <w:pPr>
        <w:pStyle w:val="null3"/>
        <w:ind w:firstLine="480"/>
      </w:pPr>
      <w:r>
        <w:rPr/>
        <w:t>五、评标结果，确定的中标候选人名单或者经采购人委托直接确定的中标人</w:t>
      </w:r>
    </w:p>
    <w:p>
      <w:pPr>
        <w:pStyle w:val="null3"/>
        <w:ind w:firstLine="480"/>
      </w:pPr>
      <w:r>
        <w:rPr/>
        <w:t xml:space="preserve"> 六、其他需要说明的情况，包括评标过程中投标人根据评标委员会要求进行的澄清、说明或者补正，评标委员会成员的更换等；</w:t>
      </w:r>
    </w:p>
    <w:p>
      <w:pPr>
        <w:pStyle w:val="null3"/>
        <w:ind w:firstLine="480"/>
      </w:pPr>
      <w:r>
        <w:rPr/>
        <w:t>七、报价最高的投标人为中标候选人的，评标委员会应当对其报价的合理性予以特别说明。</w:t>
      </w:r>
    </w:p>
    <w:p>
      <w:pPr>
        <w:pStyle w:val="null3"/>
        <w:ind w:firstLine="480"/>
      </w:pPr>
      <w:r>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b/>
          <w:sz w:val="28"/>
        </w:rPr>
        <w:t>5.5评标争议处理规则</w:t>
      </w:r>
    </w:p>
    <w:p>
      <w:pPr>
        <w:pStyle w:val="null3"/>
        <w:ind w:firstLine="480"/>
      </w:pPr>
      <w:r>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b/>
          <w:sz w:val="28"/>
        </w:rPr>
        <w:t>5.6评标细则及标准</w:t>
      </w:r>
    </w:p>
    <w:p>
      <w:pPr>
        <w:pStyle w:val="null3"/>
        <w:ind w:firstLine="480"/>
      </w:pPr>
      <w:r>
        <w:rPr/>
        <w:t xml:space="preserve"> 一、评标委员会只对通过资格审查的投标文件，根据招标文件的要求采用相同的评标程序、评分办法及标准进行评价和比较。</w:t>
      </w:r>
    </w:p>
    <w:p>
      <w:pPr>
        <w:pStyle w:val="null3"/>
        <w:ind w:firstLine="480"/>
      </w:pPr>
      <w:r>
        <w:rPr/>
        <w:t>二、评标委员会成员应依据招标文件规定的评分标准和方法独立评审。</w:t>
      </w:r>
    </w:p>
    <w:p>
      <w:pPr>
        <w:pStyle w:val="null3"/>
        <w:outlineLvl w:val="3"/>
      </w:pPr>
      <w:r>
        <w:rPr>
          <w:b/>
          <w:sz w:val="24"/>
        </w:rPr>
        <w:t>5.6.1评分办法</w:t>
      </w:r>
    </w:p>
    <w:p>
      <w:pPr>
        <w:pStyle w:val="null3"/>
        <w:ind w:firstLine="480"/>
      </w:pPr>
      <w:r>
        <w:rPr/>
        <w:t>若采用综合评分法的，由评标委员会各成员对通过资格检查和符合性审查的投标人的投标文件进行独立评审。 投标报价得分=（评标基准价／投标报价）×100</w:t>
      </w:r>
    </w:p>
    <w:p>
      <w:pPr>
        <w:pStyle w:val="null3"/>
        <w:ind w:firstLine="480"/>
      </w:pPr>
      <w:r>
        <w:rPr/>
        <w:t>评标总得分＝F1×A1＋F2×A2＋……＋Fn×An</w:t>
      </w:r>
    </w:p>
    <w:p>
      <w:pPr>
        <w:pStyle w:val="null3"/>
        <w:ind w:firstLine="480"/>
      </w:pPr>
      <w:r>
        <w:rPr/>
        <w:t>F1、F2……Fn分别为各项评审因素的得分；</w:t>
      </w:r>
    </w:p>
    <w:p>
      <w:pPr>
        <w:pStyle w:val="null3"/>
        <w:ind w:firstLine="480"/>
      </w:pPr>
      <w:r>
        <w:rPr/>
        <w:t>A1、A2、……An 分别为各项评审因素所占的权重（A1＋A2＋……＋An＝1）。</w:t>
      </w:r>
    </w:p>
    <w:p>
      <w:pPr>
        <w:pStyle w:val="null3"/>
        <w:ind w:firstLine="480"/>
      </w:pPr>
      <w:r>
        <w:rPr/>
        <w:t>评标过程中，不得去掉报价中的最高报价和最低报价。</w:t>
      </w:r>
    </w:p>
    <w:p>
      <w:pPr>
        <w:pStyle w:val="null3"/>
        <w:ind w:firstLine="480"/>
      </w:pPr>
      <w:r>
        <w:rPr/>
        <w:t>因落实政府采购政策进行价格调整的，以调整后的价格计算评标基准价和投标报价。</w:t>
      </w:r>
    </w:p>
    <w:p>
      <w:pPr>
        <w:pStyle w:val="null3"/>
        <w:outlineLvl w:val="3"/>
      </w:pPr>
      <w:r>
        <w:rPr>
          <w:b/>
          <w:sz w:val="24"/>
        </w:rPr>
        <w:t>5.6.2评分标准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详细评审70.00分</w:t>
            </w:r>
          </w:p>
          <w:p>
            <w:pPr>
              <w:pStyle w:val="null3"/>
            </w:pPr>
            <w:r>
              <w:rPr/>
              <w:t>报价得分30.00分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技术参数</w:t>
            </w:r>
          </w:p>
        </w:tc>
        <w:tc>
          <w:tcPr>
            <w:tcW w:type="dxa" w:w="2492"/>
          </w:tcPr>
          <w:p>
            <w:pPr>
              <w:pStyle w:val="null3"/>
            </w:pPr>
            <w:r>
              <w:rPr/>
              <w:t>评标委员会根据投标文件中对技术部分的应答，产品所属类型在定型要求范围内，定型检测报告已包含的参数以定型检测报告结果为准，定型检测报告未包含的参数以投标人提供的其他技术资料和技术文件为准。投标人需提供生产厂家官方网站截图或产品白皮书或第三方机构检验报告或其他相关证明材料，对技术响应进行综合评审： 技术指标中带“▲”为关键需求指标、全部满足技术要求得15分，有一项不满足扣1.25分，最低得0分。 技术指标中带“#”为重要需求指标、全部满足技术要求得17分，有一项不满足扣1分，最低得0分。 技术指标中带“∆”为一般技术需求指标、全部满足技术要求得6分，有一项不满足扣0.3分，最低得0分。 注：关键指标负偏离达到5项，技术参数指标评分得分为0分。</w:t>
            </w:r>
          </w:p>
        </w:tc>
        <w:tc>
          <w:tcPr>
            <w:tcW w:type="dxa" w:w="831"/>
          </w:tcPr>
          <w:p>
            <w:pPr>
              <w:pStyle w:val="null3"/>
              <w:jc w:val="right"/>
            </w:pPr>
            <w:r>
              <w:rPr/>
              <w:t>38.00</w:t>
            </w:r>
          </w:p>
        </w:tc>
        <w:tc>
          <w:tcPr>
            <w:tcW w:type="dxa" w:w="831"/>
          </w:tcPr>
          <w:p>
            <w:pPr>
              <w:pStyle w:val="null3"/>
            </w:pPr>
            <w:r>
              <w:rPr/>
              <w:t>客观</w:t>
            </w:r>
          </w:p>
        </w:tc>
        <w:tc>
          <w:tcPr>
            <w:tcW w:type="dxa" w:w="1661"/>
          </w:tcPr>
          <w:p>
            <w:pPr>
              <w:pStyle w:val="null3"/>
            </w:pPr>
            <w:r>
              <w:rPr/>
              <w:t>技术参数偏离表</w:t>
            </w:r>
          </w:p>
        </w:tc>
      </w:tr>
      <w:tr>
        <w:tc>
          <w:tcPr>
            <w:tcW w:type="dxa" w:w="831"/>
            <w:vMerge/>
          </w:tcPr>
          <w:p/>
        </w:tc>
        <w:tc>
          <w:tcPr>
            <w:tcW w:type="dxa" w:w="1661"/>
          </w:tcPr>
          <w:p>
            <w:pPr>
              <w:pStyle w:val="null3"/>
            </w:pPr>
            <w:r>
              <w:rPr/>
              <w:t>实施方案</w:t>
            </w:r>
          </w:p>
        </w:tc>
        <w:tc>
          <w:tcPr>
            <w:tcW w:type="dxa" w:w="2492"/>
          </w:tcPr>
          <w:p>
            <w:pPr>
              <w:pStyle w:val="null3"/>
            </w:pPr>
            <w:r>
              <w:rPr/>
              <w:t>投标人结合本项目特点，针对本项目具体情况制定完整、可行的项目实施方案。根据其方案完整性、可行性，根据其响应程度，科学合理，针对性强得7分，内容完整、针对性不强、满足项目要求得4分，内容简单粗略，针对性较差得2分，无相关内容得0分。</w:t>
            </w:r>
          </w:p>
        </w:tc>
        <w:tc>
          <w:tcPr>
            <w:tcW w:type="dxa" w:w="831"/>
          </w:tcPr>
          <w:p>
            <w:pPr>
              <w:pStyle w:val="null3"/>
              <w:jc w:val="right"/>
            </w:pPr>
            <w:r>
              <w:rPr/>
              <w:t>7.00</w:t>
            </w:r>
          </w:p>
        </w:tc>
        <w:tc>
          <w:tcPr>
            <w:tcW w:type="dxa" w:w="831"/>
          </w:tcPr>
          <w:p>
            <w:pPr>
              <w:pStyle w:val="null3"/>
            </w:pPr>
            <w:r>
              <w:rPr/>
              <w:t>主观</w:t>
            </w:r>
          </w:p>
        </w:tc>
        <w:tc>
          <w:tcPr>
            <w:tcW w:type="dxa" w:w="1661"/>
          </w:tcPr>
          <w:p>
            <w:pPr>
              <w:pStyle w:val="null3"/>
            </w:pPr>
            <w:r>
              <w:rPr/>
              <w:t>实施方案</w:t>
            </w:r>
          </w:p>
          <w:p>
            <w:pPr>
              <w:pStyle w:val="null3"/>
            </w:pPr>
            <w:r>
              <w:rPr/>
              <w:t>商务条款偏离表</w:t>
            </w:r>
          </w:p>
        </w:tc>
      </w:tr>
      <w:tr>
        <w:tc>
          <w:tcPr>
            <w:tcW w:type="dxa" w:w="831"/>
            <w:vMerge/>
          </w:tcPr>
          <w:p/>
        </w:tc>
        <w:tc>
          <w:tcPr>
            <w:tcW w:type="dxa" w:w="1661"/>
          </w:tcPr>
          <w:p>
            <w:pPr>
              <w:pStyle w:val="null3"/>
            </w:pPr>
            <w:r>
              <w:rPr/>
              <w:t>供货计划</w:t>
            </w:r>
          </w:p>
        </w:tc>
        <w:tc>
          <w:tcPr>
            <w:tcW w:type="dxa" w:w="2492"/>
          </w:tcPr>
          <w:p>
            <w:pPr>
              <w:pStyle w:val="null3"/>
            </w:pPr>
            <w:r>
              <w:rPr/>
              <w:t>投标人根据本项目不同产品及不同供货地点，制定切实可行、安全可靠的供货方案。根据其方案可行性，安全性，根据其响应程度，科学合理，针对性强得4分，内容完整、针对性不强、满足项目要求得2分，内容简单粗略，针对性较差得1分，无相关内容得0分。</w:t>
            </w:r>
          </w:p>
        </w:tc>
        <w:tc>
          <w:tcPr>
            <w:tcW w:type="dxa" w:w="831"/>
          </w:tcPr>
          <w:p>
            <w:pPr>
              <w:pStyle w:val="null3"/>
              <w:jc w:val="right"/>
            </w:pPr>
            <w:r>
              <w:rPr/>
              <w:t>4.00</w:t>
            </w:r>
          </w:p>
        </w:tc>
        <w:tc>
          <w:tcPr>
            <w:tcW w:type="dxa" w:w="831"/>
          </w:tcPr>
          <w:p>
            <w:pPr>
              <w:pStyle w:val="null3"/>
            </w:pPr>
            <w:r>
              <w:rPr/>
              <w:t>主观</w:t>
            </w:r>
          </w:p>
        </w:tc>
        <w:tc>
          <w:tcPr>
            <w:tcW w:type="dxa" w:w="1661"/>
          </w:tcPr>
          <w:p>
            <w:pPr>
              <w:pStyle w:val="null3"/>
            </w:pPr>
            <w:r>
              <w:rPr/>
              <w:t>实施方案</w:t>
            </w:r>
          </w:p>
          <w:p>
            <w:pPr>
              <w:pStyle w:val="null3"/>
            </w:pPr>
            <w:r>
              <w:rPr/>
              <w:t>商务条款偏离表</w:t>
            </w:r>
          </w:p>
        </w:tc>
      </w:tr>
      <w:tr>
        <w:tc>
          <w:tcPr>
            <w:tcW w:type="dxa" w:w="831"/>
            <w:vMerge/>
          </w:tcPr>
          <w:p/>
        </w:tc>
        <w:tc>
          <w:tcPr>
            <w:tcW w:type="dxa" w:w="1661"/>
          </w:tcPr>
          <w:p>
            <w:pPr>
              <w:pStyle w:val="null3"/>
            </w:pPr>
            <w:r>
              <w:rPr/>
              <w:t>人员安排</w:t>
            </w:r>
          </w:p>
        </w:tc>
        <w:tc>
          <w:tcPr>
            <w:tcW w:type="dxa" w:w="2492"/>
          </w:tcPr>
          <w:p>
            <w:pPr>
              <w:pStyle w:val="null3"/>
            </w:pPr>
            <w:r>
              <w:rPr/>
              <w:t>投标人根据本项目特点，提供项目人员安排及责任制度方案，根据其方案完整性、可行性，根据其响应程度，科学合理，针对性强得4分，内容完整、针对性不强、满足项目要求得2分，内容简单粗略，针对性较差得1分，无相关内容得0分。</w:t>
            </w:r>
          </w:p>
        </w:tc>
        <w:tc>
          <w:tcPr>
            <w:tcW w:type="dxa" w:w="831"/>
          </w:tcPr>
          <w:p>
            <w:pPr>
              <w:pStyle w:val="null3"/>
              <w:jc w:val="right"/>
            </w:pPr>
            <w:r>
              <w:rPr/>
              <w:t>4.00</w:t>
            </w:r>
          </w:p>
        </w:tc>
        <w:tc>
          <w:tcPr>
            <w:tcW w:type="dxa" w:w="831"/>
          </w:tcPr>
          <w:p>
            <w:pPr>
              <w:pStyle w:val="null3"/>
            </w:pPr>
            <w:r>
              <w:rPr/>
              <w:t>主观</w:t>
            </w:r>
          </w:p>
        </w:tc>
        <w:tc>
          <w:tcPr>
            <w:tcW w:type="dxa" w:w="1661"/>
          </w:tcPr>
          <w:p>
            <w:pPr>
              <w:pStyle w:val="null3"/>
            </w:pPr>
            <w:r>
              <w:rPr/>
              <w:t>实施方案</w:t>
            </w:r>
          </w:p>
          <w:p>
            <w:pPr>
              <w:pStyle w:val="null3"/>
            </w:pPr>
            <w:r>
              <w:rPr/>
              <w:t>商务条款偏离表</w:t>
            </w:r>
          </w:p>
        </w:tc>
      </w:tr>
      <w:tr>
        <w:tc>
          <w:tcPr>
            <w:tcW w:type="dxa" w:w="831"/>
            <w:vMerge/>
          </w:tcPr>
          <w:p/>
        </w:tc>
        <w:tc>
          <w:tcPr>
            <w:tcW w:type="dxa" w:w="1661"/>
          </w:tcPr>
          <w:p>
            <w:pPr>
              <w:pStyle w:val="null3"/>
            </w:pPr>
            <w:r>
              <w:rPr/>
              <w:t>培训计划</w:t>
            </w:r>
          </w:p>
        </w:tc>
        <w:tc>
          <w:tcPr>
            <w:tcW w:type="dxa" w:w="2492"/>
          </w:tcPr>
          <w:p>
            <w:pPr>
              <w:pStyle w:val="null3"/>
            </w:pPr>
            <w:r>
              <w:rPr/>
              <w:t>投标人提供详尽的培训方案及培训计划，并列出培训的具体内容及方式，确保使用人员能够独立操作，并进行简单故障排查处理（包括：培训人数、培训时间、培训内容、培训方式等），根据其响应程度，科学合理，针对性强得4分，内容完整、针对性不强、满足项目要求得2分，内容简单粗略，针对性较差得1分，无相关内容得0分。</w:t>
            </w:r>
          </w:p>
        </w:tc>
        <w:tc>
          <w:tcPr>
            <w:tcW w:type="dxa" w:w="831"/>
          </w:tcPr>
          <w:p>
            <w:pPr>
              <w:pStyle w:val="null3"/>
              <w:jc w:val="right"/>
            </w:pPr>
            <w:r>
              <w:rPr/>
              <w:t>4.00</w:t>
            </w:r>
          </w:p>
        </w:tc>
        <w:tc>
          <w:tcPr>
            <w:tcW w:type="dxa" w:w="831"/>
          </w:tcPr>
          <w:p>
            <w:pPr>
              <w:pStyle w:val="null3"/>
            </w:pPr>
            <w:r>
              <w:rPr/>
              <w:t>主观</w:t>
            </w:r>
          </w:p>
        </w:tc>
        <w:tc>
          <w:tcPr>
            <w:tcW w:type="dxa" w:w="1661"/>
          </w:tcPr>
          <w:p>
            <w:pPr>
              <w:pStyle w:val="null3"/>
            </w:pPr>
            <w:r>
              <w:rPr/>
              <w:t>实施方案</w:t>
            </w:r>
          </w:p>
          <w:p>
            <w:pPr>
              <w:pStyle w:val="null3"/>
            </w:pPr>
            <w:r>
              <w:rPr/>
              <w:t>商务条款偏离表</w:t>
            </w:r>
          </w:p>
        </w:tc>
      </w:tr>
      <w:tr>
        <w:tc>
          <w:tcPr>
            <w:tcW w:type="dxa" w:w="831"/>
            <w:vMerge/>
          </w:tcPr>
          <w:p/>
        </w:tc>
        <w:tc>
          <w:tcPr>
            <w:tcW w:type="dxa" w:w="1661"/>
          </w:tcPr>
          <w:p>
            <w:pPr>
              <w:pStyle w:val="null3"/>
            </w:pPr>
            <w:r>
              <w:rPr/>
              <w:t>质保</w:t>
            </w:r>
          </w:p>
        </w:tc>
        <w:tc>
          <w:tcPr>
            <w:tcW w:type="dxa" w:w="2492"/>
          </w:tcPr>
          <w:p>
            <w:pPr>
              <w:pStyle w:val="null3"/>
            </w:pPr>
            <w:r>
              <w:rPr/>
              <w:t>1.投标人在满足产品技术服务要求质保时间的基础上，提供1年包换服务的得1分，提供2年包换服务的得2分，无相关内容得0分。 2.投标人在满足产品技术服务要求质保时间的基础上，质保期每延长1年，得0.5分，最多得2分，无相关内容得0分。</w:t>
            </w:r>
          </w:p>
        </w:tc>
        <w:tc>
          <w:tcPr>
            <w:tcW w:type="dxa" w:w="831"/>
          </w:tcPr>
          <w:p>
            <w:pPr>
              <w:pStyle w:val="null3"/>
              <w:jc w:val="right"/>
            </w:pPr>
            <w:r>
              <w:rPr/>
              <w:t>4.00</w:t>
            </w:r>
          </w:p>
        </w:tc>
        <w:tc>
          <w:tcPr>
            <w:tcW w:type="dxa" w:w="831"/>
          </w:tcPr>
          <w:p>
            <w:pPr>
              <w:pStyle w:val="null3"/>
            </w:pPr>
            <w:r>
              <w:rPr/>
              <w:t>客观</w:t>
            </w:r>
          </w:p>
        </w:tc>
        <w:tc>
          <w:tcPr>
            <w:tcW w:type="dxa" w:w="1661"/>
          </w:tcPr>
          <w:p>
            <w:pPr>
              <w:pStyle w:val="null3"/>
            </w:pPr>
            <w:r>
              <w:rPr/>
              <w:t>服务方案</w:t>
            </w:r>
          </w:p>
          <w:p>
            <w:pPr>
              <w:pStyle w:val="null3"/>
            </w:pPr>
            <w:r>
              <w:rPr/>
              <w:t>商务条款偏离表</w:t>
            </w:r>
          </w:p>
        </w:tc>
      </w:tr>
      <w:tr>
        <w:tc>
          <w:tcPr>
            <w:tcW w:type="dxa" w:w="831"/>
            <w:vMerge/>
          </w:tcPr>
          <w:p/>
        </w:tc>
        <w:tc>
          <w:tcPr>
            <w:tcW w:type="dxa" w:w="1661"/>
          </w:tcPr>
          <w:p>
            <w:pPr>
              <w:pStyle w:val="null3"/>
            </w:pPr>
            <w:r>
              <w:rPr/>
              <w:t>售后服务</w:t>
            </w:r>
          </w:p>
        </w:tc>
        <w:tc>
          <w:tcPr>
            <w:tcW w:type="dxa" w:w="2492"/>
          </w:tcPr>
          <w:p>
            <w:pPr>
              <w:pStyle w:val="null3"/>
            </w:pPr>
            <w:r>
              <w:rPr/>
              <w:t>投标人提供售后服务承诺，包括但不限于应急措施、备品备件及耗材、维修、拟投入售后服务人员配置情况、出现故障响应时间等根据其响应程度，科学合理，针对性强得3分，内容完整、针对性不强、满足项目要求得2分，内容简单粗略，针对性较差得1分，无相关内容得0分。</w:t>
            </w:r>
          </w:p>
        </w:tc>
        <w:tc>
          <w:tcPr>
            <w:tcW w:type="dxa" w:w="831"/>
          </w:tcPr>
          <w:p>
            <w:pPr>
              <w:pStyle w:val="null3"/>
              <w:jc w:val="right"/>
            </w:pPr>
            <w:r>
              <w:rPr/>
              <w:t>3.00</w:t>
            </w:r>
          </w:p>
        </w:tc>
        <w:tc>
          <w:tcPr>
            <w:tcW w:type="dxa" w:w="831"/>
          </w:tcPr>
          <w:p>
            <w:pPr>
              <w:pStyle w:val="null3"/>
            </w:pPr>
            <w:r>
              <w:rPr/>
              <w:t>主观</w:t>
            </w:r>
          </w:p>
        </w:tc>
        <w:tc>
          <w:tcPr>
            <w:tcW w:type="dxa" w:w="1661"/>
          </w:tcPr>
          <w:p>
            <w:pPr>
              <w:pStyle w:val="null3"/>
            </w:pPr>
            <w:r>
              <w:rPr/>
              <w:t>服务方案</w:t>
            </w:r>
          </w:p>
          <w:p>
            <w:pPr>
              <w:pStyle w:val="null3"/>
            </w:pPr>
            <w:r>
              <w:rPr/>
              <w:t>商务条款偏离表</w:t>
            </w:r>
          </w:p>
        </w:tc>
      </w:tr>
      <w:tr>
        <w:tc>
          <w:tcPr>
            <w:tcW w:type="dxa" w:w="831"/>
            <w:vMerge/>
          </w:tcPr>
          <w:p/>
        </w:tc>
        <w:tc>
          <w:tcPr>
            <w:tcW w:type="dxa" w:w="1661"/>
          </w:tcPr>
          <w:p>
            <w:pPr>
              <w:pStyle w:val="null3"/>
            </w:pPr>
            <w:r>
              <w:rPr/>
              <w:t>投标人认证评价</w:t>
            </w:r>
          </w:p>
        </w:tc>
        <w:tc>
          <w:tcPr>
            <w:tcW w:type="dxa" w:w="2492"/>
          </w:tcPr>
          <w:p>
            <w:pPr>
              <w:pStyle w:val="null3"/>
            </w:pPr>
            <w:r>
              <w:rPr/>
              <w:t>投标人具备有效期内的GB/T19001系列或ISO9001质量管理体系认证； GB/T24001系列或ISO14001系列环境管理体系认证； GB/T28001系列或OHSAS18001系列或ISO45001职业健康安全管理体系认证证书。 证书上载明的获证企业名称必须与投标人单位名称完全一致，投标文件内每提供一个有效证书复印件并加盖公章得1分，满分3分。</w:t>
            </w:r>
          </w:p>
        </w:tc>
        <w:tc>
          <w:tcPr>
            <w:tcW w:type="dxa" w:w="831"/>
          </w:tcPr>
          <w:p>
            <w:pPr>
              <w:pStyle w:val="null3"/>
              <w:jc w:val="right"/>
            </w:pPr>
            <w:r>
              <w:rPr/>
              <w:t>3.00</w:t>
            </w:r>
          </w:p>
        </w:tc>
        <w:tc>
          <w:tcPr>
            <w:tcW w:type="dxa" w:w="831"/>
          </w:tcPr>
          <w:p>
            <w:pPr>
              <w:pStyle w:val="null3"/>
            </w:pPr>
            <w:r>
              <w:rPr/>
              <w:t>客观</w:t>
            </w:r>
          </w:p>
        </w:tc>
        <w:tc>
          <w:tcPr>
            <w:tcW w:type="dxa" w:w="1661"/>
          </w:tcPr>
          <w:p>
            <w:pPr>
              <w:pStyle w:val="null3"/>
            </w:pPr>
            <w:r>
              <w:rPr/>
              <w:t>投标人认证评价</w:t>
            </w:r>
          </w:p>
        </w:tc>
      </w:tr>
      <w:tr>
        <w:tc>
          <w:tcPr>
            <w:tcW w:type="dxa" w:w="831"/>
            <w:vMerge/>
          </w:tcPr>
          <w:p/>
        </w:tc>
        <w:tc>
          <w:tcPr>
            <w:tcW w:type="dxa" w:w="1661"/>
          </w:tcPr>
          <w:p>
            <w:pPr>
              <w:pStyle w:val="null3"/>
            </w:pPr>
            <w:r>
              <w:rPr/>
              <w:t>业绩</w:t>
            </w:r>
          </w:p>
        </w:tc>
        <w:tc>
          <w:tcPr>
            <w:tcW w:type="dxa" w:w="2492"/>
          </w:tcPr>
          <w:p>
            <w:pPr>
              <w:pStyle w:val="null3"/>
            </w:pPr>
            <w:r>
              <w:rPr/>
              <w:t>提供2021年1月至今类似项目整机采购业绩，以合同为准（以合同复印件加盖公章为准）每份合同计1分，最多得3分。 注：业绩合同弄虚作假者，取消其招标或中标资格。</w:t>
            </w:r>
          </w:p>
        </w:tc>
        <w:tc>
          <w:tcPr>
            <w:tcW w:type="dxa" w:w="831"/>
          </w:tcPr>
          <w:p>
            <w:pPr>
              <w:pStyle w:val="null3"/>
              <w:jc w:val="right"/>
            </w:pPr>
            <w:r>
              <w:rPr/>
              <w:t>3.00</w:t>
            </w:r>
          </w:p>
        </w:tc>
        <w:tc>
          <w:tcPr>
            <w:tcW w:type="dxa" w:w="831"/>
          </w:tcPr>
          <w:p>
            <w:pPr>
              <w:pStyle w:val="null3"/>
            </w:pPr>
            <w:r>
              <w:rPr/>
              <w:t>客观</w:t>
            </w:r>
          </w:p>
        </w:tc>
        <w:tc>
          <w:tcPr>
            <w:tcW w:type="dxa" w:w="1661"/>
          </w:tcPr>
          <w:p>
            <w:pPr>
              <w:pStyle w:val="null3"/>
            </w:pPr>
            <w:r>
              <w:rPr/>
              <w:t>供应商类似项目业绩一览表</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价格分统一采用低价优先法计算，即满足招标文件要求且投标价格最低的投标报价为评标基准价，其价格分为满分。其他投标人的价格分统一按照下列公式计算： 投标报价得分=(评标基准价／投标报价)×价格权值×100 计算分数时四舍五入取小数点后两位</w:t>
            </w:r>
          </w:p>
        </w:tc>
        <w:tc>
          <w:tcPr>
            <w:tcW w:type="dxa" w:w="831"/>
          </w:tcPr>
          <w:p>
            <w:pPr>
              <w:pStyle w:val="null3"/>
              <w:jc w:val="right"/>
            </w:pPr>
            <w:r>
              <w:rPr/>
              <w:t>30.00</w:t>
            </w:r>
          </w:p>
        </w:tc>
        <w:tc>
          <w:tcPr>
            <w:tcW w:type="dxa" w:w="831"/>
          </w:tcPr>
          <w:p>
            <w:pPr>
              <w:pStyle w:val="null3"/>
            </w:pPr>
            <w:r>
              <w:rPr/>
              <w:t>客观</w:t>
            </w:r>
          </w:p>
        </w:tc>
        <w:tc>
          <w:tcPr>
            <w:tcW w:type="dxa" w:w="1661"/>
          </w:tcPr>
          <w:p>
            <w:pPr>
              <w:pStyle w:val="null3"/>
            </w:pPr>
            <w:r>
              <w:rPr/>
              <w:t>开标一览表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开标一览表 中小企业声明函 残疾人福利性单位声明函 标的清单 监狱企业的证明文件</w:t>
            </w:r>
          </w:p>
        </w:tc>
      </w:tr>
    </w:tbl>
    <w:p>
      <w:pPr>
        <w:pStyle w:val="null3"/>
        <w:ind w:firstLine="480"/>
      </w:pPr>
      <w:r>
        <w:rPr/>
        <w:t>说明：</w:t>
      </w:r>
    </w:p>
    <w:p>
      <w:pPr>
        <w:pStyle w:val="null3"/>
        <w:ind w:firstLine="480"/>
      </w:pPr>
      <w:r>
        <w:rPr/>
        <w:t>1、评分的取值按四舍五入法，保留小数点后两位；</w:t>
      </w:r>
    </w:p>
    <w:p>
      <w:pPr>
        <w:pStyle w:val="null3"/>
        <w:ind w:firstLine="480"/>
      </w:pPr>
      <w:r>
        <w:rPr/>
        <w:t>2、评分标准中要求提供复印件的证明材料须清晰可辨。</w:t>
      </w:r>
    </w:p>
    <w:p>
      <w:pPr>
        <w:pStyle w:val="null3"/>
        <w:ind w:firstLine="480"/>
      </w:pPr>
      <w:r>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b/>
          <w:sz w:val="28"/>
        </w:rPr>
        <w:t>5.7废标</w:t>
      </w:r>
    </w:p>
    <w:p>
      <w:pPr>
        <w:pStyle w:val="null3"/>
        <w:ind w:firstLine="480"/>
      </w:pPr>
      <w:r>
        <w:rPr/>
        <w:t>本次政府采购活动中，出现下列情形之一的，予以废标：</w:t>
      </w:r>
    </w:p>
    <w:p>
      <w:pPr>
        <w:pStyle w:val="null3"/>
        <w:ind w:firstLine="480"/>
      </w:pPr>
      <w:r>
        <w:rPr/>
        <w:t>一、符合专业条件的投标人或者对招标文件作实质响应的投标人不足三家的；</w:t>
      </w:r>
    </w:p>
    <w:p>
      <w:pPr>
        <w:pStyle w:val="null3"/>
        <w:ind w:firstLine="480"/>
      </w:pPr>
      <w:r>
        <w:rPr/>
        <w:t>二、出现影响采购公正的违法、违规行为的；</w:t>
      </w:r>
    </w:p>
    <w:p>
      <w:pPr>
        <w:pStyle w:val="null3"/>
        <w:ind w:firstLine="480"/>
      </w:pPr>
      <w:r>
        <w:rPr/>
        <w:t>三、投标人的报价均超过了采购预算，采购人不能支付的；</w:t>
      </w:r>
    </w:p>
    <w:p>
      <w:pPr>
        <w:pStyle w:val="null3"/>
        <w:ind w:firstLine="480"/>
      </w:pPr>
      <w:r>
        <w:rPr/>
        <w:t>四、因重大变故，采购任务取消的；</w:t>
      </w:r>
    </w:p>
    <w:p>
      <w:pPr>
        <w:pStyle w:val="null3"/>
        <w:ind w:firstLine="480"/>
      </w:pPr>
      <w:r>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b/>
          <w:sz w:val="28"/>
        </w:rPr>
        <w:t>5.8定标</w:t>
      </w:r>
    </w:p>
    <w:p>
      <w:pPr>
        <w:pStyle w:val="null3"/>
        <w:outlineLvl w:val="3"/>
      </w:pPr>
      <w:r>
        <w:rPr>
          <w:b/>
          <w:sz w:val="24"/>
        </w:rPr>
        <w:t>5.8.1 定标原则</w:t>
      </w:r>
    </w:p>
    <w:p>
      <w:pPr>
        <w:pStyle w:val="null3"/>
      </w:pPr>
      <w:r>
        <w:rPr/>
        <w:t>采购人在评标报告确定的中标候选人名单中按顺序确定1名中标人。中标候选人并列的，由采购人采取随机抽取的方式确定中标人。</w:t>
      </w:r>
    </w:p>
    <w:p>
      <w:pPr>
        <w:pStyle w:val="null3"/>
        <w:outlineLvl w:val="3"/>
      </w:pPr>
      <w:r>
        <w:rPr>
          <w:b/>
          <w:sz w:val="24"/>
        </w:rPr>
        <w:t>5.8.2定标程序</w:t>
      </w:r>
    </w:p>
    <w:p>
      <w:pPr>
        <w:pStyle w:val="null3"/>
      </w:pPr>
      <w:r>
        <w:rPr/>
        <w:t>一、评标委员会在项目电子化交易系统中编制评标情况，生成评标报告。</w:t>
      </w:r>
    </w:p>
    <w:p>
      <w:pPr>
        <w:pStyle w:val="null3"/>
      </w:pPr>
      <w:r>
        <w:rPr/>
        <w:t>二、代理机构在评标结束之日起2个工作日内将评标报告送采购人。</w:t>
      </w:r>
    </w:p>
    <w:p>
      <w:pPr>
        <w:pStyle w:val="null3"/>
      </w:pPr>
      <w:r>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t>四、根据确定的中标供应商，代理机构在陕西省政府采购网上发布中标结果公告，通过项目电子化交易系统向中标供应商发出中标通知书。</w:t>
      </w:r>
    </w:p>
    <w:p>
      <w:pPr>
        <w:pStyle w:val="null3"/>
        <w:outlineLvl w:val="2"/>
      </w:pPr>
      <w:r>
        <w:rPr>
          <w:b/>
          <w:sz w:val="28"/>
        </w:rPr>
        <w:t>5.9评审专家在政府采购活动中承担以下义务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b/>
          <w:sz w:val="28"/>
        </w:rPr>
        <w:t>5.10评审专家在政府采购活动中应当遵守以下工作纪律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（六）服从评审现场采购组织单位的现场秩序管理，接受评审现场监督人员的合法监督。</w:t>
      </w:r>
    </w:p>
    <w:p>
      <w:pPr>
        <w:pStyle w:val="null3"/>
        <w:ind w:firstLine="480"/>
      </w:pPr>
      <w:r>
        <w:rPr/>
        <w:t>（七）遵守有关廉洁自律规定，不得私下接触供应商， 不得收受供应商及有关业务单位和个人的财物或好处，不得接受采购组织单位的请托。</w:t>
      </w:r>
    </w:p>
    <w:p>
      <w:pPr>
        <w:pStyle w:val="null3"/>
      </w:pPr>
      <w:r>
        <w:rPr/>
        <w:t xml:space="preserve"> </w:t>
        <w:br/>
        <w:br w:type="page"/>
      </w:r>
    </w:p>
    <w:p>
      <w:pPr>
        <w:pStyle w:val="null3"/>
        <w:jc w:val="center"/>
        <w:outlineLvl w:val="1"/>
      </w:pPr>
      <w:r>
        <w:rPr>
          <w:b/>
          <w:sz w:val="36"/>
        </w:rPr>
        <w:t>第六章 投标文件格式</w:t>
      </w:r>
    </w:p>
    <w:p>
      <w:pPr>
        <w:pStyle w:val="null3"/>
      </w:pPr>
      <w:r>
        <w:rPr/>
        <w:t>采购包1：</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详见附件：资格证明文件</w:t>
      </w:r>
    </w:p>
    <w:p>
      <w:pPr>
        <w:pStyle w:val="null3"/>
        <w:ind w:firstLine="960"/>
      </w:pPr>
      <w:r>
        <w:rPr/>
        <w:t>详见附件：开标一览表</w:t>
      </w:r>
    </w:p>
    <w:p>
      <w:pPr>
        <w:pStyle w:val="null3"/>
        <w:ind w:firstLine="960"/>
      </w:pPr>
      <w:r>
        <w:rPr/>
        <w:t>详见附件：投标分项报价表</w:t>
      </w:r>
    </w:p>
    <w:p>
      <w:pPr>
        <w:pStyle w:val="null3"/>
        <w:ind w:firstLine="960"/>
      </w:pPr>
      <w:r>
        <w:rPr/>
        <w:t>详见附件：技术参数偏离表</w:t>
      </w:r>
    </w:p>
    <w:p>
      <w:pPr>
        <w:pStyle w:val="null3"/>
        <w:ind w:firstLine="960"/>
      </w:pPr>
      <w:r>
        <w:rPr/>
        <w:t>详见附件：商务条款偏离表</w:t>
      </w:r>
    </w:p>
    <w:p>
      <w:pPr>
        <w:pStyle w:val="null3"/>
        <w:ind w:firstLine="960"/>
      </w:pPr>
      <w:r>
        <w:rPr/>
        <w:t>详见附件：实施方案</w:t>
      </w:r>
    </w:p>
    <w:p>
      <w:pPr>
        <w:pStyle w:val="null3"/>
        <w:ind w:firstLine="960"/>
      </w:pPr>
      <w:r>
        <w:rPr/>
        <w:t>详见附件：服务方案</w:t>
      </w:r>
    </w:p>
    <w:p>
      <w:pPr>
        <w:pStyle w:val="null3"/>
        <w:ind w:firstLine="960"/>
      </w:pPr>
      <w:r>
        <w:rPr/>
        <w:t>详见附件：投标人认证评价</w:t>
      </w:r>
    </w:p>
    <w:p>
      <w:pPr>
        <w:pStyle w:val="null3"/>
        <w:ind w:firstLine="960"/>
      </w:pPr>
      <w:r>
        <w:rPr/>
        <w:t>详见附件：供应商类似项目业绩一览表</w:t>
      </w:r>
    </w:p>
    <w:p>
      <w:pPr>
        <w:pStyle w:val="null3"/>
        <w:ind w:firstLine="960"/>
      </w:pPr>
      <w:r>
        <w:rPr/>
        <w:t>详见附件：标的清单</w:t>
      </w:r>
    </w:p>
    <w:p>
      <w:pPr>
        <w:pStyle w:val="null3"/>
        <w:ind w:firstLine="960"/>
      </w:pPr>
      <w:r>
        <w:rPr/>
        <w:t>详见附件：国产设备承诺函</w:t>
      </w:r>
    </w:p>
    <w:p>
      <w:pPr>
        <w:pStyle w:val="null3"/>
      </w:pPr>
      <w:r>
        <w:rPr/>
        <w:t xml:space="preserve"> </w:t>
        <w:br/>
        <w:br w:type="page"/>
      </w:r>
    </w:p>
    <w:p>
      <w:pPr>
        <w:pStyle w:val="null3"/>
        <w:jc w:val="center"/>
        <w:outlineLvl w:val="1"/>
      </w:pPr>
      <w:r>
        <w:rPr>
          <w:b/>
          <w:sz w:val="36"/>
        </w:rPr>
        <w:t>第七章 拟签订合同文本</w:t>
      </w:r>
    </w:p>
    <w:p>
      <w:pPr>
        <w:pStyle w:val="null3"/>
      </w:pPr>
      <w:r>
        <w:rPr/>
        <w:t>详见附件：流动绝对重力观测设备采购项目拟签订合同文本.docx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