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after="120" w:afterLines="50" w:line="360" w:lineRule="auto"/>
        <w:rPr>
          <w:sz w:val="40"/>
          <w:szCs w:val="52"/>
        </w:rPr>
      </w:pPr>
      <w:bookmarkStart w:id="7" w:name="_GoBack"/>
      <w:r>
        <w:rPr>
          <w:rFonts w:hint="eastAsia"/>
          <w:sz w:val="40"/>
          <w:szCs w:val="52"/>
        </w:rPr>
        <w:t>采购内容及商务技术要求</w:t>
      </w:r>
    </w:p>
    <w:bookmarkEnd w:id="7"/>
    <w:p>
      <w:pPr>
        <w:spacing w:line="360" w:lineRule="auto"/>
        <w:ind w:firstLine="482" w:firstLineChars="200"/>
        <w:jc w:val="left"/>
        <w:rPr>
          <w:rFonts w:ascii="宋体" w:hAnsi="宋体" w:cs="宋体"/>
          <w:b/>
          <w:bCs/>
          <w:szCs w:val="24"/>
        </w:rPr>
      </w:pPr>
      <w:r>
        <w:rPr>
          <w:rFonts w:hint="eastAsia" w:ascii="宋体" w:hAnsi="宋体" w:cs="宋体"/>
          <w:b/>
          <w:bCs/>
          <w:szCs w:val="24"/>
        </w:rPr>
        <w:t>1、本次建设集中于我校厚德楼十层与十一层两层的环境改造与相应教学、管理系统平台的建设，具体建设内容方案如下：</w:t>
      </w:r>
    </w:p>
    <w:p>
      <w:pPr>
        <w:pStyle w:val="3"/>
        <w:spacing w:before="0" w:after="0" w:line="360" w:lineRule="auto"/>
        <w:ind w:firstLine="482"/>
        <w:rPr>
          <w:rFonts w:ascii="宋体" w:hAnsi="宋体" w:eastAsia="宋体" w:cs="宋体"/>
          <w:sz w:val="24"/>
          <w:szCs w:val="24"/>
        </w:rPr>
      </w:pPr>
      <w:bookmarkStart w:id="0" w:name="_Toc18994"/>
      <w:bookmarkStart w:id="1" w:name="_Toc135601745"/>
      <w:bookmarkStart w:id="2" w:name="_Toc25222"/>
      <w:bookmarkStart w:id="3" w:name="_Toc20759"/>
      <w:bookmarkStart w:id="4" w:name="_Toc683"/>
      <w:r>
        <w:rPr>
          <w:rFonts w:hint="eastAsia" w:ascii="宋体" w:hAnsi="宋体" w:eastAsia="宋体" w:cs="宋体"/>
          <w:sz w:val="24"/>
          <w:szCs w:val="24"/>
        </w:rPr>
        <w:t>（1）建设平面布局总览</w:t>
      </w:r>
      <w:bookmarkEnd w:id="0"/>
      <w:bookmarkEnd w:id="1"/>
      <w:bookmarkEnd w:id="2"/>
      <w:bookmarkEnd w:id="3"/>
      <w:bookmarkEnd w:id="4"/>
    </w:p>
    <w:p>
      <w:pPr>
        <w:spacing w:line="360" w:lineRule="auto"/>
        <w:rPr>
          <w:rFonts w:ascii="宋体" w:hAnsi="宋体" w:cs="宋体"/>
          <w:szCs w:val="24"/>
        </w:rPr>
      </w:pPr>
      <w:r>
        <w:rPr>
          <w:rFonts w:hint="eastAsia" w:ascii="宋体" w:hAnsi="宋体" w:cs="宋体"/>
          <w:szCs w:val="24"/>
        </w:rPr>
        <w:drawing>
          <wp:inline distT="0" distB="0" distL="114300" distR="114300">
            <wp:extent cx="5494020" cy="2559685"/>
            <wp:effectExtent l="0" t="0" r="11430" b="12065"/>
            <wp:docPr id="2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3"/>
                    <pic:cNvPicPr>
                      <a:picLocks noChangeAspect="1"/>
                    </pic:cNvPicPr>
                  </pic:nvPicPr>
                  <pic:blipFill>
                    <a:blip r:embed="rId4"/>
                    <a:stretch>
                      <a:fillRect/>
                    </a:stretch>
                  </pic:blipFill>
                  <pic:spPr>
                    <a:xfrm>
                      <a:off x="0" y="0"/>
                      <a:ext cx="5494020" cy="2559685"/>
                    </a:xfrm>
                    <a:prstGeom prst="rect">
                      <a:avLst/>
                    </a:prstGeom>
                    <a:noFill/>
                    <a:ln>
                      <a:noFill/>
                    </a:ln>
                  </pic:spPr>
                </pic:pic>
              </a:graphicData>
            </a:graphic>
          </wp:inline>
        </w:drawing>
      </w:r>
    </w:p>
    <w:p>
      <w:pPr>
        <w:pStyle w:val="4"/>
        <w:spacing w:line="360" w:lineRule="auto"/>
        <w:jc w:val="center"/>
        <w:rPr>
          <w:rFonts w:ascii="宋体" w:hAnsi="宋体" w:cs="宋体"/>
          <w:szCs w:val="24"/>
        </w:rPr>
      </w:pPr>
    </w:p>
    <w:p>
      <w:pPr>
        <w:spacing w:line="360" w:lineRule="auto"/>
        <w:rPr>
          <w:rFonts w:ascii="宋体" w:hAnsi="宋体" w:cs="宋体"/>
          <w:szCs w:val="24"/>
        </w:rPr>
      </w:pPr>
      <w:r>
        <w:rPr>
          <w:rFonts w:hint="eastAsia" w:ascii="宋体" w:hAnsi="宋体" w:cs="宋体"/>
          <w:szCs w:val="24"/>
        </w:rPr>
        <w:drawing>
          <wp:inline distT="0" distB="0" distL="114300" distR="114300">
            <wp:extent cx="5587365" cy="2531745"/>
            <wp:effectExtent l="0" t="0" r="13335" b="1905"/>
            <wp:docPr id="22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4"/>
                    <pic:cNvPicPr>
                      <a:picLocks noChangeAspect="1"/>
                    </pic:cNvPicPr>
                  </pic:nvPicPr>
                  <pic:blipFill>
                    <a:blip r:embed="rId5"/>
                    <a:stretch>
                      <a:fillRect/>
                    </a:stretch>
                  </pic:blipFill>
                  <pic:spPr>
                    <a:xfrm>
                      <a:off x="0" y="0"/>
                      <a:ext cx="5587365" cy="2531745"/>
                    </a:xfrm>
                    <a:prstGeom prst="rect">
                      <a:avLst/>
                    </a:prstGeom>
                    <a:noFill/>
                    <a:ln>
                      <a:noFill/>
                    </a:ln>
                  </pic:spPr>
                </pic:pic>
              </a:graphicData>
            </a:graphic>
          </wp:inline>
        </w:drawing>
      </w:r>
    </w:p>
    <w:p>
      <w:pPr>
        <w:pStyle w:val="4"/>
        <w:spacing w:line="360" w:lineRule="auto"/>
        <w:rPr>
          <w:rFonts w:ascii="宋体" w:hAnsi="宋体" w:cs="宋体"/>
          <w:szCs w:val="24"/>
        </w:rPr>
      </w:pPr>
    </w:p>
    <w:p/>
    <w:p>
      <w:pPr>
        <w:pStyle w:val="4"/>
      </w:pPr>
    </w:p>
    <w:p/>
    <w:p>
      <w:pPr>
        <w:rPr>
          <w:rFonts w:ascii="宋体" w:hAnsi="宋体" w:cs="宋体"/>
          <w:sz w:val="28"/>
          <w:szCs w:val="28"/>
        </w:rPr>
      </w:pPr>
      <w:bookmarkStart w:id="5" w:name="_Toc7043"/>
      <w:bookmarkStart w:id="6" w:name="_Toc6358"/>
      <w:r>
        <w:rPr>
          <w:rFonts w:hint="eastAsia" w:ascii="宋体" w:hAnsi="宋体" w:cs="宋体"/>
          <w:szCs w:val="24"/>
        </w:rPr>
        <w:br w:type="page"/>
      </w:r>
      <w:r>
        <w:rPr>
          <w:rFonts w:hint="eastAsia" w:ascii="宋体" w:hAnsi="宋体" w:cs="宋体"/>
          <w:szCs w:val="24"/>
        </w:rPr>
        <w:t>（2）建设内容汇总</w:t>
      </w:r>
      <w:bookmarkEnd w:id="5"/>
      <w:bookmarkEnd w:id="6"/>
    </w:p>
    <w:tbl>
      <w:tblPr>
        <w:tblStyle w:val="6"/>
        <w:tblW w:w="8773" w:type="dxa"/>
        <w:tblInd w:w="0" w:type="dxa"/>
        <w:tblLayout w:type="fixed"/>
        <w:tblCellMar>
          <w:top w:w="0" w:type="dxa"/>
          <w:left w:w="108" w:type="dxa"/>
          <w:bottom w:w="0" w:type="dxa"/>
          <w:right w:w="108" w:type="dxa"/>
        </w:tblCellMar>
      </w:tblPr>
      <w:tblGrid>
        <w:gridCol w:w="766"/>
        <w:gridCol w:w="2116"/>
        <w:gridCol w:w="983"/>
        <w:gridCol w:w="4908"/>
      </w:tblGrid>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b/>
                <w:bCs/>
                <w:sz w:val="21"/>
                <w:szCs w:val="21"/>
              </w:rPr>
            </w:pPr>
            <w:r>
              <w:rPr>
                <w:rFonts w:hint="eastAsia"/>
                <w:b/>
                <w:bCs/>
                <w:sz w:val="21"/>
                <w:szCs w:val="21"/>
                <w:lang w:bidi="ar"/>
              </w:rPr>
              <w:t>序号</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b/>
                <w:bCs/>
                <w:sz w:val="21"/>
                <w:szCs w:val="21"/>
              </w:rPr>
            </w:pPr>
            <w:r>
              <w:rPr>
                <w:rFonts w:hint="eastAsia"/>
                <w:b/>
                <w:bCs/>
                <w:sz w:val="21"/>
                <w:szCs w:val="21"/>
                <w:lang w:bidi="ar"/>
              </w:rPr>
              <w:t>名称</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b/>
                <w:bCs/>
                <w:sz w:val="21"/>
                <w:szCs w:val="21"/>
              </w:rPr>
            </w:pPr>
            <w:r>
              <w:rPr>
                <w:rFonts w:hint="eastAsia"/>
                <w:b/>
                <w:bCs/>
                <w:sz w:val="21"/>
                <w:szCs w:val="21"/>
                <w:lang w:bidi="ar"/>
              </w:rPr>
              <w:t>数量</w:t>
            </w:r>
          </w:p>
        </w:tc>
        <w:tc>
          <w:tcPr>
            <w:tcW w:w="490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sz w:val="21"/>
                <w:szCs w:val="21"/>
              </w:rPr>
            </w:pPr>
            <w:r>
              <w:rPr>
                <w:rFonts w:hint="eastAsia"/>
                <w:b/>
                <w:bCs/>
                <w:sz w:val="21"/>
                <w:szCs w:val="21"/>
                <w:lang w:bidi="ar"/>
              </w:rPr>
              <w:t>功能</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教室发展中心办公室</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教师发展中心办公场所，同时在办公室可通过画面显示屏实时展示每间教室的使用状态；配有打印机等办公设备；同时也可提供部分老师暂借办公，处理工作事务；满足教师发展中心教师日常使用。</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2</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教学能力测诊中心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教室配备音视频采集设备，采集相关数据，例如教师教学过程讲解、肢体表达，听课者的状态反应等数据，通过测诊系统数据分析，出具AI分析报告，结合专家评审，汇总不同维度评价数据，使教师全面了解自我教学情况，针对性提高教学水平。</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3</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课程设计中心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通过自由组合，小规模研讨的形式进行课程设计技能提升；同时为青年教师提供咨询，也可为项目式课题研究提供场所专业环境。</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4</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教学行为分析室</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3</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以微格形式开展模拟教学训练活动。对教学基本技能：教学、应变、讲解、板书板画、多媒体演示操作、提问、反馈强化、归纳总结、课堂组织技能等，进行模拟提升；小组形式现场点评分析，也可将音视频采集设备录制的上课过程进行回看分析。</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5</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小学学科教育研究中心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为小学教师提供真实的教学环境，开展小学学科教育相关工作；小学教学过程示范；同时也可通过信息化设备实现远程互动支教，助力乡村教育教学工作发展；中心还原小学教室授课环境，同时结合小学人工智能元素，实现“一个中心、多样用途”的研究教学场景。</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6</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中学学科教育研究中心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为老师提供初、高中真实的教学环境，开展中学学科教育相关工作、教学过程示范；同时也可通过信息化设备实现远程互动支教，助力乡村教育教学工作发展；在新高考改革背景下，教育教学方式研究工作；提供相应学科带头人、专家、名师共上一堂课教学研讨场景支撑。</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7</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研讨室</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整体布局为围绕教室一周设计单人工位，具体数量根据实际尺寸确定；教室中心区域摆放研讨方桌，实现办公、研讨自由切换，提高工作效率。</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8</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教师综合能力发展实训室</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教师综合能力发展实训室配备前沿的信息化教学工具以及分组研讨式的上课形式，提升教师使用信息化工具的教学能力；同时区别传统教师讲，学生听的上课方式，探究以学生为主，小组互动探究式授课方式，提高综合教学能力水平。</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10</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课程数字资源中心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3</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该空间主要有虚拟演播的功能，可以独立完成节目演播、录播、直播、制作的全过程；可以不受狭小空间和场景的限制，能够独立、快速制作出具有多种虚拟场景的微课视频和精品课程视频，进行单一教学技能和课堂综合教学技能的训练。同时可以在该空间录制我校选修课视频资源、校本特色课程资源以及个人参赛课程录制</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11</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教学思维创意中心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教师休息室为教师提供较为舒适的休息场所，同时可以满足小型交流研讨，头脑风暴，自由式办公等；提供图书、人工智能等营造氛围。</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12</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院士专家工作站</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 xml:space="preserve"> 院士专家工作站，主要是为不常驻学校的院士和专家提供一个办公场所；在设计私人办公室的同时外间设计以小型研讨会议的形式实现小组研讨，项目是讨论等工作的开展。</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13</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示教观摩中心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观摩中心主要分为上课区和观摩区两部分，在上示范课的同时，在观摩间对视频录制也可通过导播台人为干预；同时本校可组织赛教，不影响正常上课氛围的同时在观摩区进行听课点评。</w:t>
            </w:r>
          </w:p>
          <w:p>
            <w:pPr>
              <w:textAlignment w:val="center"/>
              <w:rPr>
                <w:sz w:val="21"/>
                <w:szCs w:val="21"/>
              </w:rPr>
            </w:pP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14</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教学综合能力展示中心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教师综合能力发展实训室配备前沿的信息化教学工具以及分组研讨式的上课形式，提升教师使用信息化工具的教学能力；同时区别传统教师讲，学生听的上课方式，探究以学生为主，小组互动探究式授课方式，提高综合教学能力水平。</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15</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教学督导中心</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教学督导中心主要是通过显系统进行督导巡课；或者通关“观影”的方式实现教学状态的汇报了解、交流互动，以及对外展示的窗口。（配备先进音视频设备和较高档次家具）</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16</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沙龙休息区</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2</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茶水间、休息区</w:t>
            </w:r>
          </w:p>
        </w:tc>
      </w:tr>
      <w:tr>
        <w:tblPrEx>
          <w:tblLayout w:type="fixed"/>
          <w:tblCellMar>
            <w:top w:w="0" w:type="dxa"/>
            <w:left w:w="108" w:type="dxa"/>
            <w:bottom w:w="0" w:type="dxa"/>
            <w:right w:w="108" w:type="dxa"/>
          </w:tblCellMar>
        </w:tblPrEx>
        <w:trPr>
          <w:trHeight w:val="500" w:hRule="atLeast"/>
        </w:trPr>
        <w:tc>
          <w:tcPr>
            <w:tcW w:w="76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17</w:t>
            </w:r>
          </w:p>
        </w:tc>
        <w:tc>
          <w:tcPr>
            <w:tcW w:w="2116"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公共区域环境改造</w:t>
            </w:r>
          </w:p>
        </w:tc>
        <w:tc>
          <w:tcPr>
            <w:tcW w:w="983" w:type="dxa"/>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2</w:t>
            </w:r>
          </w:p>
        </w:tc>
        <w:tc>
          <w:tcPr>
            <w:tcW w:w="4908" w:type="dxa"/>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电梯厅、楼道、公共区改造</w:t>
            </w:r>
          </w:p>
        </w:tc>
      </w:tr>
    </w:tbl>
    <w:p>
      <w:pPr>
        <w:rPr>
          <w:rFonts w:ascii="宋体" w:hAnsi="宋体" w:cs="宋体"/>
          <w:szCs w:val="24"/>
        </w:rPr>
      </w:pPr>
      <w:r>
        <w:rPr>
          <w:rFonts w:hint="eastAsia" w:ascii="宋体" w:hAnsi="宋体" w:cs="宋体"/>
          <w:szCs w:val="24"/>
        </w:rPr>
        <w:br w:type="page"/>
      </w:r>
    </w:p>
    <w:p>
      <w:pPr>
        <w:pStyle w:val="4"/>
        <w:spacing w:after="0" w:line="360" w:lineRule="auto"/>
        <w:jc w:val="left"/>
        <w:rPr>
          <w:rFonts w:ascii="宋体" w:hAnsi="宋体" w:cs="宋体"/>
          <w:b/>
          <w:bCs/>
          <w:szCs w:val="24"/>
        </w:rPr>
      </w:pPr>
      <w:r>
        <w:rPr>
          <w:rFonts w:hint="eastAsia" w:ascii="宋体" w:hAnsi="宋体" w:cs="宋体"/>
          <w:b/>
          <w:bCs/>
          <w:szCs w:val="24"/>
        </w:rPr>
        <w:t>2、装修改造部分</w:t>
      </w:r>
    </w:p>
    <w:p>
      <w:pPr>
        <w:pStyle w:val="5"/>
        <w:widowControl/>
        <w:spacing w:line="360" w:lineRule="auto"/>
        <w:ind w:firstLine="456" w:firstLineChars="200"/>
        <w:jc w:val="left"/>
        <w:rPr>
          <w:rFonts w:ascii="宋体" w:hAnsi="宋体" w:cs="宋体"/>
        </w:rPr>
      </w:pPr>
      <w:r>
        <w:rPr>
          <w:rFonts w:hint="eastAsia" w:ascii="宋体" w:hAnsi="宋体" w:cs="宋体"/>
          <w:spacing w:val="-6"/>
        </w:rPr>
        <w:t>本项目为</w:t>
      </w:r>
      <w:r>
        <w:rPr>
          <w:rFonts w:hint="eastAsia" w:ascii="宋体" w:hAnsi="宋体" w:cs="宋体"/>
          <w:color w:val="000000"/>
        </w:rPr>
        <w:t>渭南师范学院教师教育发展中心建设项目</w:t>
      </w:r>
      <w:r>
        <w:rPr>
          <w:rFonts w:hint="eastAsia" w:ascii="宋体" w:hAnsi="宋体" w:cs="宋体"/>
          <w:spacing w:val="-6"/>
        </w:rPr>
        <w:t>,主要包括:厚德楼十层、十一层装修改造工程（包含但不限于原墙体及装修的拆除、新建墙体、墙地天棚的装饰装修、强弱电工程及卫生洁具改造等，完成本项目施工图纸范围内的全部工作内容。</w:t>
      </w:r>
    </w:p>
    <w:p>
      <w:pPr>
        <w:spacing w:line="360" w:lineRule="auto"/>
        <w:ind w:firstLine="482" w:firstLineChars="200"/>
        <w:jc w:val="left"/>
        <w:rPr>
          <w:rFonts w:ascii="宋体" w:hAnsi="宋体" w:cs="宋体"/>
          <w:b/>
          <w:bCs/>
          <w:szCs w:val="24"/>
        </w:rPr>
      </w:pPr>
      <w:r>
        <w:rPr>
          <w:rFonts w:hint="eastAsia" w:ascii="宋体" w:hAnsi="宋体" w:cs="宋体"/>
          <w:b/>
          <w:bCs/>
          <w:szCs w:val="24"/>
        </w:rPr>
        <w:t>具体工程量清单另附。</w:t>
      </w:r>
    </w:p>
    <w:p>
      <w:pPr>
        <w:numPr>
          <w:ilvl w:val="0"/>
          <w:numId w:val="1"/>
        </w:numPr>
        <w:spacing w:line="360" w:lineRule="auto"/>
        <w:jc w:val="left"/>
        <w:rPr>
          <w:rFonts w:ascii="宋体" w:hAnsi="宋体" w:cs="宋体"/>
          <w:b/>
          <w:bCs/>
          <w:szCs w:val="24"/>
        </w:rPr>
      </w:pPr>
      <w:r>
        <w:rPr>
          <w:rFonts w:hint="eastAsia" w:ascii="宋体" w:hAnsi="宋体" w:cs="宋体"/>
          <w:b/>
          <w:bCs/>
          <w:szCs w:val="24"/>
        </w:rPr>
        <w:t>商务要求</w:t>
      </w:r>
    </w:p>
    <w:p>
      <w:pPr>
        <w:pStyle w:val="5"/>
        <w:widowControl/>
        <w:spacing w:line="360" w:lineRule="auto"/>
        <w:ind w:firstLine="456" w:firstLineChars="200"/>
        <w:jc w:val="left"/>
        <w:rPr>
          <w:rFonts w:ascii="宋体" w:hAnsi="宋体" w:cs="宋体"/>
          <w:spacing w:val="-6"/>
        </w:rPr>
      </w:pPr>
      <w:r>
        <w:rPr>
          <w:rFonts w:hint="eastAsia" w:ascii="宋体" w:hAnsi="宋体" w:cs="宋体"/>
          <w:spacing w:val="-6"/>
        </w:rPr>
        <w:t>3.1 合同履行期限：90 日历天（具体服务起止日期可随合同签订时间相应顺延）。</w:t>
      </w:r>
    </w:p>
    <w:p>
      <w:pPr>
        <w:pStyle w:val="5"/>
        <w:widowControl/>
        <w:spacing w:line="360" w:lineRule="auto"/>
        <w:ind w:firstLine="456" w:firstLineChars="200"/>
        <w:jc w:val="left"/>
        <w:rPr>
          <w:rFonts w:ascii="宋体" w:hAnsi="宋体" w:cs="宋体"/>
          <w:spacing w:val="-6"/>
        </w:rPr>
      </w:pPr>
      <w:r>
        <w:rPr>
          <w:rFonts w:hint="eastAsia" w:ascii="宋体" w:hAnsi="宋体" w:cs="宋体"/>
          <w:spacing w:val="-6"/>
        </w:rPr>
        <w:t>3.2 质量标准：达到国家现行施工验收强制规范“合格”标准。</w:t>
      </w:r>
    </w:p>
    <w:p>
      <w:pPr>
        <w:pStyle w:val="5"/>
        <w:widowControl/>
        <w:spacing w:line="360" w:lineRule="auto"/>
        <w:ind w:firstLine="456" w:firstLineChars="200"/>
        <w:jc w:val="left"/>
        <w:rPr>
          <w:rFonts w:ascii="宋体" w:hAnsi="宋体" w:cs="宋体"/>
          <w:spacing w:val="-6"/>
        </w:rPr>
      </w:pPr>
      <w:r>
        <w:rPr>
          <w:rFonts w:hint="eastAsia" w:ascii="宋体" w:hAnsi="宋体" w:cs="宋体"/>
          <w:spacing w:val="-6"/>
        </w:rPr>
        <w:t>3.3 交付地点：甲方指定地点。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B9100"/>
    <w:multiLevelType w:val="singleLevel"/>
    <w:tmpl w:val="504B910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D10EF"/>
    <w:rsid w:val="182D1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32"/>
      <w:szCs w:val="44"/>
    </w:rPr>
  </w:style>
  <w:style w:type="paragraph" w:styleId="3">
    <w:name w:val="heading 2"/>
    <w:basedOn w:val="1"/>
    <w:next w:val="1"/>
    <w:unhideWhenUsed/>
    <w:qFormat/>
    <w:uiPriority w:val="9"/>
    <w:pPr>
      <w:keepNext/>
      <w:keepLines/>
      <w:spacing w:before="260" w:after="260" w:line="416" w:lineRule="auto"/>
      <w:ind w:firstLine="200" w:firstLineChars="200"/>
      <w:jc w:val="left"/>
      <w:outlineLvl w:val="1"/>
    </w:pPr>
    <w:rPr>
      <w:rFonts w:asciiTheme="majorHAnsi" w:hAnsiTheme="majorHAnsi" w:eastAsiaTheme="majorEastAsia" w:cstheme="majorBidi"/>
      <w:b/>
      <w:bCs/>
      <w:sz w:val="32"/>
      <w:szCs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Normal (Web)"/>
    <w:basedOn w:val="1"/>
    <w:qFormat/>
    <w:uiPriority w:val="99"/>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2024-05-22T07:29:00Z</dcterms:created>
  <dc:creator>貳話不說就是幹</dc:creator>
  <cp:lastModifiedBy>貳話不說就是幹</cp:lastModifiedBy>
  <dcterms:modified xsi:type="dcterms:W3CDTF">2024-05-22T07:29:46Z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