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 w:eastAsiaTheme="minorEastAsia"/>
          <w:b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技术方案</w:t>
      </w:r>
    </w:p>
    <w:bookmarkEnd w:id="0"/>
    <w:p>
      <w:pPr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说明：</w:t>
      </w:r>
    </w:p>
    <w:p>
      <w:pPr>
        <w:spacing w:line="480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格式自定。</w:t>
      </w: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 w:cs="宋体"/>
        </w:rPr>
        <w:t>1.参照对应的评标办法及采购内容及要求自行编写；</w:t>
      </w:r>
      <w:r>
        <w:rPr>
          <w:rFonts w:ascii="宋体" w:hAnsi="宋体"/>
          <w:b/>
          <w:bCs/>
          <w:sz w:val="28"/>
          <w:szCs w:val="28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C5297"/>
    <w:rsid w:val="029C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2024-05-22T09:16:00Z</dcterms:created>
  <dc:creator>貳話不說就是幹</dc:creator>
  <cp:lastModifiedBy>貳話不說就是幹</cp:lastModifiedBy>
  <dcterms:modified xsi:type="dcterms:W3CDTF">2024-05-22T09:17:11Z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