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4"/>
        <w:gridCol w:w="1126"/>
        <w:gridCol w:w="2298"/>
        <w:gridCol w:w="2885"/>
        <w:gridCol w:w="736"/>
        <w:gridCol w:w="7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bookmarkStart w:id="0" w:name="_GoBack"/>
            <w:r>
              <w:rPr>
                <w:rFonts w:ascii="仿宋" w:hAnsi="仿宋" w:eastAsia="仿宋" w:cs="仿宋"/>
                <w:b/>
                <w:sz w:val="24"/>
              </w:rPr>
              <w:t>序号</w:t>
            </w:r>
          </w:p>
        </w:tc>
        <w:tc>
          <w:tcPr>
            <w:tcW w:w="660"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名称</w:t>
            </w:r>
          </w:p>
        </w:tc>
        <w:tc>
          <w:tcPr>
            <w:tcW w:w="134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技术参数</w:t>
            </w:r>
          </w:p>
        </w:tc>
        <w:tc>
          <w:tcPr>
            <w:tcW w:w="1694"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配置要求</w:t>
            </w:r>
          </w:p>
        </w:tc>
        <w:tc>
          <w:tcPr>
            <w:tcW w:w="43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售后服务</w:t>
            </w:r>
          </w:p>
        </w:tc>
        <w:tc>
          <w:tcPr>
            <w:tcW w:w="43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color w:val="000000"/>
                <w:sz w:val="24"/>
              </w:rPr>
              <w:t>1</w:t>
            </w:r>
          </w:p>
        </w:tc>
        <w:tc>
          <w:tcPr>
            <w:tcW w:w="66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color w:val="000000"/>
                <w:sz w:val="24"/>
              </w:rPr>
              <w:t>IPv6翻译设备（核心产品）</w:t>
            </w: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设备功能</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★翻译类设备（非反向代理设备），支持现有纯IPv4网站或IPv4数据中心不需要做双栈改造，就可以被IPv6用户访问，为全球IPv4/IPv6用户提供服务。支持平滑过渡到纯IPv6互联网。</w:t>
            </w:r>
          </w:p>
        </w:tc>
        <w:tc>
          <w:tcPr>
            <w:tcW w:w="4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3年</w:t>
            </w:r>
          </w:p>
        </w:tc>
        <w:tc>
          <w:tcPr>
            <w:tcW w:w="4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技术标准</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支持并符合IETF国际标准RFC6052及RFC7915</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★静态IPv4/IPv6地址映射，可实时查看IPv4/IPv6地址映射表状态（随时间恒定的IPv6/IPv4地址一对一映射）；具体描述实现方式和技术原理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IPv4/IPv6翻译规则中的IPv6前缀长度支持32-96之间任意长度</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硬件规格/接口类型</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≥6个千兆电口</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硬件规格/处理器</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≥双核四线程，≥3.4GHz</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硬件规格/内存</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≥4GB</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硬件规格/硬盘</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≥64GB系统盘SSD ，≥1TB日志盘</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设备性能/吞吐量(翻译转发速率)</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支持线速翻译转发,设备最大吞吐率≥920Mbps ，要求翻译流量达到920Mbps时，性能平稳，没有丢包，延迟时间小于1ms</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设备性能/每秒新建连接速率</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最大新建连接数≥12万/秒，要求当新建连接速率达到12万/秒时，性能平稳，没有丢包，延迟时间小于1ms</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设备性能/最大并发连接数</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最大并发连接数≥400万，要求当并发连接数量达到400万时，性能平稳，没有丢包，延迟时间小于1ms</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软件功能/IPv4/IPv6翻译特性</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★根据通信方向的不同，完成网络层报头的翻译，实现IPv4与IPv6主机间的双向互访；具体描述实现方式和技术原理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支持网络或设备中断后会话保持恢复特性；</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★支持HTTPS协议，HTTPS流量默认无缝穿透，不修改任何应用数据，包括证书、用户数据等。具体描述实现方式和技术原理。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软件功能/应用层适配</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★支持FTP/SIP/H.323等协议翻译；</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支持网站页面静态和动态外部链接的识别和处理；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支持HTTP、HTTPS、POP3、SMTP、TMAP、RTCP、MMS等协议，支持搜索引擎、电商网站、网络新闻、博客/个人空间、微博、社交论坛、网络视频、网络音乐、电子邮件等主流互联网应用；</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color w:val="000000"/>
                <w:sz w:val="24"/>
              </w:rPr>
              <w:t>软件功能/应用层IPv4/IPv6翻译功能</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支持多级外链处理；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支持外部链接翻译规则配置；</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支持外部链接翻译规则的维护</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软件功能/IPv4/IPv6路由</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支持静态路由和动态路由协议：RIPv1/v2、RIPng、OSPFv2/v3、BGP/BGP4+；</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支持IPv6组播协议： PIM-DM，PIM-SM；</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支持路由策略；</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支持IPv6 SLAAC ，IPv6 ND，IPv6 PMTU，IPv6 FIB，IPv6 ACL，GRE隧道；</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软件功能/可靠性</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支持VRRP（虚拟路由器冗余协议）</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支持基于用户（IP地址）的负载分担与备份；</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软件功能/溯源特性</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★网络层地址溯源，同时支持应用层溯源；</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支持溯源CLI命令、溯源API接口和应用层传递源IPv6地址功能；</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支持IPv4/IPv6协议转换日志记录</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支持日志存储和查询，并保存180天以上；</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软件功能/安全特性</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支持ACL报文过滤和异常流量过滤、Ping of death、Tear drop、TCP ErrorFlag、连接数限制（cps/cc）、UDP/ICMP/TCP（SYN/ACK） Flood、HTTP（GET/POST）Flood、HTTP慢速攻击、网站黑白名单功能、URL访问控制策略；</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支持uRPF,单播反向路由查询技术，防止基于源地址欺骗的网络攻击行为</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软件功能/系统审计</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可根据指定日期\关键词\日志级别\用户登录信息查阅系统审计日志，支持设置本地备份审计日志的文件导出目标服务器，查看日志备份和导出的关键参数。</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软件功能/管理和维护</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支持SNMP V1/V2c/V3、console口登录；</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支持可信登录：ssh登录并可以对指定源地址禁止其ssh登录、角色管理、管理员身份鉴别、密码管理；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软件功能/网管系统</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设备系统运行性能监控（CPU/内存/磁盘 使用率）</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流量参数监控，各接口进出流量（bps,pps）</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翻译状态监控，如IPv6地址数、连接数量等</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故障管理（实时\历史告警，告警邮件）</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翻译溯源日志</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vMerge w:val="continue"/>
            <w:tcBorders>
              <w:top w:val="nil"/>
              <w:left w:val="nil"/>
              <w:bottom w:val="single" w:color="000000" w:sz="4" w:space="0"/>
              <w:right w:val="single" w:color="000000" w:sz="4" w:space="0"/>
            </w:tcBorders>
          </w:tc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配套运维测试终端</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2</w:t>
            </w:r>
          </w:p>
        </w:tc>
        <w:tc>
          <w:tcPr>
            <w:tcW w:w="660"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域名服务器</w:t>
            </w: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硬件要求</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color w:val="000000"/>
                <w:sz w:val="24"/>
              </w:rPr>
              <w:t>DNS设备要求全面国产化供货。</w:t>
            </w:r>
          </w:p>
          <w:p>
            <w:pPr>
              <w:pStyle w:val="4"/>
              <w:jc w:val="both"/>
            </w:pPr>
            <w:r>
              <w:rPr>
                <w:rFonts w:ascii="仿宋" w:hAnsi="仿宋" w:eastAsia="仿宋" w:cs="仿宋"/>
                <w:color w:val="000000"/>
                <w:sz w:val="24"/>
              </w:rPr>
              <w:t>标准机架式设备，软硬件一体，软件采用嵌入式操作系统，双电源支持热拔插及单电源独立运行、存储空间不小于1T（SSD）；QPS≥150000；</w:t>
            </w:r>
          </w:p>
          <w:p>
            <w:pPr>
              <w:pStyle w:val="4"/>
              <w:jc w:val="both"/>
            </w:pPr>
            <w:r>
              <w:rPr>
                <w:rFonts w:ascii="仿宋" w:hAnsi="仿宋" w:eastAsia="仿宋" w:cs="仿宋"/>
                <w:color w:val="000000"/>
                <w:sz w:val="24"/>
              </w:rPr>
              <w:t>设备配置≥2个千兆电口，≥4个千兆光口；</w:t>
            </w:r>
          </w:p>
          <w:p>
            <w:pPr>
              <w:pStyle w:val="4"/>
              <w:jc w:val="both"/>
            </w:pPr>
            <w:r>
              <w:rPr>
                <w:rFonts w:ascii="仿宋" w:hAnsi="仿宋" w:eastAsia="仿宋" w:cs="仿宋"/>
                <w:color w:val="000000"/>
                <w:sz w:val="24"/>
              </w:rPr>
              <w:t>需支持IPv4、IPv6协议，支持两个及两个以上接口端口汇聚；</w:t>
            </w:r>
          </w:p>
          <w:p>
            <w:pPr>
              <w:pStyle w:val="4"/>
              <w:jc w:val="both"/>
            </w:pPr>
            <w:r>
              <w:rPr>
                <w:rFonts w:ascii="仿宋" w:hAnsi="仿宋" w:eastAsia="仿宋" w:cs="仿宋"/>
                <w:color w:val="000000"/>
                <w:sz w:val="24"/>
              </w:rPr>
              <w:t>采用B/S架构（HTTP、HTTPS管理），全中文化WEB界面；</w:t>
            </w:r>
          </w:p>
        </w:tc>
        <w:tc>
          <w:tcPr>
            <w:tcW w:w="4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3年</w:t>
            </w:r>
          </w:p>
        </w:tc>
        <w:tc>
          <w:tcPr>
            <w:tcW w:w="431" w:type="pct"/>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color w:val="000000"/>
                <w:sz w:val="24"/>
              </w:rPr>
              <w:t>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管理功能</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color w:val="000000"/>
                <w:sz w:val="24"/>
              </w:rPr>
              <w:t>管理员分组及分权限管理，可设定基于不同类型账户的权限，不同权限管理员可操作或查看指定的内容；</w:t>
            </w:r>
          </w:p>
          <w:p>
            <w:pPr>
              <w:pStyle w:val="4"/>
              <w:jc w:val="both"/>
            </w:pPr>
            <w:r>
              <w:rPr>
                <w:rFonts w:ascii="仿宋" w:hAnsi="仿宋" w:eastAsia="仿宋" w:cs="仿宋"/>
                <w:color w:val="000000"/>
                <w:sz w:val="24"/>
              </w:rPr>
              <w:t>支持SNMP（简单网络管理协议），可配合网管软件对设备进行监控；</w:t>
            </w:r>
          </w:p>
          <w:p>
            <w:pPr>
              <w:pStyle w:val="4"/>
              <w:jc w:val="both"/>
            </w:pPr>
            <w:r>
              <w:rPr>
                <w:rFonts w:ascii="仿宋" w:hAnsi="仿宋" w:eastAsia="仿宋" w:cs="仿宋"/>
                <w:color w:val="000000"/>
                <w:sz w:val="24"/>
              </w:rPr>
              <w:t>需包含登录日志、操作日志、解析请求日志、状态日志、同步日志、集群日志、单个域名解析日志、单个IP请求日志等，并同时支持本地和远程存储日志；</w:t>
            </w:r>
          </w:p>
          <w:p>
            <w:pPr>
              <w:pStyle w:val="4"/>
              <w:jc w:val="both"/>
            </w:pPr>
            <w:r>
              <w:rPr>
                <w:rFonts w:ascii="仿宋" w:hAnsi="仿宋" w:eastAsia="仿宋" w:cs="仿宋"/>
                <w:color w:val="000000"/>
                <w:sz w:val="24"/>
              </w:rPr>
              <w:t>需包含CPU利用率、内存利用率、硬盘使用率、网络接口实时流量图/历史流量图、解析趋势图、地区查询分布图、单个域名解析趋势图、单个IP请求趋势图、IP请求次数排名、域名请求次数排名等；</w:t>
            </w:r>
          </w:p>
          <w:p>
            <w:pPr>
              <w:pStyle w:val="4"/>
              <w:jc w:val="both"/>
            </w:pPr>
            <w:r>
              <w:rPr>
                <w:rFonts w:ascii="仿宋" w:hAnsi="仿宋" w:eastAsia="仿宋" w:cs="仿宋"/>
                <w:color w:val="000000"/>
                <w:sz w:val="24"/>
              </w:rPr>
              <w:t>★需和云解析服务进行域名数据同步，支持标准axfr同步协议，可与Windows Server的DNS进行区域数据同步；</w:t>
            </w:r>
          </w:p>
          <w:p>
            <w:pPr>
              <w:pStyle w:val="4"/>
              <w:jc w:val="both"/>
            </w:pPr>
            <w:r>
              <w:rPr>
                <w:rFonts w:ascii="仿宋" w:hAnsi="仿宋" w:eastAsia="仿宋" w:cs="仿宋"/>
                <w:color w:val="000000"/>
                <w:sz w:val="24"/>
              </w:rPr>
              <w:t>实用测试工具包含NSLOOKUP、DIG、WHOIS、转码工具、PING、TRACEROUTE、端口检测、多节点DNS解析探测等；</w:t>
            </w:r>
          </w:p>
          <w:p>
            <w:pPr>
              <w:pStyle w:val="4"/>
              <w:jc w:val="both"/>
            </w:pPr>
            <w:r>
              <w:rPr>
                <w:rFonts w:ascii="仿宋" w:hAnsi="仿宋" w:eastAsia="仿宋" w:cs="仿宋"/>
                <w:color w:val="000000"/>
                <w:sz w:val="24"/>
              </w:rPr>
              <w:t>支持短信、电话、微信、API、邮件等报警方式；</w:t>
            </w:r>
          </w:p>
          <w:p>
            <w:pPr>
              <w:pStyle w:val="4"/>
              <w:jc w:val="both"/>
            </w:pPr>
            <w:r>
              <w:rPr>
                <w:rFonts w:ascii="仿宋" w:hAnsi="仿宋" w:eastAsia="仿宋" w:cs="仿宋"/>
                <w:color w:val="000000"/>
                <w:sz w:val="24"/>
              </w:rPr>
              <w:t>报警内容：异常报警包括：CPU、内存、存储空间、系统负载、温度、集群、并发连接数、端口流量、登录信息、敏感操作、网络/服务器监控报警、DNS状态、解析QPS、解析异常、失败率、域名状态等。</w:t>
            </w:r>
          </w:p>
          <w:p>
            <w:pPr>
              <w:pStyle w:val="4"/>
              <w:jc w:val="both"/>
            </w:pPr>
            <w:r>
              <w:rPr>
                <w:rFonts w:ascii="仿宋" w:hAnsi="仿宋" w:eastAsia="仿宋" w:cs="仿宋"/>
                <w:color w:val="000000"/>
                <w:sz w:val="24"/>
              </w:rPr>
              <w:t>配套测试运维终端</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基础功能</w:t>
            </w:r>
          </w:p>
          <w:p>
            <w:pPr>
              <w:pStyle w:val="4"/>
            </w:pP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1、支持标准DNS服务，包括正向解析、反向解析、子域委派、转发域、存根域、静态存根域、强制基础域；</w:t>
            </w:r>
          </w:p>
          <w:p>
            <w:pPr>
              <w:pStyle w:val="4"/>
            </w:pPr>
            <w:r>
              <w:rPr>
                <w:rFonts w:ascii="仿宋" w:hAnsi="仿宋" w:eastAsia="仿宋" w:cs="仿宋"/>
                <w:color w:val="000000"/>
                <w:sz w:val="24"/>
              </w:rPr>
              <w:t>2、支持常用的记录类型：NS、SOA、A、AAAA、TXT、MX、CNAME、PTR、DNAME、HINFO、SRV、URL、NAPTR等记录；</w:t>
            </w:r>
          </w:p>
          <w:p>
            <w:pPr>
              <w:pStyle w:val="4"/>
            </w:pPr>
            <w:r>
              <w:rPr>
                <w:rFonts w:ascii="仿宋" w:hAnsi="仿宋" w:eastAsia="仿宋" w:cs="仿宋"/>
                <w:color w:val="000000"/>
                <w:sz w:val="24"/>
              </w:rPr>
              <w:t>3、支持A记录和PTR的联动，可直接生成A记录的反向记录；</w:t>
            </w:r>
          </w:p>
          <w:p>
            <w:pPr>
              <w:pStyle w:val="4"/>
            </w:pPr>
            <w:r>
              <w:rPr>
                <w:rFonts w:ascii="仿宋" w:hAnsi="仿宋" w:eastAsia="仿宋" w:cs="仿宋"/>
                <w:color w:val="000000"/>
                <w:sz w:val="24"/>
              </w:rPr>
              <w:t>可直接配置顶级域，可不转码配置中文域，所有域名可设置有效时间，超过有效时间后自动停用；</w:t>
            </w:r>
          </w:p>
          <w:p>
            <w:pPr>
              <w:pStyle w:val="4"/>
            </w:pPr>
            <w:r>
              <w:rPr>
                <w:rFonts w:ascii="仿宋" w:hAnsi="仿宋" w:eastAsia="仿宋" w:cs="仿宋"/>
                <w:color w:val="000000"/>
                <w:sz w:val="24"/>
              </w:rPr>
              <w:t>4、支持权威域名的泛域名解析，支持基于轮询和主备方式的DNS轮循解析，可设置单条域名记录的TTL值；</w:t>
            </w:r>
          </w:p>
          <w:p>
            <w:pPr>
              <w:pStyle w:val="4"/>
            </w:pPr>
            <w:r>
              <w:rPr>
                <w:rFonts w:ascii="仿宋" w:hAnsi="仿宋" w:eastAsia="仿宋" w:cs="仿宋"/>
                <w:color w:val="000000"/>
                <w:sz w:val="24"/>
              </w:rPr>
              <w:t>5、支持针对递归不存在域名进行分级（一级子域、二级子域、三级子域）劫持；</w:t>
            </w:r>
          </w:p>
          <w:p>
            <w:pPr>
              <w:pStyle w:val="4"/>
            </w:pPr>
            <w:r>
              <w:rPr>
                <w:rFonts w:ascii="仿宋" w:hAnsi="仿宋" w:eastAsia="仿宋" w:cs="仿宋"/>
                <w:color w:val="000000"/>
                <w:sz w:val="24"/>
              </w:rPr>
              <w:t>6、支持视图方式权威解析，线路库包含：中国四大运营商、中国34个行政区；</w:t>
            </w:r>
          </w:p>
          <w:p>
            <w:pPr>
              <w:pStyle w:val="4"/>
            </w:pPr>
            <w:r>
              <w:rPr>
                <w:rFonts w:ascii="仿宋" w:hAnsi="仿宋" w:eastAsia="仿宋" w:cs="仿宋"/>
                <w:color w:val="000000"/>
                <w:sz w:val="24"/>
              </w:rPr>
              <w:t>7、支持基于IP地址的视图DNS模式，可对不同视图进行单独策略设置，支持地址段例外IP设置、线路解析源IP设置、QoS标签配置，最小TTL设置等；</w:t>
            </w:r>
          </w:p>
          <w:p>
            <w:pPr>
              <w:pStyle w:val="4"/>
            </w:pPr>
            <w:r>
              <w:rPr>
                <w:rFonts w:ascii="仿宋" w:hAnsi="仿宋" w:eastAsia="仿宋" w:cs="仿宋"/>
                <w:color w:val="000000"/>
                <w:sz w:val="24"/>
              </w:rPr>
              <w:t>8、支持针对于不同线路（view）设置不同解析源地址，代理解析使用本线路下源IP地址发起对外DNS查询；</w:t>
            </w:r>
          </w:p>
          <w:p>
            <w:pPr>
              <w:pStyle w:val="4"/>
            </w:pPr>
            <w:r>
              <w:rPr>
                <w:rFonts w:ascii="仿宋" w:hAnsi="仿宋" w:eastAsia="仿宋" w:cs="仿宋"/>
                <w:color w:val="000000"/>
                <w:sz w:val="24"/>
              </w:rPr>
              <w:t>9、DNS转发支持：全局转发、线路转发、域名转发，转发行为支持first/only；</w:t>
            </w:r>
          </w:p>
          <w:p>
            <w:pPr>
              <w:pStyle w:val="4"/>
            </w:pPr>
            <w:r>
              <w:rPr>
                <w:rFonts w:ascii="仿宋" w:hAnsi="仿宋" w:eastAsia="仿宋" w:cs="仿宋"/>
                <w:color w:val="000000"/>
                <w:sz w:val="24"/>
              </w:rPr>
              <w:t>10、支持缓存预取，可快速缓存热点域名、重点域名解析结果；</w:t>
            </w:r>
          </w:p>
          <w:p>
            <w:pPr>
              <w:pStyle w:val="4"/>
            </w:pPr>
            <w:r>
              <w:rPr>
                <w:rFonts w:ascii="仿宋" w:hAnsi="仿宋" w:eastAsia="仿宋" w:cs="仿宋"/>
                <w:color w:val="000000"/>
                <w:sz w:val="24"/>
              </w:rPr>
              <w:t>支持将一个域名重定向成指定URL地址（可分线路重定向成不同URL记录）；</w:t>
            </w:r>
          </w:p>
          <w:p>
            <w:pPr>
              <w:pStyle w:val="4"/>
            </w:pPr>
            <w:r>
              <w:rPr>
                <w:rFonts w:ascii="仿宋" w:hAnsi="仿宋" w:eastAsia="仿宋" w:cs="仿宋"/>
                <w:color w:val="000000"/>
                <w:sz w:val="24"/>
              </w:rPr>
              <w:t>11、★支持HTTP-DNS解析服务，用户可使用HTTPS协议进行DNS解析；</w:t>
            </w:r>
          </w:p>
          <w:p>
            <w:pPr>
              <w:pStyle w:val="4"/>
            </w:pPr>
            <w:r>
              <w:rPr>
                <w:rFonts w:ascii="仿宋" w:hAnsi="仿宋" w:eastAsia="仿宋" w:cs="仿宋"/>
                <w:color w:val="000000"/>
                <w:sz w:val="24"/>
              </w:rPr>
              <w:t>12、可与出口设备进行关联，结合出口链路状况，实现基于链路状态、带宽利用率等线路反馈进行出口链路负载调度；</w:t>
            </w:r>
          </w:p>
          <w:p>
            <w:pPr>
              <w:pStyle w:val="4"/>
            </w:pPr>
            <w:r>
              <w:rPr>
                <w:rFonts w:ascii="仿宋" w:hAnsi="仿宋" w:eastAsia="仿宋" w:cs="仿宋"/>
                <w:color w:val="000000"/>
                <w:sz w:val="24"/>
              </w:rPr>
              <w:t>13、★支持域名探针功能，可优先返回互联网资源最快运营商镜像IP供客户端访问；</w:t>
            </w:r>
          </w:p>
          <w:p>
            <w:pPr>
              <w:pStyle w:val="4"/>
            </w:pPr>
            <w:r>
              <w:rPr>
                <w:rFonts w:ascii="仿宋" w:hAnsi="仿宋" w:eastAsia="仿宋" w:cs="仿宋"/>
                <w:color w:val="000000"/>
                <w:sz w:val="24"/>
              </w:rPr>
              <w:t>14、★提供Windows和Linux系统环境下的探针软件；</w:t>
            </w:r>
          </w:p>
          <w:p>
            <w:pPr>
              <w:pStyle w:val="4"/>
            </w:pPr>
            <w:r>
              <w:rPr>
                <w:rFonts w:ascii="仿宋" w:hAnsi="仿宋" w:eastAsia="仿宋" w:cs="仿宋"/>
                <w:color w:val="000000"/>
                <w:sz w:val="24"/>
              </w:rPr>
              <w:t>15、独立探测节点可与DNS设备直接关联，可直接将不同区域用户访问公网资源在不同运营商的速度反馈给DNS，使其做出选路优化；</w:t>
            </w:r>
          </w:p>
          <w:p>
            <w:pPr>
              <w:pStyle w:val="4"/>
            </w:pPr>
            <w:r>
              <w:rPr>
                <w:rFonts w:ascii="仿宋" w:hAnsi="仿宋" w:eastAsia="仿宋" w:cs="仿宋"/>
                <w:color w:val="000000"/>
                <w:sz w:val="24"/>
              </w:rPr>
              <w:t>16、可针对基于客户端IP、目的资源、资源类型等设置智能选路策略组，并可按照时间对象动态进行策略调度；</w:t>
            </w:r>
          </w:p>
          <w:p>
            <w:pPr>
              <w:pStyle w:val="4"/>
            </w:pPr>
            <w:r>
              <w:rPr>
                <w:rFonts w:ascii="仿宋" w:hAnsi="仿宋" w:eastAsia="仿宋" w:cs="仿宋"/>
                <w:color w:val="000000"/>
                <w:sz w:val="24"/>
              </w:rPr>
              <w:t>17、资源类型组内置≥50000条域名记录，资源类型组包括：购物类域名、国际域名、视频类域名、新闻类域名、网银类域名、下载类域名、教育类域名等；</w:t>
            </w:r>
          </w:p>
          <w:p>
            <w:pPr>
              <w:pStyle w:val="4"/>
            </w:pPr>
            <w:r>
              <w:rPr>
                <w:rFonts w:ascii="仿宋" w:hAnsi="仿宋" w:eastAsia="仿宋" w:cs="仿宋"/>
                <w:color w:val="000000"/>
                <w:sz w:val="24"/>
              </w:rPr>
              <w:t>18、针对EDNS-UDP数据包大小的设置，最大可设置为4096字节；</w:t>
            </w:r>
          </w:p>
          <w:p>
            <w:pPr>
              <w:pStyle w:val="4"/>
            </w:pPr>
            <w:r>
              <w:rPr>
                <w:rFonts w:ascii="仿宋" w:hAnsi="仿宋" w:eastAsia="仿宋" w:cs="仿宋"/>
                <w:color w:val="000000"/>
                <w:sz w:val="24"/>
              </w:rPr>
              <w:t>19、可针对自定义递归域名解析记录值中的A记录进行过滤（只返回AAAA记录值）；</w:t>
            </w:r>
          </w:p>
          <w:p>
            <w:pPr>
              <w:pStyle w:val="4"/>
            </w:pPr>
            <w:r>
              <w:rPr>
                <w:rFonts w:ascii="仿宋" w:hAnsi="仿宋" w:eastAsia="仿宋" w:cs="仿宋"/>
                <w:color w:val="000000"/>
                <w:sz w:val="24"/>
              </w:rPr>
              <w:t>20、支持AAAA过滤，减少IPv4环境下IPv6无效数据传输；</w:t>
            </w:r>
          </w:p>
          <w:p>
            <w:pPr>
              <w:pStyle w:val="4"/>
            </w:pPr>
            <w:r>
              <w:rPr>
                <w:rFonts w:ascii="仿宋" w:hAnsi="仿宋" w:eastAsia="仿宋" w:cs="仿宋"/>
                <w:color w:val="000000"/>
                <w:sz w:val="24"/>
              </w:rPr>
              <w:t>21、支持IPv6与IPv4之间的网络地址与协议转换技术，可将解析记录值中的IPv4和IPv6进行互转；</w:t>
            </w:r>
          </w:p>
          <w:p>
            <w:pPr>
              <w:pStyle w:val="4"/>
            </w:pPr>
            <w:r>
              <w:rPr>
                <w:rFonts w:ascii="仿宋" w:hAnsi="仿宋" w:eastAsia="仿宋" w:cs="仿宋"/>
                <w:color w:val="000000"/>
                <w:sz w:val="24"/>
              </w:rPr>
              <w:t>22、开放Web service API编程接口，允许第二次开发，包含：系统配置API接口：提供域名管理、记录管理接口；设备状态API接口：CPU、内存、系统负载、网口流量、硬盘等；数据分析API接口：域名解析、IP解析、记录解析、线路解析、查询结果分析、地区解析分析等。</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安全功能</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1、具有包过滤防火墙机制、抗DDOS攻击模块，支持大并发数解析限制，可设置解析阈值和高于解析阈值后的响应速率；</w:t>
            </w:r>
          </w:p>
          <w:p>
            <w:pPr>
              <w:pStyle w:val="4"/>
            </w:pPr>
            <w:r>
              <w:rPr>
                <w:rFonts w:ascii="仿宋" w:hAnsi="仿宋" w:eastAsia="仿宋" w:cs="仿宋"/>
                <w:color w:val="000000"/>
                <w:sz w:val="24"/>
              </w:rPr>
              <w:t>2、支持对业务服务器进行状态监控，根据监控结果动态切换、转移解析值；故障修复后可自动恢复至正常解析状态；</w:t>
            </w:r>
          </w:p>
          <w:p>
            <w:pPr>
              <w:pStyle w:val="4"/>
            </w:pPr>
            <w:r>
              <w:rPr>
                <w:rFonts w:ascii="仿宋" w:hAnsi="仿宋" w:eastAsia="仿宋" w:cs="仿宋"/>
                <w:color w:val="000000"/>
                <w:sz w:val="24"/>
              </w:rPr>
              <w:t>3、★支持监控出口链路状态，可根据出口链路故障状态，自动切换递归解析至其它正常链路，同时向管理人员告警；提供大于4条链路为同一分组的故障轮询切换策略；</w:t>
            </w:r>
          </w:p>
          <w:p>
            <w:pPr>
              <w:pStyle w:val="4"/>
            </w:pPr>
            <w:r>
              <w:rPr>
                <w:rFonts w:ascii="仿宋" w:hAnsi="仿宋" w:eastAsia="仿宋" w:cs="仿宋"/>
                <w:color w:val="000000"/>
                <w:sz w:val="24"/>
              </w:rPr>
              <w:t>4、可对特定网址进行过滤或重定向访问网站（可自定义域名组，需内置色情、赌博、挖矿、钓鱼等非法网址库等），可独立展示非法域名查询日志和威胁域名查询分类统计；</w:t>
            </w:r>
          </w:p>
          <w:p>
            <w:pPr>
              <w:pStyle w:val="4"/>
            </w:pPr>
            <w:r>
              <w:rPr>
                <w:rFonts w:ascii="仿宋" w:hAnsi="仿宋" w:eastAsia="仿宋" w:cs="仿宋"/>
                <w:color w:val="000000"/>
                <w:sz w:val="24"/>
              </w:rPr>
              <w:t>5、可针对权威域进行客户端禁止解析设置，支持DNSSEC数字“签名”技术；</w:t>
            </w:r>
          </w:p>
          <w:p>
            <w:pPr>
              <w:pStyle w:val="4"/>
            </w:pPr>
            <w:r>
              <w:rPr>
                <w:rFonts w:ascii="仿宋" w:hAnsi="仿宋" w:eastAsia="仿宋" w:cs="仿宋"/>
                <w:color w:val="000000"/>
                <w:sz w:val="24"/>
              </w:rPr>
              <w:t>6、系统资源消耗较高时，可智能调节控制优先DNS解析服务；</w:t>
            </w:r>
          </w:p>
          <w:p>
            <w:pPr>
              <w:pStyle w:val="4"/>
            </w:pPr>
            <w:r>
              <w:rPr>
                <w:rFonts w:ascii="仿宋" w:hAnsi="仿宋" w:eastAsia="仿宋" w:cs="仿宋"/>
                <w:color w:val="000000"/>
                <w:sz w:val="24"/>
              </w:rPr>
              <w:t>7、支持针对记录类型的允许和拒绝解析（例如：禁止所有hinfo记录的查询）；</w:t>
            </w:r>
          </w:p>
          <w:p>
            <w:pPr>
              <w:pStyle w:val="4"/>
            </w:pPr>
            <w:r>
              <w:rPr>
                <w:rFonts w:ascii="仿宋" w:hAnsi="仿宋" w:eastAsia="仿宋" w:cs="仿宋"/>
                <w:color w:val="000000"/>
                <w:sz w:val="24"/>
              </w:rPr>
              <w:t>8、支持允许或拒绝指定IP和IP段进行DNS解析查询；</w:t>
            </w:r>
          </w:p>
          <w:p>
            <w:pPr>
              <w:pStyle w:val="4"/>
            </w:pPr>
            <w:r>
              <w:rPr>
                <w:rFonts w:ascii="仿宋" w:hAnsi="仿宋" w:eastAsia="仿宋" w:cs="仿宋"/>
                <w:color w:val="000000"/>
                <w:sz w:val="24"/>
              </w:rPr>
              <w:t>9、支持针对nxdomain攻击方式的防御，包括不限于不存在域分析、重定向等方式；</w:t>
            </w:r>
          </w:p>
          <w:p>
            <w:pPr>
              <w:pStyle w:val="4"/>
            </w:pPr>
            <w:r>
              <w:rPr>
                <w:rFonts w:ascii="仿宋" w:hAnsi="仿宋" w:eastAsia="仿宋" w:cs="仿宋"/>
                <w:color w:val="000000"/>
                <w:sz w:val="24"/>
              </w:rPr>
              <w:t>10、支持最小TTL限制，可调整客户端获取最小TTL，减轻服务器解析压力；</w:t>
            </w:r>
          </w:p>
          <w:p>
            <w:pPr>
              <w:pStyle w:val="4"/>
            </w:pPr>
            <w:r>
              <w:rPr>
                <w:rFonts w:ascii="仿宋" w:hAnsi="仿宋" w:eastAsia="仿宋" w:cs="仿宋"/>
                <w:color w:val="000000"/>
                <w:sz w:val="24"/>
              </w:rPr>
              <w:t>11、支持设备管理控制，可指定客户端访问设备，防止设备恶意登录管理。</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威胁域名订阅</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 xml:space="preserve">提供威胁域名库订阅服务，包括全球最新威胁域名，威胁域名库需分类包括但不限于C&amp;C节点、恶意网站、数字货币、恶意软件、赌博、 钓鱼网址、 垃圾邮件、色情域名分类，可拦截危险域名，保障网络安全。               </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云解析服务</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1、可查看系统登录日志、操作日志、解析请求日志、状态日志、同步日志等；</w:t>
            </w:r>
          </w:p>
          <w:p>
            <w:pPr>
              <w:pStyle w:val="4"/>
            </w:pPr>
            <w:r>
              <w:rPr>
                <w:rFonts w:ascii="仿宋" w:hAnsi="仿宋" w:eastAsia="仿宋" w:cs="仿宋"/>
                <w:color w:val="000000"/>
                <w:sz w:val="24"/>
              </w:rPr>
              <w:t>2、云解析支持和本地递归DNS进行数据同步，为保障学校域名解析时延，云解析需在教育网有低时延解析节点；</w:t>
            </w:r>
          </w:p>
          <w:p>
            <w:pPr>
              <w:pStyle w:val="4"/>
            </w:pPr>
            <w:r>
              <w:rPr>
                <w:rFonts w:ascii="仿宋" w:hAnsi="仿宋" w:eastAsia="仿宋" w:cs="仿宋"/>
                <w:color w:val="000000"/>
                <w:sz w:val="24"/>
              </w:rPr>
              <w:t>3、针对DDoS攻击流量不限制，可保证任何流量DDoS攻击下的权威域名解析部中断；</w:t>
            </w:r>
          </w:p>
          <w:p>
            <w:pPr>
              <w:pStyle w:val="4"/>
            </w:pPr>
            <w:r>
              <w:rPr>
                <w:rFonts w:ascii="仿宋" w:hAnsi="仿宋" w:eastAsia="仿宋" w:cs="仿宋"/>
                <w:color w:val="000000"/>
                <w:sz w:val="24"/>
              </w:rPr>
              <w:t>4、权威域名授权数量≥5，针对权威域名记录数最大限制≥10000；</w:t>
            </w:r>
          </w:p>
          <w:p>
            <w:pPr>
              <w:pStyle w:val="4"/>
            </w:pPr>
            <w:r>
              <w:rPr>
                <w:rFonts w:ascii="仿宋" w:hAnsi="仿宋" w:eastAsia="仿宋" w:cs="仿宋"/>
                <w:color w:val="000000"/>
                <w:sz w:val="24"/>
              </w:rPr>
              <w:t>TTL值设置最小支持10秒，最大可支持86400秒；</w:t>
            </w:r>
          </w:p>
          <w:p>
            <w:pPr>
              <w:pStyle w:val="4"/>
            </w:pPr>
            <w:r>
              <w:rPr>
                <w:rFonts w:ascii="仿宋" w:hAnsi="仿宋" w:eastAsia="仿宋" w:cs="仿宋"/>
                <w:color w:val="000000"/>
                <w:sz w:val="24"/>
              </w:rPr>
              <w:t>5、提供完善的权威域名迁移方案，迁移实施保证业务不中断；</w:t>
            </w:r>
          </w:p>
          <w:p>
            <w:pPr>
              <w:pStyle w:val="4"/>
            </w:pPr>
            <w:r>
              <w:rPr>
                <w:rFonts w:ascii="仿宋" w:hAnsi="仿宋" w:eastAsia="仿宋" w:cs="仿宋"/>
                <w:color w:val="000000"/>
                <w:sz w:val="24"/>
              </w:rPr>
              <w:t>6、云解析支持标准DNS服务，支持正向解析、标准子域委派 、泛域名解析</w:t>
            </w:r>
          </w:p>
          <w:p>
            <w:pPr>
              <w:pStyle w:val="4"/>
            </w:pPr>
            <w:r>
              <w:rPr>
                <w:rFonts w:ascii="仿宋" w:hAnsi="仿宋" w:eastAsia="仿宋" w:cs="仿宋"/>
                <w:color w:val="000000"/>
                <w:sz w:val="24"/>
              </w:rPr>
              <w:t>7、云解析支持NS、SOA、A、AAAA、TXT、MX、CNAME、HINFO、SRV、NAPTR等记录类型；</w:t>
            </w:r>
          </w:p>
          <w:p>
            <w:pPr>
              <w:pStyle w:val="4"/>
            </w:pPr>
            <w:r>
              <w:rPr>
                <w:rFonts w:ascii="仿宋" w:hAnsi="仿宋" w:eastAsia="仿宋" w:cs="仿宋"/>
                <w:color w:val="000000"/>
                <w:sz w:val="24"/>
              </w:rPr>
              <w:t>8、云解析支持正向域名的权威发布以及管理，支持域名标注功能</w:t>
            </w:r>
          </w:p>
          <w:p>
            <w:pPr>
              <w:pStyle w:val="4"/>
            </w:pPr>
            <w:r>
              <w:rPr>
                <w:rFonts w:ascii="仿宋" w:hAnsi="仿宋" w:eastAsia="仿宋" w:cs="仿宋"/>
                <w:color w:val="000000"/>
                <w:sz w:val="24"/>
              </w:rPr>
              <w:t>云解析支持域名记录增、删、改、查、备注，域名、记录且可标注备注信息，可针对不同记录设置不同TTL值；</w:t>
            </w:r>
          </w:p>
          <w:p>
            <w:pPr>
              <w:pStyle w:val="4"/>
            </w:pPr>
            <w:r>
              <w:rPr>
                <w:rFonts w:ascii="仿宋" w:hAnsi="仿宋" w:eastAsia="仿宋" w:cs="仿宋"/>
                <w:color w:val="000000"/>
                <w:sz w:val="24"/>
              </w:rPr>
              <w:t>9、云解析可设置域名记录的有效时间，超过有效时间后，记录自动停用；</w:t>
            </w:r>
          </w:p>
          <w:p>
            <w:pPr>
              <w:pStyle w:val="4"/>
            </w:pPr>
            <w:r>
              <w:rPr>
                <w:rFonts w:ascii="仿宋" w:hAnsi="仿宋" w:eastAsia="仿宋" w:cs="仿宋"/>
                <w:color w:val="000000"/>
                <w:sz w:val="24"/>
              </w:rPr>
              <w:t>10、云解析支持一个域名对应多个IP的DNS轮循解析；</w:t>
            </w:r>
          </w:p>
          <w:p>
            <w:pPr>
              <w:pStyle w:val="4"/>
            </w:pPr>
            <w:r>
              <w:rPr>
                <w:rFonts w:ascii="仿宋" w:hAnsi="仿宋" w:eastAsia="仿宋" w:cs="仿宋"/>
                <w:color w:val="000000"/>
                <w:sz w:val="24"/>
              </w:rPr>
              <w:t>11、分线路智能解析库支持中国电信、中国移动、中国联通、中国教育和科研计算机网等运营商；</w:t>
            </w:r>
          </w:p>
          <w:p>
            <w:pPr>
              <w:pStyle w:val="4"/>
            </w:pPr>
            <w:r>
              <w:rPr>
                <w:rFonts w:ascii="仿宋" w:hAnsi="仿宋" w:eastAsia="仿宋" w:cs="仿宋"/>
                <w:color w:val="000000"/>
                <w:sz w:val="24"/>
              </w:rPr>
              <w:t>12、支持国际化域名IDNs技术，不转码即可直接添加中文域名和英文域名；</w:t>
            </w:r>
          </w:p>
          <w:p>
            <w:pPr>
              <w:pStyle w:val="4"/>
            </w:pPr>
            <w:r>
              <w:rPr>
                <w:rFonts w:ascii="仿宋" w:hAnsi="仿宋" w:eastAsia="仿宋" w:cs="仿宋"/>
                <w:color w:val="000000"/>
                <w:sz w:val="24"/>
              </w:rPr>
              <w:t>13、可针对权威域进行针对客户端的禁止解析设置，支持允许或拒绝指定IP和IP段进行DNS解析查询。</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1" w:type="pct"/>
            <w:vMerge w:val="continue"/>
            <w:tcBorders>
              <w:top w:val="nil"/>
              <w:left w:val="single" w:color="000000" w:sz="4" w:space="0"/>
              <w:bottom w:val="single" w:color="000000" w:sz="4" w:space="0"/>
              <w:right w:val="single" w:color="000000" w:sz="4" w:space="0"/>
            </w:tcBorders>
          </w:tcPr>
          <w:p/>
        </w:tc>
        <w:tc>
          <w:tcPr>
            <w:tcW w:w="660" w:type="pct"/>
            <w:vMerge w:val="continue"/>
            <w:tcBorders>
              <w:top w:val="nil"/>
              <w:left w:val="nil"/>
              <w:bottom w:val="single" w:color="000000" w:sz="4" w:space="0"/>
              <w:right w:val="single" w:color="000000" w:sz="4" w:space="0"/>
            </w:tcBorders>
          </w:tcPr>
          <w:p/>
        </w:tc>
        <w:tc>
          <w:tcPr>
            <w:tcW w:w="1349"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域名证书</w:t>
            </w:r>
          </w:p>
        </w:tc>
        <w:tc>
          <w:tcPr>
            <w:tcW w:w="1694"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r>
              <w:rPr>
                <w:rFonts w:ascii="仿宋" w:hAnsi="仿宋" w:eastAsia="仿宋" w:cs="仿宋"/>
                <w:color w:val="000000"/>
                <w:sz w:val="24"/>
              </w:rPr>
              <w:t>提供OV通配符域名证书</w:t>
            </w:r>
          </w:p>
        </w:tc>
        <w:tc>
          <w:tcPr>
            <w:tcW w:w="431" w:type="pct"/>
            <w:vMerge w:val="continue"/>
            <w:tcBorders>
              <w:top w:val="nil"/>
              <w:left w:val="nil"/>
              <w:bottom w:val="single" w:color="000000" w:sz="4" w:space="0"/>
              <w:right w:val="single" w:color="000000" w:sz="4" w:space="0"/>
            </w:tcBorders>
          </w:tcPr>
          <w:p/>
        </w:tc>
        <w:tc>
          <w:tcPr>
            <w:tcW w:w="431" w:type="pct"/>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92" w:type="pct"/>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sz w:val="24"/>
              </w:rPr>
              <w:t>其他要求</w:t>
            </w:r>
          </w:p>
        </w:tc>
        <w:tc>
          <w:tcPr>
            <w:tcW w:w="3475" w:type="pct"/>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仿宋" w:hAnsi="仿宋" w:eastAsia="仿宋" w:cs="仿宋"/>
                <w:b/>
                <w:color w:val="000000"/>
                <w:sz w:val="24"/>
              </w:rPr>
              <w:t>技术服务要求</w:t>
            </w:r>
            <w:r>
              <w:rPr>
                <w:rFonts w:ascii="仿宋" w:hAnsi="仿宋" w:eastAsia="仿宋" w:cs="仿宋"/>
                <w:color w:val="000000"/>
                <w:sz w:val="24"/>
              </w:rPr>
              <w:t>：</w:t>
            </w:r>
          </w:p>
          <w:p>
            <w:pPr>
              <w:pStyle w:val="4"/>
              <w:jc w:val="both"/>
            </w:pPr>
            <w:r>
              <w:rPr>
                <w:rFonts w:ascii="仿宋" w:hAnsi="仿宋" w:eastAsia="仿宋" w:cs="仿宋"/>
                <w:color w:val="000000"/>
                <w:sz w:val="24"/>
              </w:rPr>
              <w:t>1、保证学校网站及对外发布业务系统支持IPv6访问；</w:t>
            </w:r>
          </w:p>
          <w:p>
            <w:pPr>
              <w:pStyle w:val="4"/>
              <w:jc w:val="both"/>
            </w:pPr>
            <w:r>
              <w:rPr>
                <w:rFonts w:ascii="仿宋" w:hAnsi="仿宋" w:eastAsia="仿宋" w:cs="仿宋"/>
                <w:color w:val="000000"/>
                <w:sz w:val="24"/>
              </w:rPr>
              <w:t>2、保证校外IPv4网络用户对学校已完成IPv6改造系统的访问；</w:t>
            </w:r>
          </w:p>
          <w:p>
            <w:pPr>
              <w:pStyle w:val="4"/>
              <w:jc w:val="both"/>
            </w:pPr>
            <w:r>
              <w:rPr>
                <w:rFonts w:ascii="仿宋" w:hAnsi="仿宋" w:eastAsia="仿宋" w:cs="仿宋"/>
                <w:color w:val="000000"/>
                <w:sz w:val="24"/>
              </w:rPr>
              <w:t>3、保证校园网IPv4网络和IPv6网络互访；</w:t>
            </w:r>
          </w:p>
          <w:p>
            <w:pPr>
              <w:pStyle w:val="4"/>
              <w:jc w:val="both"/>
            </w:pPr>
            <w:r>
              <w:rPr>
                <w:rFonts w:ascii="仿宋" w:hAnsi="仿宋" w:eastAsia="仿宋" w:cs="仿宋"/>
                <w:color w:val="000000"/>
                <w:sz w:val="24"/>
              </w:rPr>
              <w:t>4、项目建设中不影响学校业务系统网站已有的安全等保二级认证。</w:t>
            </w:r>
          </w:p>
          <w:p>
            <w:pPr>
              <w:pStyle w:val="4"/>
              <w:jc w:val="both"/>
            </w:pPr>
            <w:r>
              <w:rPr>
                <w:rFonts w:ascii="仿宋" w:hAnsi="仿宋" w:eastAsia="仿宋" w:cs="仿宋"/>
                <w:color w:val="000000"/>
                <w:sz w:val="24"/>
              </w:rPr>
              <w:t>5、提供IPv6规模部署技术支持服务；</w:t>
            </w:r>
          </w:p>
          <w:p>
            <w:pPr>
              <w:pStyle w:val="4"/>
              <w:jc w:val="both"/>
            </w:pPr>
            <w:r>
              <w:rPr>
                <w:rFonts w:ascii="仿宋" w:hAnsi="仿宋" w:eastAsia="仿宋" w:cs="仿宋"/>
                <w:color w:val="000000"/>
                <w:sz w:val="24"/>
              </w:rPr>
              <w:t>6、协助学校进行基础网络IPv6规划、设计及局部改造技术支持工作及现场服务；</w:t>
            </w:r>
          </w:p>
          <w:p>
            <w:pPr>
              <w:pStyle w:val="4"/>
              <w:jc w:val="both"/>
            </w:pPr>
            <w:r>
              <w:rPr>
                <w:rFonts w:ascii="仿宋" w:hAnsi="仿宋" w:eastAsia="仿宋" w:cs="仿宋"/>
                <w:color w:val="000000"/>
                <w:sz w:val="24"/>
              </w:rPr>
              <w:t>7、提供未备案域名监测服务；</w:t>
            </w:r>
          </w:p>
          <w:p>
            <w:pPr>
              <w:pStyle w:val="4"/>
              <w:jc w:val="both"/>
            </w:pPr>
            <w:r>
              <w:rPr>
                <w:rFonts w:ascii="仿宋" w:hAnsi="仿宋" w:eastAsia="仿宋" w:cs="仿宋"/>
                <w:color w:val="000000"/>
                <w:sz w:val="24"/>
              </w:rPr>
              <w:t>8、本项目所涉及的系统需按学校要求无缝对接学校的综合服务平台，涉及费用包含在项目报价内，不另外计费。</w:t>
            </w:r>
          </w:p>
          <w:p>
            <w:pPr>
              <w:pStyle w:val="4"/>
              <w:jc w:val="both"/>
            </w:pPr>
            <w:r>
              <w:rPr>
                <w:rFonts w:ascii="仿宋" w:hAnsi="仿宋" w:eastAsia="仿宋" w:cs="仿宋"/>
                <w:b/>
                <w:color w:val="000000"/>
                <w:sz w:val="24"/>
              </w:rPr>
              <w:t>质保及售后服务</w:t>
            </w:r>
          </w:p>
          <w:p>
            <w:pPr>
              <w:pStyle w:val="4"/>
              <w:jc w:val="both"/>
            </w:pPr>
            <w:r>
              <w:rPr>
                <w:rFonts w:ascii="仿宋" w:hAnsi="仿宋" w:eastAsia="仿宋" w:cs="仿宋"/>
                <w:sz w:val="24"/>
              </w:rPr>
              <w:t>产品包装要求全新且为交货当年生产。</w:t>
            </w:r>
          </w:p>
          <w:p>
            <w:pPr>
              <w:pStyle w:val="4"/>
              <w:jc w:val="both"/>
            </w:pPr>
            <w:r>
              <w:rPr>
                <w:rFonts w:ascii="仿宋" w:hAnsi="仿宋" w:eastAsia="仿宋" w:cs="仿宋"/>
                <w:color w:val="000000"/>
                <w:sz w:val="24"/>
              </w:rPr>
              <w:t>质量保证期：验收完成之日起三年。</w:t>
            </w:r>
          </w:p>
          <w:p>
            <w:pPr>
              <w:pStyle w:val="4"/>
              <w:jc w:val="both"/>
            </w:pPr>
            <w:r>
              <w:rPr>
                <w:rFonts w:ascii="仿宋" w:hAnsi="仿宋" w:eastAsia="仿宋" w:cs="仿宋"/>
                <w:color w:val="000000"/>
                <w:sz w:val="24"/>
              </w:rPr>
              <w:t>售后服务要求：</w:t>
            </w:r>
          </w:p>
          <w:p>
            <w:pPr>
              <w:pStyle w:val="4"/>
              <w:jc w:val="both"/>
            </w:pPr>
            <w:r>
              <w:rPr>
                <w:rFonts w:ascii="仿宋" w:hAnsi="仿宋" w:eastAsia="仿宋" w:cs="仿宋"/>
                <w:color w:val="000000"/>
                <w:sz w:val="24"/>
              </w:rPr>
              <w:t>1、提供热线支持：7x24小时，现场支持：2小时内响应；4小时内解决故障；</w:t>
            </w:r>
          </w:p>
          <w:p>
            <w:pPr>
              <w:pStyle w:val="4"/>
              <w:jc w:val="both"/>
            </w:pPr>
            <w:r>
              <w:rPr>
                <w:rFonts w:ascii="仿宋" w:hAnsi="仿宋" w:eastAsia="仿宋" w:cs="仿宋"/>
                <w:color w:val="000000"/>
                <w:sz w:val="24"/>
              </w:rPr>
              <w:t>2、保修三年，保修期内免费上门，保修期外更换硬件按成本价收取；</w:t>
            </w:r>
          </w:p>
          <w:p>
            <w:pPr>
              <w:pStyle w:val="4"/>
              <w:jc w:val="both"/>
            </w:pPr>
            <w:r>
              <w:rPr>
                <w:rFonts w:ascii="仿宋" w:hAnsi="仿宋" w:eastAsia="仿宋" w:cs="仿宋"/>
                <w:color w:val="000000"/>
                <w:sz w:val="24"/>
              </w:rPr>
              <w:t>3、培训人员现场培训（操作、维护等）：供应商需负责为用户管理员做上述设备使用及安装调试相关培训，使其能掌握设备的日常维护。</w:t>
            </w:r>
          </w:p>
          <w:p>
            <w:pPr>
              <w:pStyle w:val="4"/>
              <w:jc w:val="both"/>
            </w:pPr>
            <w:r>
              <w:rPr>
                <w:rFonts w:ascii="仿宋" w:hAnsi="仿宋" w:eastAsia="仿宋" w:cs="仿宋"/>
                <w:color w:val="000000"/>
                <w:sz w:val="24"/>
              </w:rPr>
              <w:t>4、系统扩展、升级服务要求：供应商必须为维修和技术支持所未能解决的问题和故障提供正式的免费升级方案和升级服务。根据业务使用情况，按需根据技术升级换代情况提供系统扩展及升级服务。</w:t>
            </w:r>
          </w:p>
          <w:p>
            <w:pPr>
              <w:pStyle w:val="4"/>
              <w:jc w:val="both"/>
            </w:pPr>
            <w:r>
              <w:rPr>
                <w:rFonts w:ascii="仿宋" w:hAnsi="仿宋" w:eastAsia="仿宋" w:cs="仿宋"/>
                <w:color w:val="000000"/>
                <w:sz w:val="24"/>
              </w:rPr>
              <w:t>5、售后服务响应时间（质保期内）：即时响应（包括电话响应）；电话响应无法解决 2 小时内到达现场。修复时间 4  小时内解决；如在 4 小时内无法修复，则提供部件冗余服务或采取应急措施，提供相同产品或不低于故障产品规格档次的备用产品供采购人使用，以确保货物的正常使用。</w:t>
            </w:r>
          </w:p>
          <w:p>
            <w:pPr>
              <w:pStyle w:val="4"/>
            </w:pPr>
            <w:r>
              <w:rPr>
                <w:rFonts w:ascii="仿宋" w:hAnsi="仿宋" w:eastAsia="仿宋" w:cs="仿宋"/>
                <w:color w:val="000000"/>
                <w:sz w:val="24"/>
              </w:rPr>
              <w:t>6、交货期： 合同签订后30个工作日内。</w:t>
            </w:r>
          </w:p>
          <w:p>
            <w:pPr>
              <w:pStyle w:val="4"/>
            </w:pPr>
            <w:r>
              <w:rPr>
                <w:rFonts w:ascii="仿宋" w:hAnsi="仿宋" w:eastAsia="仿宋" w:cs="仿宋"/>
                <w:color w:val="000000"/>
                <w:sz w:val="24"/>
              </w:rPr>
              <w:t>7、计算机软硬件及网络设备的生产和销售，设备货源渠道正常，并能够提供产品质量的相关证明资料。须提供所投产品的合法来源渠道证明文件（包括但不限于销售协议、代理协议、原厂授权等）</w:t>
            </w:r>
          </w:p>
        </w:tc>
        <w:tc>
          <w:tcPr>
            <w:tcW w:w="431" w:type="pc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bookmarkEnd w:id="0"/>
    </w:tbl>
    <w:p>
      <w:pPr>
        <w:pStyle w:val="4"/>
        <w:jc w:val="both"/>
      </w:pPr>
      <w:r>
        <w:rPr>
          <w:rFonts w:ascii="仿宋" w:hAnsi="仿宋" w:eastAsia="仿宋" w:cs="仿宋"/>
          <w:sz w:val="24"/>
        </w:rPr>
        <w:t>参数说明：“以上参数为基本参数要求，供应商所投产品应满足或优于以上参数要求。”</w:t>
      </w:r>
    </w:p>
    <w:p>
      <w:r>
        <w:rPr>
          <w:rFonts w:ascii="仿宋" w:hAnsi="仿宋" w:eastAsia="仿宋" w:cs="仿宋"/>
          <w:sz w:val="24"/>
        </w:rPr>
        <w:t>备注：加★的重要技术参数必须提供证明材料（证明材料包括但不限于加盖厂商公章的技术参数说明、产品彩页、检测报告和功能截图等技术支持性文件。）加★参数不响应或未提供证明材料均为无效响应文件。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MGVhMzNhOGJlY2JhYTlmNTJiOTEwZjc2ZWExZGUifQ=="/>
  </w:docVars>
  <w:rsids>
    <w:rsidRoot w:val="750B0A0F"/>
    <w:rsid w:val="750B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2024-05-15T02:40:00Z</dcterms:created>
  <dc:creator>陕西中技招标有限公司</dc:creator>
  <cp:lastModifiedBy>陕西中技招标有限公司</cp:lastModifiedBy>
  <dcterms:modified xsi:type="dcterms:W3CDTF">2024-05-15T02:41:49Z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A5DC033AEDCB40E08968F2D2A5C72B6B_11</vt:lpwstr>
  </property>
</Properties>
</file>