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标准化考场升级改造项目</w:t>
      </w:r>
    </w:p>
    <w:p>
      <w:pPr>
        <w:pStyle w:val="null3"/>
        <w:jc w:val="center"/>
        <w:outlineLvl w:val="2"/>
      </w:pPr>
      <w:r>
        <w:rPr>
          <w:sz w:val="28"/>
          <w:b/>
        </w:rPr>
        <w:t>采购项目编号：</w:t>
      </w:r>
      <w:r>
        <w:rPr>
          <w:sz w:val="28"/>
          <w:b/>
        </w:rPr>
        <w:t>ZX2024-04-36</w:t>
      </w:r>
      <w:r>
        <w:br/>
      </w:r>
      <w:r>
        <w:br/>
      </w:r>
      <w:r>
        <w:br/>
      </w:r>
    </w:p>
    <w:p>
      <w:pPr>
        <w:pStyle w:val="null3"/>
        <w:jc w:val="center"/>
        <w:outlineLvl w:val="2"/>
      </w:pPr>
      <w:r>
        <w:rPr>
          <w:sz w:val="28"/>
          <w:b/>
        </w:rPr>
        <w:t>西安航空学院</w:t>
      </w:r>
    </w:p>
    <w:p>
      <w:pPr>
        <w:pStyle w:val="null3"/>
        <w:jc w:val="center"/>
        <w:outlineLvl w:val="2"/>
      </w:pPr>
      <w:r>
        <w:rPr>
          <w:sz w:val="28"/>
          <w:b/>
        </w:rPr>
        <w:t>陕西正信招标有限公司</w:t>
      </w:r>
      <w:r>
        <w:rPr>
          <w:sz w:val="28"/>
          <w:b/>
        </w:rPr>
        <w:t>共同编制</w:t>
      </w:r>
    </w:p>
    <w:p>
      <w:pPr>
        <w:pStyle w:val="null3"/>
        <w:jc w:val="center"/>
        <w:outlineLvl w:val="2"/>
      </w:pPr>
      <w:r>
        <w:rPr>
          <w:sz w:val="28"/>
          <w:b/>
        </w:rPr>
        <w:t>2024年05月15日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陕西正信招标有限公司</w:t>
      </w:r>
      <w:r>
        <w:rPr/>
        <w:t>（以下简称“代理机构”）受</w:t>
      </w:r>
      <w:r>
        <w:rPr/>
        <w:t>西安航空学院</w:t>
      </w:r>
      <w:r>
        <w:rPr/>
        <w:t>委托，拟对</w:t>
      </w:r>
      <w:r>
        <w:rPr/>
        <w:t>标准化考场升级改造项目</w:t>
      </w:r>
      <w:r>
        <w:rPr/>
        <w:t>进行国内公开招标，兹邀请符合本次招标要求的供应商参加投标。</w:t>
      </w:r>
    </w:p>
    <w:p>
      <w:pPr>
        <w:pStyle w:val="null3"/>
        <w:outlineLvl w:val="2"/>
      </w:pPr>
      <w:r>
        <w:rPr>
          <w:sz w:val="28"/>
          <w:b/>
        </w:rPr>
        <w:t>一、采购项目编号：</w:t>
      </w:r>
      <w:r>
        <w:rPr>
          <w:sz w:val="28"/>
          <w:b/>
        </w:rPr>
        <w:t>ZX2024-04-36</w:t>
      </w:r>
    </w:p>
    <w:p>
      <w:pPr>
        <w:pStyle w:val="null3"/>
        <w:outlineLvl w:val="2"/>
      </w:pPr>
      <w:r>
        <w:rPr>
          <w:sz w:val="28"/>
          <w:b/>
        </w:rPr>
        <w:t>二、采购项目名称：</w:t>
      </w:r>
      <w:r>
        <w:rPr>
          <w:sz w:val="28"/>
          <w:b/>
        </w:rPr>
        <w:t>标准化考场升级改造项目</w:t>
      </w:r>
    </w:p>
    <w:p>
      <w:pPr>
        <w:pStyle w:val="null3"/>
        <w:outlineLvl w:val="2"/>
      </w:pPr>
      <w:r>
        <w:rPr>
          <w:sz w:val="28"/>
          <w:b/>
        </w:rPr>
        <w:t>三、招标项目简介</w:t>
      </w:r>
    </w:p>
    <w:p>
      <w:pPr>
        <w:pStyle w:val="null3"/>
        <w:ind w:firstLine="480"/>
      </w:pPr>
      <w:r>
        <w:rPr/>
        <w:t>标准化考场升级改造项目，1项，具体内容详见采购文件。</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法定代表人参加投标的，须出示身份证；法定代表人授权他人参加投标的，须提供法定代表人授权委托书、被授权人提交自2023年10月1日以来任意一个月的社会保障资金（养老保险或医疗保险）的缴纳证明或有效期内的劳动合同及被授权人身份证。并进行电子签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西安航空学院</w:t>
      </w:r>
    </w:p>
    <w:p>
      <w:pPr>
        <w:pStyle w:val="null3"/>
      </w:pPr>
      <w:r>
        <w:rPr/>
        <w:t xml:space="preserve"> 地址： </w:t>
      </w:r>
      <w:r>
        <w:rPr/>
        <w:t>西安市莲湖区西二环259号</w:t>
      </w:r>
    </w:p>
    <w:p>
      <w:pPr>
        <w:pStyle w:val="null3"/>
      </w:pPr>
      <w:r>
        <w:rPr/>
        <w:t xml:space="preserve"> 邮编： </w:t>
      </w:r>
      <w:r>
        <w:rPr/>
        <w:t>710077</w:t>
      </w:r>
    </w:p>
    <w:p>
      <w:pPr>
        <w:pStyle w:val="null3"/>
      </w:pPr>
      <w:r>
        <w:rPr/>
        <w:t xml:space="preserve"> 联系人： </w:t>
      </w:r>
      <w:r>
        <w:rPr/>
        <w:t xml:space="preserve">鲁老师 </w:t>
      </w:r>
    </w:p>
    <w:p>
      <w:pPr>
        <w:pStyle w:val="null3"/>
      </w:pPr>
      <w:r>
        <w:rPr/>
        <w:t xml:space="preserve"> 联系电话： </w:t>
      </w:r>
      <w:r>
        <w:rPr/>
        <w:t>029-84496314</w:t>
      </w:r>
    </w:p>
    <w:p>
      <w:pPr>
        <w:pStyle w:val="null3"/>
        <w:outlineLvl w:val="2"/>
      </w:pPr>
      <w:r>
        <w:rPr>
          <w:sz w:val="28"/>
          <w:b/>
        </w:rPr>
        <w:t>代理机构：</w:t>
      </w:r>
      <w:r>
        <w:rPr>
          <w:sz w:val="28"/>
          <w:b/>
        </w:rPr>
        <w:t>陕西正信招标有限公司</w:t>
      </w:r>
    </w:p>
    <w:p>
      <w:pPr>
        <w:pStyle w:val="null3"/>
      </w:pPr>
      <w:r>
        <w:rPr/>
        <w:t xml:space="preserve"> 地址： </w:t>
      </w:r>
      <w:r>
        <w:rPr/>
        <w:t>西安市红缨路南口6号均明拍卖广场4层</w:t>
      </w:r>
    </w:p>
    <w:p>
      <w:pPr>
        <w:pStyle w:val="null3"/>
      </w:pPr>
      <w:r>
        <w:rPr/>
        <w:t xml:space="preserve"> 邮编： </w:t>
      </w:r>
      <w:r>
        <w:rPr/>
        <w:t>710000</w:t>
      </w:r>
    </w:p>
    <w:p>
      <w:pPr>
        <w:pStyle w:val="null3"/>
      </w:pPr>
      <w:r>
        <w:rPr/>
        <w:t xml:space="preserve"> 联系人： </w:t>
      </w:r>
      <w:r>
        <w:rPr/>
        <w:t>柯敏 崔文 马演 王琦 蔡丹</w:t>
      </w:r>
    </w:p>
    <w:p>
      <w:pPr>
        <w:pStyle w:val="null3"/>
      </w:pPr>
      <w:r>
        <w:rPr/>
        <w:t xml:space="preserve"> 联系电话： </w:t>
      </w:r>
      <w:r>
        <w:rPr/>
        <w:t>029-88411508-8014</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采购包1：3,538,200.00元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采购包1保证金金额：70,004.36元</w:t>
            </w:r>
          </w:p>
          <w:p>
            <w:pPr>
              <w:pStyle w:val="null3"/>
            </w:pPr>
            <w:r>
              <w:rPr/>
              <w:t>缴交渠道：电子保函,转账、支票、汇票等（需通过实体账户、户名及开户行信息）</w:t>
            </w:r>
          </w:p>
          <w:p>
            <w:pPr>
              <w:pStyle w:val="null3"/>
            </w:pPr>
            <w:r>
              <w:rPr/>
              <w:t>开户名称：陕西正信招标有限公司（资金性质：保证金专用账户）</w:t>
            </w:r>
          </w:p>
          <w:p>
            <w:pPr>
              <w:pStyle w:val="null3"/>
            </w:pPr>
            <w:r>
              <w:rPr/>
              <w:t>开户银行：中国银行西安四府街支行</w:t>
            </w:r>
          </w:p>
          <w:p>
            <w:pPr>
              <w:pStyle w:val="null3"/>
            </w:pPr>
            <w:r>
              <w:rPr/>
              <w:t>银行账号：102500641590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说明：1、收款账户 收款单位：西安航空学院 开户银行：西安市工商银行土门支行 银行账号：3700021809089111359 2、缴纳方式：交纳形式为银行转账等非现金形式，投标人以银行、保险公司出具保函形式提交履约保证金的，采购单位不得拒收。 3、逾期退还履约保证金的违约责任：按照采购文件及合同约定。 备注：交纳履约保证金时须注明项目编号及用途(履约保证金)。</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代理服务费收费标准：参照国家计委颁布的《招标代理服务收费管理暂行办法》（计价格[2002]1980号）和（发改办价格[2003]857号）收费标准。 收款账户如下： 收款单位：陕西正信招标有限公司 开户银行：中国银行股份有限公司西安四府街支行 银行账号：102460065607</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踏勘时间：2024-05-23 14:30:00</w:t>
            </w:r>
          </w:p>
          <w:p>
            <w:pPr>
              <w:pStyle w:val="null3"/>
              <w:ind w:firstLine="975"/>
            </w:pPr>
            <w:r>
              <w:rPr/>
              <w:t>踏勘地点：西安航空学院阎良校区大门口（若有变动另行通知）</w:t>
            </w:r>
          </w:p>
          <w:p>
            <w:pPr>
              <w:pStyle w:val="null3"/>
              <w:ind w:firstLine="975"/>
            </w:pPr>
            <w:r>
              <w:rPr/>
              <w:t>联系人：崔工、曾立伟</w:t>
            </w:r>
          </w:p>
          <w:p>
            <w:pPr>
              <w:pStyle w:val="null3"/>
              <w:ind w:firstLine="975"/>
            </w:pPr>
            <w:r>
              <w:rPr/>
              <w:t>联系电话号码：13228005857、13619296857</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西安航空学院</w:t>
      </w:r>
      <w:r>
        <w:rPr/>
        <w:t>和</w:t>
      </w:r>
      <w:r>
        <w:rPr/>
        <w:t>陕西正信招标有限公司</w:t>
      </w:r>
      <w:r>
        <w:rPr/>
        <w:t>享有。对招标文件中供应商参加本次政府采购活动应当具备的条件，招标项目技术、服务、商务及其他要求，评标细则及标准由</w:t>
      </w:r>
      <w:r>
        <w:rPr/>
        <w:t>西安航空学院</w:t>
      </w:r>
      <w:r>
        <w:rPr/>
        <w:t>负责解释。除上述招标文件内容，其他内容由</w:t>
      </w:r>
      <w:r>
        <w:rPr/>
        <w:t>陕西正信招标有限公司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西安航空学院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陕西正信招标有限公司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按招标文件、投标文件及合同约定执行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联系人：崔文 柯敏</w:t>
      </w:r>
    </w:p>
    <w:p>
      <w:pPr>
        <w:pStyle w:val="null3"/>
      </w:pPr>
      <w:r>
        <w:rPr/>
        <w:t>联系电话：029-88411508-8014</w:t>
      </w:r>
    </w:p>
    <w:p>
      <w:pPr>
        <w:pStyle w:val="null3"/>
      </w:pPr>
      <w:r>
        <w:rPr/>
        <w:t>地址：西安市红缨路南口6号均明拍卖广场四层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标准化考场升级改造项目，1项，具体内容详见采购文件。</w:t>
      </w:r>
    </w:p>
    <w:p>
      <w:pPr>
        <w:pStyle w:val="null3"/>
        <w:outlineLvl w:val="2"/>
      </w:pPr>
      <w:r>
        <w:rPr>
          <w:sz w:val="28"/>
          <w:b/>
        </w:rPr>
        <w:t>3.2采购内容</w:t>
      </w:r>
    </w:p>
    <w:p>
      <w:pPr>
        <w:pStyle w:val="null3"/>
      </w:pPr>
      <w:r>
        <w:rPr/>
        <w:t>采购包1：</w:t>
      </w:r>
    </w:p>
    <w:p>
      <w:pPr>
        <w:pStyle w:val="null3"/>
      </w:pPr>
      <w:r>
        <w:rPr/>
        <w:t>采购包预算金额（元）: 3,538,200.00</w:t>
      </w:r>
    </w:p>
    <w:p>
      <w:pPr>
        <w:pStyle w:val="null3"/>
      </w:pPr>
      <w:r>
        <w:rPr/>
        <w:t>采购包最高限价（元）: 3,538,200.00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标准化考场改造</w:t>
            </w:r>
          </w:p>
        </w:tc>
        <w:tc>
          <w:tcPr>
            <w:tcW w:type="dxa" w:w="831"/>
          </w:tcPr>
          <w:p>
            <w:pPr>
              <w:pStyle w:val="null3"/>
              <w:jc w:val="right"/>
            </w:pPr>
            <w:r>
              <w:rPr/>
              <w:t>1.00</w:t>
            </w:r>
          </w:p>
        </w:tc>
        <w:tc>
          <w:tcPr>
            <w:tcW w:type="dxa" w:w="831"/>
          </w:tcPr>
          <w:p>
            <w:pPr>
              <w:pStyle w:val="null3"/>
              <w:jc w:val="right"/>
            </w:pPr>
            <w:r>
              <w:rPr/>
              <w:t>3,538,200.00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标的名称：标准化考场改造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一、采购清单</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t>序号</w:t>
                  </w:r>
                </w:p>
              </w:tc>
              <w:tc>
                <w:tcPr>
                  <w:tcW w:type="dxa" w:w="1702"/>
                  <w:gridSpan w:val="2"/>
                </w:tcPr>
                <w:p>
                  <w:pPr>
                    <w:pStyle w:val="null3"/>
                  </w:pPr>
                  <w:r>
                    <w:rPr/>
                    <w:t>系统模块</w:t>
                  </w:r>
                </w:p>
              </w:tc>
            </w:tr>
            <w:tr>
              <w:tc>
                <w:tcPr>
                  <w:tcW w:type="dxa" w:w="851"/>
                </w:tcPr>
                <w:p>
                  <w:pPr>
                    <w:pStyle w:val="null3"/>
                  </w:pPr>
                  <w:r>
                    <w:rPr/>
                    <w:t>1</w:t>
                  </w:r>
                </w:p>
              </w:tc>
              <w:tc>
                <w:tcPr>
                  <w:tcW w:type="dxa" w:w="851"/>
                  <w:vMerge w:val="restart"/>
                </w:tcPr>
                <w:p>
                  <w:pPr>
                    <w:pStyle w:val="null3"/>
                  </w:pPr>
                  <w:r>
                    <w:rPr/>
                    <w:t>研考基本配置（阎良）</w:t>
                  </w:r>
                </w:p>
              </w:tc>
              <w:tc>
                <w:tcPr>
                  <w:tcW w:type="dxa" w:w="851"/>
                </w:tcPr>
                <w:p>
                  <w:pPr>
                    <w:pStyle w:val="null3"/>
                  </w:pPr>
                  <w:r>
                    <w:rPr/>
                    <w:t>高清网上巡查系统</w:t>
                  </w:r>
                </w:p>
              </w:tc>
            </w:tr>
            <w:tr>
              <w:tc>
                <w:tcPr>
                  <w:tcW w:type="dxa" w:w="851"/>
                </w:tcPr>
                <w:p>
                  <w:pPr>
                    <w:pStyle w:val="null3"/>
                  </w:pPr>
                  <w:r>
                    <w:rPr/>
                    <w:t>2</w:t>
                  </w:r>
                </w:p>
              </w:tc>
              <w:tc>
                <w:tcPr>
                  <w:tcW w:type="dxa" w:w="851"/>
                  <w:vMerge/>
                </w:tcPr>
                <w:p/>
              </w:tc>
              <w:tc>
                <w:tcPr>
                  <w:tcW w:type="dxa" w:w="851"/>
                </w:tcPr>
                <w:p>
                  <w:pPr>
                    <w:pStyle w:val="null3"/>
                  </w:pPr>
                  <w:r>
                    <w:rPr/>
                    <w:t>作弊防控系统</w:t>
                  </w:r>
                </w:p>
              </w:tc>
            </w:tr>
            <w:tr>
              <w:tc>
                <w:tcPr>
                  <w:tcW w:type="dxa" w:w="851"/>
                </w:tcPr>
                <w:p>
                  <w:pPr>
                    <w:pStyle w:val="null3"/>
                  </w:pPr>
                  <w:r>
                    <w:rPr/>
                    <w:t>3</w:t>
                  </w:r>
                </w:p>
              </w:tc>
              <w:tc>
                <w:tcPr>
                  <w:tcW w:type="dxa" w:w="851"/>
                  <w:vMerge/>
                </w:tcPr>
                <w:p/>
              </w:tc>
              <w:tc>
                <w:tcPr>
                  <w:tcW w:type="dxa" w:w="851"/>
                </w:tcPr>
                <w:p>
                  <w:pPr>
                    <w:pStyle w:val="null3"/>
                  </w:pPr>
                  <w:r>
                    <w:rPr/>
                    <w:t>身份认证系统</w:t>
                  </w:r>
                </w:p>
              </w:tc>
            </w:tr>
            <w:tr>
              <w:tc>
                <w:tcPr>
                  <w:tcW w:type="dxa" w:w="851"/>
                </w:tcPr>
                <w:p>
                  <w:pPr>
                    <w:pStyle w:val="null3"/>
                  </w:pPr>
                  <w:r>
                    <w:rPr/>
                    <w:t>4</w:t>
                  </w:r>
                </w:p>
              </w:tc>
              <w:tc>
                <w:tcPr>
                  <w:tcW w:type="dxa" w:w="851"/>
                  <w:vMerge/>
                </w:tcPr>
                <w:p/>
              </w:tc>
              <w:tc>
                <w:tcPr>
                  <w:tcW w:type="dxa" w:w="851"/>
                </w:tcPr>
                <w:p>
                  <w:pPr>
                    <w:pStyle w:val="null3"/>
                  </w:pPr>
                  <w:r>
                    <w:rPr/>
                    <w:t>网络时钟系统</w:t>
                  </w:r>
                </w:p>
              </w:tc>
            </w:tr>
            <w:tr>
              <w:tc>
                <w:tcPr>
                  <w:tcW w:type="dxa" w:w="851"/>
                </w:tcPr>
                <w:p>
                  <w:pPr>
                    <w:pStyle w:val="null3"/>
                  </w:pPr>
                  <w:r>
                    <w:rPr/>
                    <w:t>5</w:t>
                  </w:r>
                </w:p>
              </w:tc>
              <w:tc>
                <w:tcPr>
                  <w:tcW w:type="dxa" w:w="851"/>
                  <w:vMerge/>
                </w:tcPr>
                <w:p/>
              </w:tc>
              <w:tc>
                <w:tcPr>
                  <w:tcW w:type="dxa" w:w="851"/>
                </w:tcPr>
                <w:p>
                  <w:pPr>
                    <w:pStyle w:val="null3"/>
                  </w:pPr>
                  <w:r>
                    <w:rPr/>
                    <w:t>拼接显示系统</w:t>
                  </w:r>
                </w:p>
              </w:tc>
            </w:tr>
            <w:tr>
              <w:tc>
                <w:tcPr>
                  <w:tcW w:type="dxa" w:w="851"/>
                </w:tcPr>
                <w:p>
                  <w:pPr>
                    <w:pStyle w:val="null3"/>
                  </w:pPr>
                  <w:r>
                    <w:rPr/>
                    <w:t>6</w:t>
                  </w:r>
                </w:p>
              </w:tc>
              <w:tc>
                <w:tcPr>
                  <w:tcW w:type="dxa" w:w="851"/>
                  <w:vMerge/>
                </w:tcPr>
                <w:p/>
              </w:tc>
              <w:tc>
                <w:tcPr>
                  <w:tcW w:type="dxa" w:w="851"/>
                </w:tcPr>
                <w:p>
                  <w:pPr>
                    <w:pStyle w:val="null3"/>
                  </w:pPr>
                  <w:r>
                    <w:rPr/>
                    <w:t>配套设备</w:t>
                  </w:r>
                </w:p>
              </w:tc>
            </w:tr>
            <w:tr>
              <w:tc>
                <w:tcPr>
                  <w:tcW w:type="dxa" w:w="851"/>
                </w:tcPr>
                <w:p>
                  <w:pPr>
                    <w:pStyle w:val="null3"/>
                  </w:pPr>
                  <w:r>
                    <w:rPr/>
                    <w:t>7</w:t>
                  </w:r>
                </w:p>
              </w:tc>
              <w:tc>
                <w:tcPr>
                  <w:tcW w:type="dxa" w:w="851"/>
                  <w:vMerge/>
                </w:tcPr>
                <w:p/>
              </w:tc>
              <w:tc>
                <w:tcPr>
                  <w:tcW w:type="dxa" w:w="851"/>
                </w:tcPr>
                <w:p>
                  <w:pPr>
                    <w:pStyle w:val="null3"/>
                  </w:pPr>
                  <w:r>
                    <w:rPr/>
                    <w:t>线材及施工</w:t>
                  </w:r>
                </w:p>
              </w:tc>
            </w:tr>
            <w:tr>
              <w:tc>
                <w:tcPr>
                  <w:tcW w:type="dxa" w:w="851"/>
                </w:tcPr>
                <w:p>
                  <w:pPr>
                    <w:pStyle w:val="null3"/>
                  </w:pPr>
                  <w:r>
                    <w:rPr/>
                    <w:t>8</w:t>
                  </w:r>
                </w:p>
              </w:tc>
              <w:tc>
                <w:tcPr>
                  <w:tcW w:type="dxa" w:w="851"/>
                  <w:vMerge w:val="restart"/>
                </w:tcPr>
                <w:p>
                  <w:pPr>
                    <w:pStyle w:val="null3"/>
                  </w:pPr>
                  <w:r>
                    <w:rPr/>
                    <w:t>听力系统</w:t>
                  </w:r>
                </w:p>
                <w:p>
                  <w:pPr>
                    <w:pStyle w:val="null3"/>
                  </w:pPr>
                  <w:r>
                    <w:rPr/>
                    <w:t>（阎良）</w:t>
                  </w:r>
                </w:p>
              </w:tc>
              <w:tc>
                <w:tcPr>
                  <w:tcW w:type="dxa" w:w="851"/>
                </w:tcPr>
                <w:p>
                  <w:pPr>
                    <w:pStyle w:val="null3"/>
                  </w:pPr>
                  <w:r>
                    <w:rPr/>
                    <w:t>双备份红外发射终端</w:t>
                  </w:r>
                </w:p>
              </w:tc>
            </w:tr>
            <w:tr>
              <w:tc>
                <w:tcPr>
                  <w:tcW w:type="dxa" w:w="851"/>
                </w:tcPr>
                <w:p>
                  <w:pPr>
                    <w:pStyle w:val="null3"/>
                  </w:pPr>
                  <w:r>
                    <w:rPr/>
                    <w:t>9</w:t>
                  </w:r>
                </w:p>
              </w:tc>
              <w:tc>
                <w:tcPr>
                  <w:tcW w:type="dxa" w:w="851"/>
                  <w:vMerge/>
                </w:tcPr>
                <w:p/>
              </w:tc>
              <w:tc>
                <w:tcPr>
                  <w:tcW w:type="dxa" w:w="851"/>
                </w:tcPr>
                <w:p>
                  <w:pPr>
                    <w:pStyle w:val="null3"/>
                  </w:pPr>
                  <w:r>
                    <w:rPr/>
                    <w:t>配套线材</w:t>
                  </w:r>
                </w:p>
              </w:tc>
            </w:tr>
            <w:tr>
              <w:tc>
                <w:tcPr>
                  <w:tcW w:type="dxa" w:w="851"/>
                </w:tcPr>
                <w:p>
                  <w:pPr>
                    <w:pStyle w:val="null3"/>
                  </w:pPr>
                  <w:r>
                    <w:rPr/>
                    <w:t>10</w:t>
                  </w:r>
                </w:p>
              </w:tc>
              <w:tc>
                <w:tcPr>
                  <w:tcW w:type="dxa" w:w="851"/>
                  <w:vMerge/>
                </w:tcPr>
                <w:p/>
              </w:tc>
              <w:tc>
                <w:tcPr>
                  <w:tcW w:type="dxa" w:w="851"/>
                </w:tcPr>
                <w:p>
                  <w:pPr>
                    <w:pStyle w:val="null3"/>
                  </w:pPr>
                  <w:r>
                    <w:rPr/>
                    <w:t>综合布线</w:t>
                  </w:r>
                </w:p>
              </w:tc>
            </w:tr>
          </w:tbl>
          <w:p>
            <w:pPr>
              <w:pStyle w:val="null3"/>
            </w:pPr>
            <w:r>
              <w:rPr/>
              <w:t>二、技术参数</w:t>
            </w:r>
          </w:p>
          <w:p>
            <w:pPr>
              <w:pStyle w:val="null3"/>
            </w:pPr>
            <w:r>
              <w:rPr/>
              <w:t>（一）研考基本配置（阎良）</w:t>
            </w:r>
          </w:p>
          <w:tbl>
            <w:tblPr>
              <w:tblBorders>
                <w:top w:val="single"/>
                <w:left w:val="single"/>
                <w:bottom w:val="single"/>
                <w:right w:val="single"/>
                <w:insideH w:val="single"/>
                <w:insideV w:val="single"/>
              </w:tblBorders>
            </w:tblPr>
            <w:tblGrid>
              <w:gridCol w:w="365"/>
              <w:gridCol w:w="365"/>
              <w:gridCol w:w="365"/>
              <w:gridCol w:w="365"/>
              <w:gridCol w:w="365"/>
              <w:gridCol w:w="365"/>
              <w:gridCol w:w="365"/>
            </w:tblGrid>
            <w:tr>
              <w:tc>
                <w:tcPr>
                  <w:tcW w:type="dxa" w:w="365"/>
                </w:tcPr>
                <w:p>
                  <w:pPr>
                    <w:pStyle w:val="null3"/>
                  </w:pPr>
                  <w:r>
                    <w:rPr/>
                    <w:t>序号</w:t>
                  </w:r>
                </w:p>
              </w:tc>
              <w:tc>
                <w:tcPr>
                  <w:tcW w:type="dxa" w:w="365"/>
                </w:tcPr>
                <w:p>
                  <w:pPr>
                    <w:pStyle w:val="null3"/>
                  </w:pPr>
                  <w:r>
                    <w:rPr/>
                    <w:t>系统</w:t>
                  </w:r>
                </w:p>
              </w:tc>
              <w:tc>
                <w:tcPr>
                  <w:tcW w:type="dxa" w:w="365"/>
                </w:tcPr>
                <w:p>
                  <w:pPr>
                    <w:pStyle w:val="null3"/>
                  </w:pPr>
                  <w:r>
                    <w:rPr/>
                    <w:t>产品名称</w:t>
                  </w:r>
                </w:p>
              </w:tc>
              <w:tc>
                <w:tcPr>
                  <w:tcW w:type="dxa" w:w="365"/>
                </w:tcPr>
                <w:p>
                  <w:pPr>
                    <w:pStyle w:val="null3"/>
                  </w:pPr>
                  <w:r>
                    <w:rPr/>
                    <w:t>技术参数</w:t>
                  </w:r>
                </w:p>
              </w:tc>
              <w:tc>
                <w:tcPr>
                  <w:tcW w:type="dxa" w:w="365"/>
                </w:tcPr>
                <w:p>
                  <w:pPr>
                    <w:pStyle w:val="null3"/>
                  </w:pPr>
                  <w:r>
                    <w:rPr/>
                    <w:t>单位</w:t>
                  </w:r>
                </w:p>
              </w:tc>
              <w:tc>
                <w:tcPr>
                  <w:tcW w:type="dxa" w:w="365"/>
                </w:tcPr>
                <w:p>
                  <w:pPr>
                    <w:pStyle w:val="null3"/>
                  </w:pPr>
                  <w:r>
                    <w:rPr/>
                    <w:t>数量</w:t>
                  </w:r>
                </w:p>
              </w:tc>
              <w:tc>
                <w:tcPr>
                  <w:tcW w:type="dxa" w:w="365"/>
                </w:tcPr>
                <w:p>
                  <w:pPr>
                    <w:pStyle w:val="null3"/>
                  </w:pPr>
                  <w:r>
                    <w:rPr/>
                    <w:t>备注</w:t>
                  </w:r>
                </w:p>
              </w:tc>
            </w:tr>
            <w:tr>
              <w:tc>
                <w:tcPr>
                  <w:tcW w:type="dxa" w:w="2555"/>
                  <w:gridSpan w:val="7"/>
                </w:tcPr>
                <w:p>
                  <w:pPr>
                    <w:pStyle w:val="null3"/>
                  </w:pPr>
                  <w:r>
                    <w:rPr/>
                    <w:t>视频监控系统</w:t>
                  </w:r>
                </w:p>
              </w:tc>
            </w:tr>
            <w:tr>
              <w:tc>
                <w:tcPr>
                  <w:tcW w:type="dxa" w:w="365"/>
                </w:tcPr>
                <w:p>
                  <w:pPr>
                    <w:pStyle w:val="null3"/>
                  </w:pPr>
                  <w:r>
                    <w:rPr/>
                    <w:t>1</w:t>
                  </w:r>
                </w:p>
              </w:tc>
              <w:tc>
                <w:tcPr>
                  <w:tcW w:type="dxa" w:w="365"/>
                  <w:vMerge w:val="restart"/>
                </w:tcPr>
                <w:p>
                  <w:pPr>
                    <w:pStyle w:val="null3"/>
                  </w:pPr>
                  <w:r>
                    <w:rPr/>
                    <w:t>高清网上巡查系统</w:t>
                  </w:r>
                </w:p>
              </w:tc>
              <w:tc>
                <w:tcPr>
                  <w:tcW w:type="dxa" w:w="365"/>
                </w:tcPr>
                <w:p>
                  <w:pPr>
                    <w:pStyle w:val="null3"/>
                  </w:pPr>
                  <w:r>
                    <w:rPr/>
                    <w:t>红外网络摄像机（核心产品）</w:t>
                  </w:r>
                </w:p>
              </w:tc>
              <w:tc>
                <w:tcPr>
                  <w:tcW w:type="dxa" w:w="365"/>
                </w:tcPr>
                <w:p>
                  <w:pPr>
                    <w:pStyle w:val="null3"/>
                  </w:pPr>
                  <w:r>
                    <w:rPr/>
                    <w:t>*1、符合《国家教育考试网上巡查系统视频标准技术规范（2017版）》；</w:t>
                  </w:r>
                </w:p>
                <w:p>
                  <w:pPr>
                    <w:pStyle w:val="null3"/>
                  </w:pPr>
                  <w:r>
                    <w:rPr/>
                    <w:t>*2、符合《国家标准GB/T28181－2022〈公共安全视频监控联网系统信息传输、交换、控制技术要求〉》；</w:t>
                  </w:r>
                </w:p>
                <w:p>
                  <w:pPr>
                    <w:pStyle w:val="null3"/>
                  </w:pPr>
                  <w:r>
                    <w:rPr/>
                    <w:t>*3、帧率：50Hz：25fps (1920 × 1080,1280 × 960,1280 × 720)；60Hz：30fps；</w:t>
                  </w:r>
                </w:p>
                <w:p>
                  <w:pPr>
                    <w:pStyle w:val="null3"/>
                  </w:pPr>
                  <w:r>
                    <w:rPr/>
                    <w:t>*4、传感器：1/2.7” Progressive Scan CMOS，镜头：2.8mm（需根据实际考场尺寸提供合适的镜头），像素≥500万。</w:t>
                  </w:r>
                </w:p>
                <w:p>
                  <w:pPr>
                    <w:pStyle w:val="null3"/>
                  </w:pPr>
                  <w:r>
                    <w:rPr/>
                    <w:t>*5、水平视场角:≥96°；</w:t>
                  </w:r>
                </w:p>
                <w:p>
                  <w:pPr>
                    <w:pStyle w:val="null3"/>
                  </w:pPr>
                  <w:r>
                    <w:rPr/>
                    <w:t>*6、信噪比：≥55.5dB；</w:t>
                  </w:r>
                </w:p>
                <w:p>
                  <w:pPr>
                    <w:pStyle w:val="null3"/>
                  </w:pPr>
                  <w:r>
                    <w:rPr/>
                    <w:t>*7、具备H.264、H.265、MJPEG视频压缩标准，具备G.711、MP2L2、AAC音频压缩标准；</w:t>
                  </w:r>
                </w:p>
                <w:p>
                  <w:pPr>
                    <w:pStyle w:val="null3"/>
                  </w:pPr>
                  <w:r>
                    <w:rPr/>
                    <w:t>*8、具备标准SIP2.0，支持SIP地址解析，信令转发，具备SIP URI统一命名规则、分级命名；</w:t>
                  </w:r>
                </w:p>
                <w:p>
                  <w:pPr>
                    <w:pStyle w:val="null3"/>
                  </w:pPr>
                  <w:r>
                    <w:rPr/>
                    <w:t>*9、红外夜视距离：在夜间照度较低的环境下，通过红外光照射，可探测到距离样机≥100米人体轮廓；</w:t>
                  </w:r>
                </w:p>
                <w:p>
                  <w:pPr>
                    <w:pStyle w:val="null3"/>
                  </w:pPr>
                  <w:r>
                    <w:rPr/>
                    <w:t>*10、具备时钟同步功能，可自动或手动同步系统时间，支持NTP授时。</w:t>
                  </w:r>
                </w:p>
                <w:p>
                  <w:pPr>
                    <w:pStyle w:val="null3"/>
                  </w:pPr>
                  <w:r>
                    <w:rPr/>
                    <w:t>*11、具备三码流传输功能；</w:t>
                  </w:r>
                </w:p>
                <w:p>
                  <w:pPr>
                    <w:pStyle w:val="null3"/>
                  </w:pPr>
                  <w:r>
                    <w:rPr/>
                    <w:t>*12、具备POE供电功能；</w:t>
                  </w:r>
                </w:p>
                <w:p>
                  <w:pPr>
                    <w:pStyle w:val="null3"/>
                  </w:pPr>
                  <w:r>
                    <w:rPr/>
                    <w:t>*13、具备Micro SD/SDHC/SDXC卡存储，能有效解决由于网络故障引起的视频丢失问题；</w:t>
                  </w:r>
                </w:p>
                <w:p>
                  <w:pPr>
                    <w:pStyle w:val="null3"/>
                  </w:pPr>
                  <w:r>
                    <w:rPr/>
                    <w:t>*14、具备1路10/100M以太网输出接口，采用RJ45连接，可选用射频无线接口或光纤接口；</w:t>
                  </w:r>
                </w:p>
                <w:p>
                  <w:pPr>
                    <w:pStyle w:val="null3"/>
                  </w:pPr>
                  <w:r>
                    <w:rPr/>
                    <w:t>*15、可靠性高，外壳防护等级不低于IP67，机械碰撞防护等级不低于IK10。</w:t>
                  </w:r>
                </w:p>
              </w:tc>
              <w:tc>
                <w:tcPr>
                  <w:tcW w:type="dxa" w:w="365"/>
                </w:tcPr>
                <w:p>
                  <w:pPr>
                    <w:pStyle w:val="null3"/>
                  </w:pPr>
                  <w:r>
                    <w:rPr/>
                    <w:t>台</w:t>
                  </w:r>
                </w:p>
              </w:tc>
              <w:tc>
                <w:tcPr>
                  <w:tcW w:type="dxa" w:w="365"/>
                </w:tcPr>
                <w:p>
                  <w:pPr>
                    <w:pStyle w:val="null3"/>
                  </w:pPr>
                  <w:r>
                    <w:rPr/>
                    <w:t>284</w:t>
                  </w:r>
                </w:p>
              </w:tc>
              <w:tc>
                <w:tcPr>
                  <w:tcW w:type="dxa" w:w="365"/>
                </w:tcPr>
                <w:p>
                  <w:pPr>
                    <w:pStyle w:val="null3"/>
                  </w:pPr>
                  <w:r>
                    <w:rPr/>
                    <w:t>每个考场1台，196台；</w:t>
                  </w:r>
                </w:p>
                <w:p>
                  <w:pPr>
                    <w:pStyle w:val="null3"/>
                  </w:pPr>
                  <w:r>
                    <w:rPr/>
                    <w:t>考务室2台，保密室4台；</w:t>
                  </w:r>
                </w:p>
                <w:p>
                  <w:pPr>
                    <w:pStyle w:val="null3"/>
                  </w:pPr>
                  <w:r>
                    <w:rPr/>
                    <w:t>阎教楼每层6台，入口2台，合计32台;阎科楼各层北侧大厅、楼梯、走廊以及一层南侧大厅等合计50台。</w:t>
                  </w:r>
                </w:p>
              </w:tc>
            </w:tr>
            <w:tr>
              <w:tc>
                <w:tcPr>
                  <w:tcW w:type="dxa" w:w="365"/>
                </w:tcPr>
                <w:p>
                  <w:pPr>
                    <w:pStyle w:val="null3"/>
                  </w:pPr>
                  <w:r>
                    <w:rPr/>
                    <w:t>2</w:t>
                  </w:r>
                </w:p>
              </w:tc>
              <w:tc>
                <w:tcPr>
                  <w:tcW w:type="dxa" w:w="365"/>
                  <w:vMerge/>
                </w:tcPr>
                <w:p/>
              </w:tc>
              <w:tc>
                <w:tcPr>
                  <w:tcW w:type="dxa" w:w="365"/>
                </w:tcPr>
                <w:p>
                  <w:pPr>
                    <w:pStyle w:val="null3"/>
                  </w:pPr>
                  <w:r>
                    <w:rPr/>
                    <w:t>巡查分发存储单元</w:t>
                  </w:r>
                </w:p>
              </w:tc>
              <w:tc>
                <w:tcPr>
                  <w:tcW w:type="dxa" w:w="365"/>
                </w:tcPr>
                <w:p>
                  <w:pPr>
                    <w:pStyle w:val="null3"/>
                  </w:pPr>
                  <w:r>
                    <w:rPr/>
                    <w:t>1、符合《国家教育考试网上巡查系统视频标准技术规范（2017版）》；</w:t>
                  </w:r>
                </w:p>
                <w:p>
                  <w:pPr>
                    <w:pStyle w:val="null3"/>
                  </w:pPr>
                  <w:r>
                    <w:rPr/>
                    <w:t>2、符合《国家标准GB/T28181－2022〈公共安全视频监控联网系统信息传输、交换、控制技术要求〉》；</w:t>
                  </w:r>
                </w:p>
                <w:p>
                  <w:pPr>
                    <w:pStyle w:val="null3"/>
                  </w:pPr>
                  <w:r>
                    <w:rPr/>
                    <w:t>3、≥64路高清视频接入，最大接入带宽≥320Mbps；</w:t>
                  </w:r>
                </w:p>
                <w:p>
                  <w:pPr>
                    <w:pStyle w:val="null3"/>
                  </w:pPr>
                  <w:r>
                    <w:rPr/>
                    <w:t>4、设备接口满足:≥2个RJ4510M/100W/1000Mbp自适应以太网接口；视频输出：1×HDMI、1×VGA,RCA音频输入输出：1×USB 3.0，2×USB 2.0,配置8×SATA( 10T 硬盘，支持硬盘休眠)；</w:t>
                  </w:r>
                </w:p>
                <w:p>
                  <w:pPr>
                    <w:pStyle w:val="null3"/>
                  </w:pPr>
                  <w:r>
                    <w:rPr/>
                    <w:t>5、1/4/6/8/9/16/25/32/36/64画面预览分割；</w:t>
                  </w:r>
                </w:p>
                <w:p>
                  <w:pPr>
                    <w:pStyle w:val="null3"/>
                  </w:pPr>
                  <w:r>
                    <w:rPr/>
                    <w:t>6、视频质量诊断，当检测到视频质量异常（条纹干扰、视频偏色、视频噪声、视频虚焦、视频过曝等）时，进行告警上报，支持联动处理；</w:t>
                  </w:r>
                </w:p>
                <w:p>
                  <w:pPr>
                    <w:pStyle w:val="null3"/>
                  </w:pPr>
                  <w:r>
                    <w:rPr/>
                    <w:t>7、具有字符叠加功能；</w:t>
                  </w:r>
                </w:p>
                <w:p>
                  <w:pPr>
                    <w:pStyle w:val="null3"/>
                  </w:pPr>
                  <w:r>
                    <w:rPr/>
                    <w:t>8、具备标准SIP2.0，支持SIP地址解析，信令转发，具有SIP URI统一命名规则、分级命名；</w:t>
                  </w:r>
                </w:p>
                <w:p>
                  <w:pPr>
                    <w:pStyle w:val="null3"/>
                  </w:pPr>
                  <w:r>
                    <w:rPr/>
                    <w:t>9、具备TS流封装和PS流封装；</w:t>
                  </w:r>
                </w:p>
                <w:p>
                  <w:pPr>
                    <w:pStyle w:val="null3"/>
                  </w:pPr>
                  <w:r>
                    <w:rPr/>
                    <w:t>10、具有RAID 0/1/5/6/10/50/60；</w:t>
                  </w:r>
                </w:p>
                <w:p>
                  <w:pPr>
                    <w:pStyle w:val="null3"/>
                  </w:pPr>
                  <w:r>
                    <w:rPr/>
                    <w:t>11、具备双千兆网卡，支持容错、负载均衡和双网分离，可将两个网口设置不同网段的IP地址，支持 SIP、 RTP、 RTCP 等网络协议；</w:t>
                  </w:r>
                </w:p>
                <w:p>
                  <w:pPr>
                    <w:pStyle w:val="null3"/>
                  </w:pPr>
                  <w:r>
                    <w:rPr/>
                    <w:t>12、具备多路同步回放和多路同步倒放，支持智能搜索，支持摄像机集中管理，包括信息的导入和升级等，支持摄像机的参数配置到其他通道；</w:t>
                  </w:r>
                </w:p>
                <w:p>
                  <w:pPr>
                    <w:pStyle w:val="null3"/>
                  </w:pPr>
                  <w:r>
                    <w:rPr/>
                    <w:t>13、具有通道离线状态原因说明，包括设备连接中、用户名密码错误、网络不通、请求媒体流失败、媒体流中断、带宽不足、弱密码拒绝访问等；</w:t>
                  </w:r>
                </w:p>
                <w:p>
                  <w:pPr>
                    <w:pStyle w:val="null3"/>
                  </w:pPr>
                  <w:r>
                    <w:rPr/>
                    <w:t>14、具备录像续传接收功能，当设备与摄像机之间网络中断并恢复后，可自动接收摄像机内存储的视频图像。</w:t>
                  </w:r>
                </w:p>
              </w:tc>
              <w:tc>
                <w:tcPr>
                  <w:tcW w:type="dxa" w:w="365"/>
                </w:tcPr>
                <w:p>
                  <w:pPr>
                    <w:pStyle w:val="null3"/>
                  </w:pPr>
                  <w:r>
                    <w:rPr/>
                    <w:t>台</w:t>
                  </w:r>
                </w:p>
              </w:tc>
              <w:tc>
                <w:tcPr>
                  <w:tcW w:type="dxa" w:w="365"/>
                </w:tcPr>
                <w:p>
                  <w:pPr>
                    <w:pStyle w:val="null3"/>
                  </w:pPr>
                  <w:r>
                    <w:rPr/>
                    <w:t>5</w:t>
                  </w:r>
                </w:p>
              </w:tc>
              <w:tc>
                <w:tcPr>
                  <w:tcW w:type="dxa" w:w="365"/>
                </w:tcPr>
                <w:p>
                  <w:pPr>
                    <w:pStyle w:val="null3"/>
                  </w:pPr>
                  <w:r>
                    <w:rPr/>
                    <w:t>每台64路视频接入，至少1个月不擦除</w:t>
                  </w:r>
                </w:p>
              </w:tc>
            </w:tr>
            <w:tr>
              <w:tc>
                <w:tcPr>
                  <w:tcW w:type="dxa" w:w="365"/>
                </w:tcPr>
                <w:p>
                  <w:pPr>
                    <w:pStyle w:val="null3"/>
                  </w:pPr>
                  <w:r>
                    <w:rPr/>
                    <w:t>3</w:t>
                  </w:r>
                </w:p>
              </w:tc>
              <w:tc>
                <w:tcPr>
                  <w:tcW w:type="dxa" w:w="365"/>
                  <w:vMerge w:val="restart"/>
                </w:tcPr>
                <w:p>
                  <w:pPr>
                    <w:pStyle w:val="null3"/>
                  </w:pPr>
                  <w:r>
                    <w:rPr/>
                    <w:t>高清网上巡查系统</w:t>
                  </w:r>
                </w:p>
              </w:tc>
              <w:tc>
                <w:tcPr>
                  <w:tcW w:type="dxa" w:w="365"/>
                </w:tcPr>
                <w:p>
                  <w:pPr>
                    <w:pStyle w:val="null3"/>
                  </w:pPr>
                  <w:r>
                    <w:rPr/>
                    <w:t>视频拼接解码器</w:t>
                  </w:r>
                </w:p>
              </w:tc>
              <w:tc>
                <w:tcPr>
                  <w:tcW w:type="dxa" w:w="365"/>
                </w:tcPr>
                <w:p>
                  <w:pPr>
                    <w:pStyle w:val="null3"/>
                  </w:pPr>
                  <w:r>
                    <w:rPr/>
                    <w:t>1.符合《国家教育考试网上巡查系统视频标准技术规范（2017版）》；</w:t>
                  </w:r>
                </w:p>
                <w:p>
                  <w:pPr>
                    <w:pStyle w:val="null3"/>
                  </w:pPr>
                  <w:r>
                    <w:rPr/>
                    <w:t>2.机架式设备，内含电源，自动温控，对外不少于两个千兆网络接口，提供不少于6个业务扩展槽位，各槽位与机箱千兆网络交换，可以装配编码模块、解码模块、网关模块、控制键盘模块等,可以混合装配。支持H.264、H.265视频编码标准，支持D1、720P、1080p、4K解码输出；</w:t>
                  </w:r>
                </w:p>
                <w:p>
                  <w:pPr>
                    <w:pStyle w:val="null3"/>
                  </w:pPr>
                  <w:r>
                    <w:rPr/>
                    <w:t>3.具有多网口绑定功能，并支持容错网络模式、多网络模式、负载均衡网络模式、链路聚合网络模式；</w:t>
                  </w:r>
                </w:p>
                <w:p>
                  <w:pPr>
                    <w:pStyle w:val="null3"/>
                  </w:pPr>
                  <w:r>
                    <w:rPr/>
                    <w:t>4.要求配置不低于12路HDMI或DVI输出解码接口；（根据主控室大屏数量 调整输出接口）</w:t>
                  </w:r>
                </w:p>
                <w:p>
                  <w:pPr>
                    <w:pStyle w:val="null3"/>
                  </w:pPr>
                  <w:r>
                    <w:rPr/>
                    <w:t>5.接口须具备HDMI接口、USB接口、3.5mm音频接口、RJ45网络接口，支持DVI或VGA接口；</w:t>
                  </w:r>
                </w:p>
                <w:p>
                  <w:pPr>
                    <w:pStyle w:val="null3"/>
                  </w:pPr>
                  <w:r>
                    <w:rPr/>
                    <w:t>6.为保证解码上墙巡查效果，拼接屏各物理单元屏之间显示时差≤5ms，视频上墙延时≤100ms；</w:t>
                  </w:r>
                </w:p>
                <w:p>
                  <w:pPr>
                    <w:pStyle w:val="null3"/>
                  </w:pPr>
                  <w:r>
                    <w:rPr/>
                    <w:t>7.具备调用主码流、辅码流、三码流解码，支持远程录像文件的解码上墙，并支持选择实时/流畅的解码策略；</w:t>
                  </w:r>
                </w:p>
                <w:p>
                  <w:pPr>
                    <w:pStyle w:val="null3"/>
                  </w:pPr>
                  <w:r>
                    <w:rPr/>
                    <w:t>8.具备单屏和融合窗口都支持1/4/9/16/25/36画面分割显示；</w:t>
                  </w:r>
                </w:p>
                <w:p>
                  <w:pPr>
                    <w:pStyle w:val="null3"/>
                  </w:pPr>
                  <w:r>
                    <w:rPr/>
                    <w:t>9.支持屏幕自由组合模式，可以对单个屏幕自由开窗、放缩、漫游功能；</w:t>
                  </w:r>
                </w:p>
                <w:p>
                  <w:pPr>
                    <w:pStyle w:val="null3"/>
                  </w:pPr>
                  <w:r>
                    <w:rPr/>
                    <w:t>10.在单屏/拼接屏上显示文字，文字字体、颜色、字符间距、背景色和速度可调节；</w:t>
                  </w:r>
                </w:p>
                <w:p>
                  <w:pPr>
                    <w:pStyle w:val="null3"/>
                  </w:pPr>
                  <w:r>
                    <w:rPr/>
                    <w:t>11.具有移动侦测报警，报警时自动切换到对应视频通道；</w:t>
                  </w:r>
                </w:p>
                <w:p>
                  <w:pPr>
                    <w:pStyle w:val="null3"/>
                  </w:pPr>
                  <w:r>
                    <w:rPr/>
                    <w:t>12.控制巡查图像以及设置巡查图像轮巡显示和编码通道上墙显示；</w:t>
                  </w:r>
                </w:p>
                <w:p>
                  <w:pPr>
                    <w:pStyle w:val="null3"/>
                  </w:pPr>
                  <w:r>
                    <w:rPr/>
                    <w:t>13.可设置多种自定义的巡查轮巡，独立轮巡和组合轮巡，定点轮巡和定长轮巡；</w:t>
                  </w:r>
                </w:p>
                <w:p>
                  <w:pPr>
                    <w:pStyle w:val="null3"/>
                  </w:pPr>
                  <w:r>
                    <w:rPr/>
                    <w:t>14.具备控制拉取图像和载入与保存方案等功能，可支持多种不同方案;支持拉取不同巡查图像，并设置巡查轮巡、屏幕融合、屏幕分割模式方案的功能；</w:t>
                  </w:r>
                </w:p>
                <w:p>
                  <w:pPr>
                    <w:pStyle w:val="null3"/>
                  </w:pPr>
                  <w:r>
                    <w:rPr/>
                    <w:t>15.具备巡查云台设置方向、焦距、步长、自动旋转、左右边界以及预置点等功能；</w:t>
                  </w:r>
                </w:p>
                <w:p>
                  <w:pPr>
                    <w:pStyle w:val="null3"/>
                  </w:pPr>
                  <w:r>
                    <w:rPr/>
                    <w:t>16.具有视频丢失检测报警功能，系统自诊断功能和网络中断报警，电视墙主机可以接收到平台发出的各种报警信息；</w:t>
                  </w:r>
                </w:p>
                <w:p>
                  <w:pPr>
                    <w:pStyle w:val="null3"/>
                  </w:pPr>
                  <w:r>
                    <w:rPr/>
                    <w:t>17.通过辅助工具生成历史数据，并可手动导入；</w:t>
                  </w:r>
                </w:p>
                <w:p>
                  <w:pPr>
                    <w:pStyle w:val="null3"/>
                  </w:pPr>
                  <w:r>
                    <w:rPr/>
                    <w:t>18.对历史刷新以及导入的列表可以进行模糊搜索、精确定位；</w:t>
                  </w:r>
                </w:p>
                <w:p>
                  <w:pPr>
                    <w:pStyle w:val="null3"/>
                  </w:pPr>
                  <w:r>
                    <w:rPr/>
                    <w:t>19.具备视频预览功能；</w:t>
                  </w:r>
                </w:p>
              </w:tc>
              <w:tc>
                <w:tcPr>
                  <w:tcW w:type="dxa" w:w="365"/>
                </w:tcPr>
                <w:p>
                  <w:pPr>
                    <w:pStyle w:val="null3"/>
                  </w:pPr>
                  <w:r>
                    <w:rPr/>
                    <w:t>台</w:t>
                  </w:r>
                </w:p>
              </w:tc>
              <w:tc>
                <w:tcPr>
                  <w:tcW w:type="dxa" w:w="365"/>
                </w:tcPr>
                <w:p>
                  <w:pPr>
                    <w:pStyle w:val="null3"/>
                  </w:pPr>
                  <w:r>
                    <w:rPr/>
                    <w:t>1</w:t>
                  </w:r>
                </w:p>
              </w:tc>
              <w:tc>
                <w:tcPr>
                  <w:tcW w:type="dxa" w:w="365"/>
                </w:tcPr>
                <w:p>
                  <w:pPr>
                    <w:pStyle w:val="null3"/>
                  </w:pPr>
                  <w:r>
                    <w:rPr/>
                    <w:t>12路解码输出</w:t>
                  </w:r>
                </w:p>
              </w:tc>
            </w:tr>
            <w:tr>
              <w:tc>
                <w:tcPr>
                  <w:tcW w:type="dxa" w:w="365"/>
                </w:tcPr>
                <w:p>
                  <w:pPr>
                    <w:pStyle w:val="null3"/>
                  </w:pPr>
                  <w:r>
                    <w:rPr/>
                    <w:t>4</w:t>
                  </w:r>
                </w:p>
              </w:tc>
              <w:tc>
                <w:tcPr>
                  <w:tcW w:type="dxa" w:w="365"/>
                  <w:vMerge/>
                </w:tcPr>
                <w:p/>
              </w:tc>
              <w:tc>
                <w:tcPr>
                  <w:tcW w:type="dxa" w:w="365"/>
                </w:tcPr>
                <w:p>
                  <w:pPr>
                    <w:pStyle w:val="null3"/>
                  </w:pPr>
                  <w:r>
                    <w:rPr/>
                    <w:t>高清网上巡查客户端软件</w:t>
                  </w:r>
                </w:p>
              </w:tc>
              <w:tc>
                <w:tcPr>
                  <w:tcW w:type="dxa" w:w="365"/>
                </w:tcPr>
                <w:p>
                  <w:pPr>
                    <w:pStyle w:val="null3"/>
                  </w:pPr>
                  <w:r>
                    <w:rPr/>
                    <w:t>1、符合《国家教育考试网上巡查系统视频标准技术规范（2017版）》；</w:t>
                  </w:r>
                </w:p>
                <w:p>
                  <w:pPr>
                    <w:pStyle w:val="null3"/>
                  </w:pPr>
                  <w:r>
                    <w:rPr/>
                    <w:t>2、具备视频监控管理：提供视频源列表、视频预览、预案播放、轮巡播放等多种方式选择视频源，播放视频；</w:t>
                  </w:r>
                </w:p>
                <w:p>
                  <w:pPr>
                    <w:pStyle w:val="null3"/>
                  </w:pPr>
                  <w:r>
                    <w:rPr/>
                    <w:t>3、具备资源管理，统一配置系统资源，如设备、通道、区域等；</w:t>
                  </w:r>
                </w:p>
                <w:p>
                  <w:pPr>
                    <w:pStyle w:val="null3"/>
                  </w:pPr>
                  <w:r>
                    <w:rPr/>
                    <w:t>4、具有录像的查询、回放、下载功能；</w:t>
                  </w:r>
                </w:p>
                <w:p>
                  <w:pPr>
                    <w:pStyle w:val="null3"/>
                  </w:pPr>
                  <w:r>
                    <w:rPr/>
                    <w:t>5、具备多路视频源拼接、1/4/9/16/36多画面输出显示；</w:t>
                  </w:r>
                </w:p>
                <w:p>
                  <w:pPr>
                    <w:pStyle w:val="null3"/>
                  </w:pPr>
                  <w:r>
                    <w:rPr/>
                    <w:t>6、具备H.264、MPEG4视频编码格式，具备G.711、ACC音频编码格式，具备PS、TS视频格式的封装；</w:t>
                  </w:r>
                </w:p>
                <w:p>
                  <w:pPr>
                    <w:pStyle w:val="null3"/>
                  </w:pPr>
                  <w:r>
                    <w:rPr/>
                    <w:t>7、具有TCP/IP、SIP、RTP、RTCP、DHCP、PPPOE等网络协议设置选项；</w:t>
                  </w:r>
                </w:p>
                <w:p>
                  <w:pPr>
                    <w:pStyle w:val="null3"/>
                  </w:pPr>
                  <w:r>
                    <w:rPr/>
                    <w:t>8、具备组播、分发或广播的方式将音视频流转发给用户；</w:t>
                  </w:r>
                </w:p>
                <w:p>
                  <w:pPr>
                    <w:pStyle w:val="null3"/>
                  </w:pPr>
                  <w:r>
                    <w:rPr/>
                    <w:t>9、具备视频预览，指定的节目源可实现音视频预览，具备分屏模式切换，支持轮巡预览，支持全屏预览；</w:t>
                  </w:r>
                </w:p>
                <w:p>
                  <w:pPr>
                    <w:pStyle w:val="null3"/>
                  </w:pPr>
                  <w:r>
                    <w:rPr/>
                    <w:t>10、具备网络拥塞控制，具备视频传输优先级控制；</w:t>
                  </w:r>
                </w:p>
                <w:p>
                  <w:pPr>
                    <w:pStyle w:val="null3"/>
                  </w:pPr>
                  <w:r>
                    <w:rPr/>
                    <w:t>11、具备对设备运行状态进行实时检测，对上级平台的注册状态实时检测；</w:t>
                  </w:r>
                </w:p>
                <w:p>
                  <w:pPr>
                    <w:pStyle w:val="null3"/>
                  </w:pPr>
                  <w:r>
                    <w:rPr/>
                    <w:t>12、具备考场管理功能，可创建、编辑、批量导入考场信息：具备物理考场、逻辑考场信息匹配；</w:t>
                  </w:r>
                </w:p>
                <w:p>
                  <w:pPr>
                    <w:pStyle w:val="null3"/>
                  </w:pPr>
                  <w:r>
                    <w:rPr/>
                    <w:t>13、具备国家、省、考点等多级转发，分布式部署模式，能满足上级平台对下级平台进行音视频图像调取。</w:t>
                  </w:r>
                </w:p>
              </w:tc>
              <w:tc>
                <w:tcPr>
                  <w:tcW w:type="dxa" w:w="365"/>
                </w:tcPr>
                <w:p>
                  <w:pPr>
                    <w:pStyle w:val="null3"/>
                  </w:pPr>
                  <w:r>
                    <w:rPr/>
                    <w:t>套</w:t>
                  </w:r>
                </w:p>
              </w:tc>
              <w:tc>
                <w:tcPr>
                  <w:tcW w:type="dxa" w:w="365"/>
                </w:tcPr>
                <w:p>
                  <w:pPr>
                    <w:pStyle w:val="null3"/>
                  </w:pPr>
                  <w:r>
                    <w:rPr/>
                    <w:t>1</w:t>
                  </w:r>
                </w:p>
              </w:tc>
              <w:tc>
                <w:tcPr>
                  <w:tcW w:type="dxa" w:w="365"/>
                </w:tcPr>
                <w:p>
                  <w:pPr>
                    <w:pStyle w:val="null3"/>
                  </w:pPr>
                  <w:r>
                    <w:rPr/>
                    <w:t xml:space="preserve"> </w:t>
                  </w:r>
                </w:p>
              </w:tc>
            </w:tr>
            <w:tr>
              <w:tc>
                <w:tcPr>
                  <w:tcW w:type="dxa" w:w="365"/>
                </w:tcPr>
                <w:p>
                  <w:pPr>
                    <w:pStyle w:val="null3"/>
                  </w:pPr>
                  <w:r>
                    <w:rPr/>
                    <w:t>5</w:t>
                  </w:r>
                </w:p>
              </w:tc>
              <w:tc>
                <w:tcPr>
                  <w:tcW w:type="dxa" w:w="365"/>
                </w:tcPr>
                <w:p>
                  <w:pPr>
                    <w:pStyle w:val="null3"/>
                  </w:pPr>
                  <w:r>
                    <w:rPr/>
                    <w:t>高清网上巡查系统</w:t>
                  </w:r>
                </w:p>
              </w:tc>
              <w:tc>
                <w:tcPr>
                  <w:tcW w:type="dxa" w:w="365"/>
                </w:tcPr>
                <w:p>
                  <w:pPr>
                    <w:pStyle w:val="null3"/>
                  </w:pPr>
                  <w:r>
                    <w:rPr/>
                    <w:t>管理服务器</w:t>
                  </w:r>
                </w:p>
              </w:tc>
              <w:tc>
                <w:tcPr>
                  <w:tcW w:type="dxa" w:w="365"/>
                </w:tcPr>
                <w:p>
                  <w:pPr>
                    <w:pStyle w:val="null3"/>
                  </w:pPr>
                  <w:r>
                    <w:rPr/>
                    <w:t>1、符合《国家教育考试网上巡查系统视频标准技术规范（2017版）》；</w:t>
                  </w:r>
                </w:p>
                <w:p>
                  <w:pPr>
                    <w:pStyle w:val="null3"/>
                  </w:pPr>
                  <w:r>
                    <w:rPr/>
                    <w:t>2、符合《GB/T28181－2022〈公共安全视频监控联网系统信息传输、交换、控制技术要求〉》；</w:t>
                  </w:r>
                </w:p>
                <w:p>
                  <w:pPr>
                    <w:pStyle w:val="null3"/>
                  </w:pPr>
                  <w:r>
                    <w:rPr/>
                    <w:t>3、服务器应包含信令转发服务和媒体流转发服务；</w:t>
                  </w:r>
                </w:p>
                <w:p>
                  <w:pPr>
                    <w:pStyle w:val="null3"/>
                  </w:pPr>
                  <w:r>
                    <w:rPr/>
                    <w:t>4、具备标准SIP2.0，支持SIP地址解析、信令转发、路由、NAT穿透功能；</w:t>
                  </w:r>
                </w:p>
                <w:p>
                  <w:pPr>
                    <w:pStyle w:val="null3"/>
                  </w:pPr>
                  <w:r>
                    <w:rPr/>
                    <w:t>5、具备SIP URI统一命名规则、分级命名；支持SIP URI组、用户、树形列表管理；</w:t>
                  </w:r>
                </w:p>
                <w:p>
                  <w:pPr>
                    <w:pStyle w:val="null3"/>
                  </w:pPr>
                  <w:r>
                    <w:rPr/>
                    <w:t>6、具备SIP终端设备的接入认证、远程访问权限控制、远程呼叫过程控制；</w:t>
                  </w:r>
                </w:p>
                <w:p>
                  <w:pPr>
                    <w:pStyle w:val="null3"/>
                  </w:pPr>
                  <w:r>
                    <w:rPr/>
                    <w:t>7、具备多级注册，支持媒体流的汇聚；</w:t>
                  </w:r>
                </w:p>
                <w:p>
                  <w:pPr>
                    <w:pStyle w:val="null3"/>
                  </w:pPr>
                  <w:r>
                    <w:rPr/>
                    <w:t>8、具备摄像机、存储设备、解码设备的添加、注册及管理。</w:t>
                  </w:r>
                </w:p>
                <w:p>
                  <w:pPr>
                    <w:pStyle w:val="null3"/>
                  </w:pPr>
                  <w:r>
                    <w:rPr/>
                    <w:t>9、具备OSD手动及自动批量配置，具备OSD考前下发、考后还原；</w:t>
                  </w:r>
                </w:p>
                <w:p>
                  <w:pPr>
                    <w:pStyle w:val="null3"/>
                  </w:pPr>
                  <w:r>
                    <w:rPr/>
                    <w:t>10、具备H.264、MPEG4视频编码格式，支持G.711、ACC音频编码格式，支持PS、TS视频格式的封装；</w:t>
                  </w:r>
                </w:p>
                <w:p>
                  <w:pPr>
                    <w:pStyle w:val="null3"/>
                  </w:pPr>
                  <w:r>
                    <w:rPr/>
                    <w:t>11、可对摄像机的存储卡进行检测及格式化；</w:t>
                  </w:r>
                </w:p>
                <w:p>
                  <w:pPr>
                    <w:pStyle w:val="null3"/>
                  </w:pPr>
                  <w:r>
                    <w:rPr/>
                    <w:t>12、具备音视频实时点播，可对监控设备远程控制（录像、回放、检索等）；</w:t>
                  </w:r>
                </w:p>
                <w:p>
                  <w:pPr>
                    <w:pStyle w:val="null3"/>
                  </w:pPr>
                  <w:r>
                    <w:rPr/>
                    <w:t>13、具备外接GPS/北斗授时模块；</w:t>
                  </w:r>
                </w:p>
                <w:p>
                  <w:pPr>
                    <w:pStyle w:val="null3"/>
                  </w:pPr>
                  <w:r>
                    <w:rPr/>
                    <w:t>14、硬件配置应满足：CPU≥3.0GHz，内存＞8GB，硬盘≥1TB。</w:t>
                  </w:r>
                </w:p>
              </w:tc>
              <w:tc>
                <w:tcPr>
                  <w:tcW w:type="dxa" w:w="365"/>
                </w:tcPr>
                <w:p>
                  <w:pPr>
                    <w:pStyle w:val="null3"/>
                  </w:pPr>
                  <w:r>
                    <w:rPr/>
                    <w:t>台</w:t>
                  </w:r>
                </w:p>
              </w:tc>
              <w:tc>
                <w:tcPr>
                  <w:tcW w:type="dxa" w:w="365"/>
                </w:tcPr>
                <w:p>
                  <w:pPr>
                    <w:pStyle w:val="null3"/>
                  </w:pPr>
                  <w:r>
                    <w:rPr/>
                    <w:t>1</w:t>
                  </w:r>
                </w:p>
              </w:tc>
              <w:tc>
                <w:tcPr>
                  <w:tcW w:type="dxa" w:w="365"/>
                </w:tcPr>
                <w:p>
                  <w:pPr>
                    <w:pStyle w:val="null3"/>
                  </w:pPr>
                  <w:r>
                    <w:rPr/>
                    <w:t xml:space="preserve"> </w:t>
                  </w:r>
                </w:p>
              </w:tc>
            </w:tr>
            <w:tr>
              <w:tc>
                <w:tcPr>
                  <w:tcW w:type="dxa" w:w="2555"/>
                  <w:gridSpan w:val="7"/>
                </w:tcPr>
                <w:p>
                  <w:pPr>
                    <w:pStyle w:val="null3"/>
                  </w:pPr>
                  <w:r>
                    <w:rPr/>
                    <w:t>作弊防控系统</w:t>
                  </w:r>
                </w:p>
              </w:tc>
            </w:tr>
            <w:tr>
              <w:tc>
                <w:tcPr>
                  <w:tcW w:type="dxa" w:w="365"/>
                </w:tcPr>
                <w:p>
                  <w:pPr>
                    <w:pStyle w:val="null3"/>
                  </w:pPr>
                  <w:r>
                    <w:rPr/>
                    <w:t>6</w:t>
                  </w:r>
                </w:p>
              </w:tc>
              <w:tc>
                <w:tcPr>
                  <w:tcW w:type="dxa" w:w="365"/>
                  <w:vMerge w:val="restart"/>
                </w:tcPr>
                <w:p>
                  <w:pPr>
                    <w:pStyle w:val="null3"/>
                  </w:pPr>
                  <w:r>
                    <w:rPr/>
                    <w:t>作弊防控系统</w:t>
                  </w:r>
                </w:p>
              </w:tc>
              <w:tc>
                <w:tcPr>
                  <w:tcW w:type="dxa" w:w="365"/>
                </w:tcPr>
                <w:p>
                  <w:pPr>
                    <w:pStyle w:val="null3"/>
                  </w:pPr>
                  <w:r>
                    <w:rPr/>
                    <w:t>安检门</w:t>
                  </w:r>
                </w:p>
              </w:tc>
              <w:tc>
                <w:tcPr>
                  <w:tcW w:type="dxa" w:w="365"/>
                </w:tcPr>
                <w:p>
                  <w:pPr>
                    <w:pStyle w:val="null3"/>
                  </w:pPr>
                  <w:r>
                    <w:rPr/>
                    <w:t>1、准确定位：双侧各六个相互重叠的网状金属探测区域，配合大液晶屏幕人体背景图，直观准确定位待测人员携带金属的位置。</w:t>
                  </w:r>
                </w:p>
                <w:p>
                  <w:pPr>
                    <w:pStyle w:val="null3"/>
                  </w:pPr>
                  <w:r>
                    <w:rPr/>
                    <w:t>2、探测灵敏度，符合一类，二类，三类及混合类；</w:t>
                  </w:r>
                </w:p>
                <w:p>
                  <w:pPr>
                    <w:pStyle w:val="null3"/>
                  </w:pPr>
                  <w:r>
                    <w:rPr/>
                    <w:t>3、超强抗干扰性能：安检门周围5cm内存在大块金属情况下，设备仍然能够正常检测；</w:t>
                  </w:r>
                </w:p>
                <w:p>
                  <w:pPr>
                    <w:pStyle w:val="null3"/>
                  </w:pPr>
                  <w:r>
                    <w:rPr/>
                    <w:t>4、检测结果无线实时手机推送功能：可通过微信小程序实时查看当前检测信息，包含金属报警信息，温度检测数据等；</w:t>
                  </w:r>
                </w:p>
                <w:p>
                  <w:pPr>
                    <w:pStyle w:val="null3"/>
                  </w:pPr>
                  <w:r>
                    <w:rPr/>
                    <w:t>5、手机无线遥控功能：可通过手机小程序对设备参数进行设置，包括设置金属检测灵敏度等；</w:t>
                  </w:r>
                </w:p>
                <w:p>
                  <w:pPr>
                    <w:pStyle w:val="null3"/>
                  </w:pPr>
                  <w:r>
                    <w:rPr/>
                    <w:t>6、休眠功能：用户可设定休眠时间，当设备达到休眠时间后，会自动进入低功耗模式。</w:t>
                  </w:r>
                </w:p>
                <w:p>
                  <w:pPr>
                    <w:pStyle w:val="null3"/>
                  </w:pPr>
                  <w:r>
                    <w:rPr/>
                    <w:t>7、金属量指示功能：10.1寸液晶屏幕能够通过能量柱指示当前检测到的金属量；</w:t>
                  </w:r>
                </w:p>
                <w:p>
                  <w:pPr>
                    <w:pStyle w:val="null3"/>
                  </w:pPr>
                  <w:r>
                    <w:rPr/>
                    <w:t>8、自学习功能：当选择某一特定目标金属作为学习对象进行记录后，后续金属量大于该测试物，设备报警，否则设备不报警。</w:t>
                  </w:r>
                </w:p>
                <w:p>
                  <w:pPr>
                    <w:pStyle w:val="null3"/>
                  </w:pPr>
                  <w:r>
                    <w:rPr/>
                    <w:t>9、最低探测高度：离地2cm处用直径20mm铁球作为测试物，以1米每秒速度通过安检门，设备报警。</w:t>
                  </w:r>
                </w:p>
                <w:p>
                  <w:pPr>
                    <w:pStyle w:val="null3"/>
                  </w:pPr>
                  <w:r>
                    <w:rPr/>
                    <w:t>10、弱磁场发射技术：符合当前所有采用的国际安全标准，采用弱磁场技术，对心脏起博器佩带者、孕妇、软盘、胶卷、录像带等无损害。</w:t>
                  </w:r>
                </w:p>
                <w:p>
                  <w:pPr>
                    <w:pStyle w:val="null3"/>
                  </w:pPr>
                  <w:r>
                    <w:rPr/>
                    <w:t>11、可以进行人体体温探测，语音播报。</w:t>
                  </w:r>
                </w:p>
                <w:p>
                  <w:pPr>
                    <w:pStyle w:val="null3"/>
                  </w:pPr>
                  <w:r>
                    <w:rPr/>
                    <w:t>12、信号频率：6-9KHz（可调）</w:t>
                  </w:r>
                </w:p>
                <w:p>
                  <w:pPr>
                    <w:pStyle w:val="null3"/>
                  </w:pPr>
                  <w:r>
                    <w:rPr/>
                    <w:t>13、设备可以通过显示对应区位报警。</w:t>
                  </w:r>
                </w:p>
                <w:p>
                  <w:pPr>
                    <w:pStyle w:val="null3"/>
                  </w:pPr>
                  <w:r>
                    <w:rPr/>
                    <w:t>14、灵敏度等级：≥4000级。</w:t>
                  </w:r>
                </w:p>
                <w:p>
                  <w:pPr>
                    <w:pStyle w:val="null3"/>
                  </w:pPr>
                  <w:r>
                    <w:rPr/>
                    <w:t>15、具备飞物报警功能。</w:t>
                  </w:r>
                </w:p>
                <w:p>
                  <w:pPr>
                    <w:pStyle w:val="null3"/>
                  </w:pPr>
                  <w:r>
                    <w:rPr/>
                    <w:t>16、单区，多区切换：支持单区位，多区模式切换功能。最大18区。</w:t>
                  </w:r>
                </w:p>
                <w:p>
                  <w:pPr>
                    <w:pStyle w:val="null3"/>
                  </w:pPr>
                  <w:r>
                    <w:rPr/>
                    <w:t>17、抗静止金属物影响：1）、抗周围静止金属物影响：设备探测性能应不受门体四周1m范围以外的大静止金属物体的影响；</w:t>
                  </w:r>
                </w:p>
                <w:p>
                  <w:pPr>
                    <w:pStyle w:val="null3"/>
                  </w:pPr>
                  <w:r>
                    <w:rPr/>
                    <w:t>2）、抗地面内部金属结构影响：设备性能应不受地面0.1m以下的金属结构的影响。</w:t>
                  </w:r>
                </w:p>
                <w:p>
                  <w:pPr>
                    <w:pStyle w:val="null3"/>
                  </w:pPr>
                  <w:r>
                    <w:rPr/>
                    <w:t>18、检测模式切换：设备具有有色金属探测模式和黑色金属探测模式。</w:t>
                  </w:r>
                </w:p>
                <w:p>
                  <w:pPr>
                    <w:pStyle w:val="null3"/>
                  </w:pPr>
                  <w:r>
                    <w:rPr/>
                    <w:t>19、测温时间：少于等于1.0s。</w:t>
                  </w:r>
                </w:p>
                <w:p>
                  <w:pPr>
                    <w:pStyle w:val="null3"/>
                  </w:pPr>
                  <w:r>
                    <w:rPr/>
                    <w:t>20、测温功能：测温示值精确到小数点后2位小数。手机检测模式：设备可设置手机检测模式,灵敏度设置为0-4000，排除钥匙，皮带扣，硬币, 手表小金属物，用手机通过门对应区位报警。</w:t>
                  </w:r>
                </w:p>
              </w:tc>
              <w:tc>
                <w:tcPr>
                  <w:tcW w:type="dxa" w:w="365"/>
                </w:tcPr>
                <w:p>
                  <w:pPr>
                    <w:pStyle w:val="null3"/>
                  </w:pPr>
                  <w:r>
                    <w:rPr/>
                    <w:t>台</w:t>
                  </w:r>
                </w:p>
              </w:tc>
              <w:tc>
                <w:tcPr>
                  <w:tcW w:type="dxa" w:w="365"/>
                </w:tcPr>
                <w:p>
                  <w:pPr>
                    <w:pStyle w:val="null3"/>
                  </w:pPr>
                  <w:r>
                    <w:rPr/>
                    <w:t>4</w:t>
                  </w:r>
                </w:p>
              </w:tc>
              <w:tc>
                <w:tcPr>
                  <w:tcW w:type="dxa" w:w="365"/>
                </w:tcPr>
                <w:p>
                  <w:pPr>
                    <w:pStyle w:val="null3"/>
                  </w:pPr>
                  <w:r>
                    <w:rPr/>
                    <w:t xml:space="preserve"> </w:t>
                  </w:r>
                </w:p>
              </w:tc>
            </w:tr>
            <w:tr>
              <w:tc>
                <w:tcPr>
                  <w:tcW w:type="dxa" w:w="365"/>
                </w:tcPr>
                <w:p>
                  <w:pPr>
                    <w:pStyle w:val="null3"/>
                  </w:pPr>
                  <w:r>
                    <w:rPr/>
                    <w:t>7</w:t>
                  </w:r>
                </w:p>
              </w:tc>
              <w:tc>
                <w:tcPr>
                  <w:tcW w:type="dxa" w:w="365"/>
                  <w:vMerge/>
                </w:tcPr>
                <w:p/>
              </w:tc>
              <w:tc>
                <w:tcPr>
                  <w:tcW w:type="dxa" w:w="365"/>
                </w:tcPr>
                <w:p>
                  <w:pPr>
                    <w:pStyle w:val="null3"/>
                  </w:pPr>
                  <w:r>
                    <w:rPr/>
                    <w:t>屏蔽终端</w:t>
                  </w:r>
                </w:p>
              </w:tc>
              <w:tc>
                <w:tcPr>
                  <w:tcW w:type="dxa" w:w="365"/>
                </w:tcPr>
                <w:p>
                  <w:pPr>
                    <w:pStyle w:val="null3"/>
                  </w:pPr>
                  <w:r>
                    <w:rPr/>
                    <w:t>▲1、阻断工作频率：30MHz~5850MHz；</w:t>
                  </w:r>
                </w:p>
                <w:p>
                  <w:pPr>
                    <w:pStyle w:val="null3"/>
                  </w:pPr>
                  <w:r>
                    <w:rPr/>
                    <w:t>▲2、屏蔽功能：应可以屏蔽教室内（-65dBm、室内通透环境下，视周边基站远近）全频段信号。包括运营商的全部2G、3G、4G、5G 手机信号，以及对讲机 U 段、V 段、WIFI（2400MHz-2483.5MHz，5150MHz-5850MHz）、蓝牙、无线隐形耳机、骨传导耳机、Lora、无线数字传输接收工具信号；5G信号全网屏蔽702~798MHz、2515-2675MHz，3300MHz-3600MHz,4800MHz-5000MHz；</w:t>
                  </w:r>
                </w:p>
                <w:p>
                  <w:pPr>
                    <w:pStyle w:val="null3"/>
                  </w:pPr>
                  <w:r>
                    <w:rPr/>
                    <w:t>▲3、预设频点模式：无需侦测引导，可预设置至少25路专业作弊干扰频点（手机信号/WIFI/蓝牙信号除外）进行实时阻断；</w:t>
                  </w:r>
                </w:p>
                <w:p>
                  <w:pPr>
                    <w:pStyle w:val="null3"/>
                  </w:pPr>
                  <w:r>
                    <w:rPr/>
                    <w:t>4、可7*24小时连续工作；</w:t>
                  </w:r>
                </w:p>
                <w:p>
                  <w:pPr>
                    <w:pStyle w:val="null3"/>
                  </w:pPr>
                  <w:r>
                    <w:rPr/>
                    <w:t>5、设备具备状态显示功能；</w:t>
                  </w:r>
                </w:p>
                <w:p>
                  <w:pPr>
                    <w:pStyle w:val="null3"/>
                  </w:pPr>
                  <w:r>
                    <w:rPr/>
                    <w:t>6、阻断方式：采用侦测引导阻断方式，支持平台远程集中控制管理，针对不同区域可实现远程开启与关闭；</w:t>
                  </w:r>
                </w:p>
                <w:p>
                  <w:pPr>
                    <w:pStyle w:val="null3"/>
                  </w:pPr>
                  <w:r>
                    <w:rPr/>
                    <w:t>7、侦测引导阻断频率范围应为：30MHz-3000MHz，且可扩展；</w:t>
                  </w:r>
                </w:p>
                <w:p>
                  <w:pPr>
                    <w:pStyle w:val="null3"/>
                  </w:pPr>
                  <w:r>
                    <w:rPr/>
                    <w:t>8、数据接口RJ45，10M/100M，支持TCP/IP协议和UDP广播/组播协议，具备联网能力；</w:t>
                  </w:r>
                </w:p>
                <w:p>
                  <w:pPr>
                    <w:pStyle w:val="null3"/>
                  </w:pPr>
                  <w:r>
                    <w:rPr/>
                    <w:t>9、具备对所辖系统内阻断设备软件进行集中批量升级；</w:t>
                  </w:r>
                </w:p>
                <w:p>
                  <w:pPr>
                    <w:pStyle w:val="null3"/>
                  </w:pPr>
                  <w:r>
                    <w:rPr/>
                    <w:t>10、具有智能控制系统平台，可多级、远程联网统一集中控制；</w:t>
                  </w:r>
                </w:p>
                <w:p>
                  <w:pPr>
                    <w:pStyle w:val="null3"/>
                  </w:pPr>
                  <w:r>
                    <w:rPr/>
                    <w:t>11、具备平台远程集中控制管理，针对不同区域系统软件可实现阻断终端远程电源开关及监测各天线模块在线离线状态；</w:t>
                  </w:r>
                </w:p>
                <w:p>
                  <w:pPr>
                    <w:pStyle w:val="null3"/>
                  </w:pPr>
                  <w:r>
                    <w:rPr/>
                    <w:t>12、符合GB8702-2014《电磁环境控制限值》；</w:t>
                  </w:r>
                </w:p>
                <w:p>
                  <w:pPr>
                    <w:pStyle w:val="null3"/>
                  </w:pPr>
                  <w:r>
                    <w:rPr/>
                    <w:t>13、符合GB3096-2008 《声环境质量标准》。</w:t>
                  </w:r>
                </w:p>
              </w:tc>
              <w:tc>
                <w:tcPr>
                  <w:tcW w:type="dxa" w:w="365"/>
                </w:tcPr>
                <w:p>
                  <w:pPr>
                    <w:pStyle w:val="null3"/>
                  </w:pPr>
                  <w:r>
                    <w:rPr/>
                    <w:t>台</w:t>
                  </w:r>
                </w:p>
              </w:tc>
              <w:tc>
                <w:tcPr>
                  <w:tcW w:type="dxa" w:w="365"/>
                </w:tcPr>
                <w:p>
                  <w:pPr>
                    <w:pStyle w:val="null3"/>
                  </w:pPr>
                  <w:r>
                    <w:rPr/>
                    <w:t>196</w:t>
                  </w:r>
                </w:p>
              </w:tc>
              <w:tc>
                <w:tcPr>
                  <w:tcW w:type="dxa" w:w="365"/>
                </w:tcPr>
                <w:p>
                  <w:pPr>
                    <w:pStyle w:val="null3"/>
                  </w:pPr>
                  <w:r>
                    <w:rPr/>
                    <w:t>每个考场1台，196台</w:t>
                  </w:r>
                </w:p>
              </w:tc>
            </w:tr>
            <w:tr>
              <w:tc>
                <w:tcPr>
                  <w:tcW w:type="dxa" w:w="365"/>
                </w:tcPr>
                <w:p>
                  <w:pPr>
                    <w:pStyle w:val="null3"/>
                  </w:pPr>
                  <w:r>
                    <w:rPr/>
                    <w:t>8</w:t>
                  </w:r>
                </w:p>
              </w:tc>
              <w:tc>
                <w:tcPr>
                  <w:tcW w:type="dxa" w:w="365"/>
                  <w:vMerge w:val="restart"/>
                </w:tcPr>
                <w:p>
                  <w:pPr>
                    <w:pStyle w:val="null3"/>
                  </w:pPr>
                  <w:r>
                    <w:rPr/>
                    <w:t>作弊防控系统</w:t>
                  </w:r>
                </w:p>
              </w:tc>
              <w:tc>
                <w:tcPr>
                  <w:tcW w:type="dxa" w:w="365"/>
                </w:tcPr>
                <w:p>
                  <w:pPr>
                    <w:pStyle w:val="null3"/>
                  </w:pPr>
                  <w:r>
                    <w:rPr/>
                    <w:t>侦测服务器</w:t>
                  </w:r>
                </w:p>
              </w:tc>
              <w:tc>
                <w:tcPr>
                  <w:tcW w:type="dxa" w:w="365"/>
                </w:tcPr>
                <w:p>
                  <w:pPr>
                    <w:pStyle w:val="null3"/>
                  </w:pPr>
                  <w:r>
                    <w:rPr/>
                    <w:t>▲1、侦测频率范围应覆盖30MHz~3600MHz（可扩展）；</w:t>
                  </w:r>
                </w:p>
                <w:p>
                  <w:pPr>
                    <w:pStyle w:val="null3"/>
                  </w:pPr>
                  <w:r>
                    <w:rPr/>
                    <w:t>2、侦测引导阻断频率范围应覆盖50MHz~3000MHz（可扩展）；</w:t>
                  </w:r>
                </w:p>
                <w:p>
                  <w:pPr>
                    <w:pStyle w:val="null3"/>
                  </w:pPr>
                  <w:r>
                    <w:rPr/>
                    <w:t>3、信号采集还原：对语音和数传类作弊设备发射的作弊信号进行采集还原，语音作弊设备包括：对讲机、TK3等，数传作弊设备包括A2、TC TOP（LORA扩频信号）、FSK、AM、FM；支持自动保存捕获信号文件和还原内容生成；</w:t>
                  </w:r>
                </w:p>
                <w:p>
                  <w:pPr>
                    <w:pStyle w:val="null3"/>
                  </w:pPr>
                  <w:r>
                    <w:rPr/>
                    <w:t>4、考试计划：能够设置考试计划、具备无人值守式侦测引导阻断工作模式；</w:t>
                  </w:r>
                </w:p>
                <w:p>
                  <w:pPr>
                    <w:pStyle w:val="null3"/>
                  </w:pPr>
                  <w:r>
                    <w:rPr/>
                    <w:t>5、信号侦测：能够完成无线电信号实时侦测、可疑信号自动采集和自动引导阻断；</w:t>
                  </w:r>
                </w:p>
                <w:p>
                  <w:pPr>
                    <w:pStyle w:val="null3"/>
                  </w:pPr>
                  <w:r>
                    <w:rPr/>
                    <w:t>6、多通道设计：采用多通道设计，可对信号进行实时侦测和对可疑作弊信号采集并还原，信号还原对侦测和阻断无影响；</w:t>
                  </w:r>
                </w:p>
                <w:p>
                  <w:pPr>
                    <w:pStyle w:val="null3"/>
                  </w:pPr>
                  <w:r>
                    <w:rPr/>
                    <w:t>7、实时监听：可进行采集并还原，信号还原对侦测和阻断无影响；在持续开展频谱扫描和侦测引导阻断的同时能够对语音作弊信号进行实时监听；</w:t>
                  </w:r>
                </w:p>
                <w:p>
                  <w:pPr>
                    <w:pStyle w:val="null3"/>
                  </w:pPr>
                  <w:r>
                    <w:rPr/>
                    <w:t>8、黑白名单：能够设置黑白名单：设置黑名单时对应黑名单信号一旦出现即优先引导阻断器进行阻断。可根据考务等工作需要自定义白名单频点（频段），其通信不受系统影响；</w:t>
                  </w:r>
                </w:p>
                <w:p>
                  <w:pPr>
                    <w:pStyle w:val="null3"/>
                  </w:pPr>
                  <w:r>
                    <w:rPr/>
                    <w:t>9、安全加密：作弊信号答案文件存储和传输时均应经过加密处理，文件脱离本系统后采用通用播放工具无法正确播放，保证涉密数据安全；</w:t>
                  </w:r>
                </w:p>
                <w:p>
                  <w:pPr>
                    <w:pStyle w:val="null3"/>
                  </w:pPr>
                  <w:r>
                    <w:rPr/>
                    <w:t>频谱显示：能够实时显示侦测频率范围内的频谱图，具有频谱显示放大缩小、测量频率与强度等操作；</w:t>
                  </w:r>
                </w:p>
                <w:p>
                  <w:pPr>
                    <w:pStyle w:val="null3"/>
                  </w:pPr>
                  <w:r>
                    <w:rPr/>
                    <w:t>10、具备平台远程管理，可对可疑作弊信号频点信息的平台上传及管理；</w:t>
                  </w:r>
                </w:p>
                <w:p>
                  <w:pPr>
                    <w:pStyle w:val="null3"/>
                  </w:pPr>
                  <w:r>
                    <w:rPr/>
                    <w:t>11、作弊信号还原方式，采用信号宽窄带同步工作的双通道设计，信号侦测引导阻断同时对可疑作弊信号进行采集和还原，信号还原对侦测和阻断无影响；</w:t>
                  </w:r>
                </w:p>
                <w:p>
                  <w:pPr>
                    <w:pStyle w:val="null3"/>
                  </w:pPr>
                  <w:r>
                    <w:rPr/>
                    <w:t>12、数据接口RJ45，支持TCP/IP协议和UDP广播/组播协议，具备联网能力。</w:t>
                  </w:r>
                </w:p>
              </w:tc>
              <w:tc>
                <w:tcPr>
                  <w:tcW w:type="dxa" w:w="365"/>
                </w:tcPr>
                <w:p>
                  <w:pPr>
                    <w:pStyle w:val="null3"/>
                  </w:pPr>
                  <w:r>
                    <w:rPr/>
                    <w:t>台</w:t>
                  </w:r>
                </w:p>
              </w:tc>
              <w:tc>
                <w:tcPr>
                  <w:tcW w:type="dxa" w:w="365"/>
                </w:tcPr>
                <w:p>
                  <w:pPr>
                    <w:pStyle w:val="null3"/>
                  </w:pPr>
                  <w:r>
                    <w:rPr/>
                    <w:t>1</w:t>
                  </w:r>
                </w:p>
              </w:tc>
              <w:tc>
                <w:tcPr>
                  <w:tcW w:type="dxa" w:w="365"/>
                </w:tcPr>
                <w:p>
                  <w:pPr>
                    <w:pStyle w:val="null3"/>
                  </w:pPr>
                  <w:r>
                    <w:rPr/>
                    <w:t xml:space="preserve"> </w:t>
                  </w:r>
                </w:p>
              </w:tc>
            </w:tr>
            <w:tr>
              <w:tc>
                <w:tcPr>
                  <w:tcW w:type="dxa" w:w="365"/>
                </w:tcPr>
                <w:p>
                  <w:pPr>
                    <w:pStyle w:val="null3"/>
                  </w:pPr>
                  <w:r>
                    <w:rPr/>
                    <w:t>9</w:t>
                  </w:r>
                </w:p>
              </w:tc>
              <w:tc>
                <w:tcPr>
                  <w:tcW w:type="dxa" w:w="365"/>
                  <w:vMerge/>
                </w:tcPr>
                <w:p/>
              </w:tc>
              <w:tc>
                <w:tcPr>
                  <w:tcW w:type="dxa" w:w="365"/>
                </w:tcPr>
                <w:p>
                  <w:pPr>
                    <w:pStyle w:val="null3"/>
                  </w:pPr>
                  <w:r>
                    <w:rPr/>
                    <w:t>作弊防控系统软件</w:t>
                  </w:r>
                </w:p>
              </w:tc>
              <w:tc>
                <w:tcPr>
                  <w:tcW w:type="dxa" w:w="365"/>
                </w:tcPr>
                <w:p>
                  <w:pPr>
                    <w:pStyle w:val="null3"/>
                  </w:pPr>
                  <w:r>
                    <w:rPr/>
                    <w:t>1、可以监控终端设备进行集中调试、查看和管理，包括远程授权控制、远程开关、批量升级、检测设备在线离线；</w:t>
                  </w:r>
                </w:p>
                <w:p>
                  <w:pPr>
                    <w:pStyle w:val="null3"/>
                  </w:pPr>
                  <w:r>
                    <w:rPr/>
                    <w:t>2、可以对系统设备的运行状态、开关状态、网络情况的信息进行查看；</w:t>
                  </w:r>
                </w:p>
                <w:p>
                  <w:pPr>
                    <w:pStyle w:val="null3"/>
                  </w:pPr>
                  <w:r>
                    <w:rPr/>
                    <w:t>3、具备平台远程开/关屏蔽器；</w:t>
                  </w:r>
                </w:p>
                <w:p>
                  <w:pPr>
                    <w:pStyle w:val="null3"/>
                  </w:pPr>
                  <w:r>
                    <w:rPr/>
                    <w:t>4、具备考前、考中及考后自动工作模式，考试计划开始时系统自动进入工作状态，考试计划结束时系统自动停止工作并关闭相关设备，根据考试计划实现无人值守式管理，各级平台之间应可以进行考试计划同步；</w:t>
                  </w:r>
                </w:p>
                <w:p>
                  <w:pPr>
                    <w:pStyle w:val="null3"/>
                  </w:pPr>
                  <w:r>
                    <w:rPr/>
                    <w:t>5、在语音和数传作弊信号出现后，上级作弊防控管理服务器应可以看到还原内容，并可以呈现信号特征（包括信号类型、还原时间、出现频点）；</w:t>
                  </w:r>
                </w:p>
                <w:p>
                  <w:pPr>
                    <w:pStyle w:val="null3"/>
                  </w:pPr>
                  <w:r>
                    <w:rPr/>
                    <w:t>6、具备黑白名单维护，在专业作弊信号频段内，可以任意设置白名单频点/频段，在设置的频点/频段上不主动发射阻断信号，不干扰其正常通信；可以任意设置黑名单频点，在该频点上作弊信号出现时优先发射阻断信号；</w:t>
                  </w:r>
                </w:p>
                <w:p>
                  <w:pPr>
                    <w:pStyle w:val="null3"/>
                  </w:pPr>
                  <w:r>
                    <w:rPr/>
                    <w:t>7、可以对侦测到的可疑信号和作弊信号进行预警提示；</w:t>
                  </w:r>
                </w:p>
                <w:p>
                  <w:pPr>
                    <w:pStyle w:val="null3"/>
                  </w:pPr>
                  <w:r>
                    <w:rPr/>
                    <w:t>8、文件脱离本系统后采用通用播放工具应无法正确播放；</w:t>
                  </w:r>
                </w:p>
                <w:p>
                  <w:pPr>
                    <w:pStyle w:val="null3"/>
                  </w:pPr>
                  <w:r>
                    <w:rPr/>
                    <w:t>9、可以与上级平台级联，自动下载考试计划，上传作弊信号信息结果，上级平台可以汇总查看下级系统相关信息；</w:t>
                  </w:r>
                </w:p>
                <w:p>
                  <w:pPr>
                    <w:pStyle w:val="null3"/>
                  </w:pPr>
                  <w:r>
                    <w:rPr/>
                    <w:t>10、系统应具备密码登录、用户权限设置功能；</w:t>
                  </w:r>
                </w:p>
                <w:p>
                  <w:pPr>
                    <w:pStyle w:val="null3"/>
                  </w:pPr>
                  <w:r>
                    <w:rPr/>
                    <w:t>11、具备管理员操作日志记录、查询功能。</w:t>
                  </w:r>
                </w:p>
              </w:tc>
              <w:tc>
                <w:tcPr>
                  <w:tcW w:type="dxa" w:w="365"/>
                </w:tcPr>
                <w:p>
                  <w:pPr>
                    <w:pStyle w:val="null3"/>
                  </w:pPr>
                  <w:r>
                    <w:rPr/>
                    <w:t>套</w:t>
                  </w:r>
                </w:p>
              </w:tc>
              <w:tc>
                <w:tcPr>
                  <w:tcW w:type="dxa" w:w="365"/>
                </w:tcPr>
                <w:p>
                  <w:pPr>
                    <w:pStyle w:val="null3"/>
                  </w:pPr>
                  <w:r>
                    <w:rPr/>
                    <w:t>1</w:t>
                  </w:r>
                </w:p>
              </w:tc>
              <w:tc>
                <w:tcPr>
                  <w:tcW w:type="dxa" w:w="365"/>
                </w:tcPr>
                <w:p>
                  <w:pPr>
                    <w:pStyle w:val="null3"/>
                  </w:pPr>
                  <w:r>
                    <w:rPr/>
                    <w:t xml:space="preserve"> </w:t>
                  </w:r>
                </w:p>
              </w:tc>
            </w:tr>
            <w:tr>
              <w:tc>
                <w:tcPr>
                  <w:tcW w:type="dxa" w:w="365"/>
                </w:tcPr>
                <w:p>
                  <w:pPr>
                    <w:pStyle w:val="null3"/>
                  </w:pPr>
                  <w:r>
                    <w:rPr/>
                    <w:t>10</w:t>
                  </w:r>
                </w:p>
              </w:tc>
              <w:tc>
                <w:tcPr>
                  <w:tcW w:type="dxa" w:w="365"/>
                  <w:vMerge/>
                </w:tcPr>
                <w:p/>
              </w:tc>
              <w:tc>
                <w:tcPr>
                  <w:tcW w:type="dxa" w:w="365"/>
                </w:tcPr>
                <w:p>
                  <w:pPr>
                    <w:pStyle w:val="null3"/>
                  </w:pPr>
                  <w:r>
                    <w:rPr/>
                    <w:t>管理服务器</w:t>
                  </w:r>
                </w:p>
              </w:tc>
              <w:tc>
                <w:tcPr>
                  <w:tcW w:type="dxa" w:w="365"/>
                </w:tcPr>
                <w:p>
                  <w:pPr>
                    <w:pStyle w:val="null3"/>
                  </w:pPr>
                  <w:r>
                    <w:rPr/>
                    <w:t>1、用于部署作弊防控系统数据库及管理平台，实现软件相关功能；</w:t>
                  </w:r>
                </w:p>
                <w:p>
                  <w:pPr>
                    <w:pStyle w:val="null3"/>
                  </w:pPr>
                  <w:r>
                    <w:rPr/>
                    <w:t>2、CPU≥2.8GHz（4核及以上），内存＞8GB，硬盘≥1TB。</w:t>
                  </w:r>
                </w:p>
              </w:tc>
              <w:tc>
                <w:tcPr>
                  <w:tcW w:type="dxa" w:w="365"/>
                </w:tcPr>
                <w:p>
                  <w:pPr>
                    <w:pStyle w:val="null3"/>
                  </w:pPr>
                  <w:r>
                    <w:rPr/>
                    <w:t>台</w:t>
                  </w:r>
                </w:p>
              </w:tc>
              <w:tc>
                <w:tcPr>
                  <w:tcW w:type="dxa" w:w="365"/>
                </w:tcPr>
                <w:p>
                  <w:pPr>
                    <w:pStyle w:val="null3"/>
                  </w:pPr>
                  <w:r>
                    <w:rPr/>
                    <w:t>1</w:t>
                  </w:r>
                </w:p>
              </w:tc>
              <w:tc>
                <w:tcPr>
                  <w:tcW w:type="dxa" w:w="365"/>
                </w:tcPr>
                <w:p>
                  <w:pPr>
                    <w:pStyle w:val="null3"/>
                  </w:pPr>
                  <w:r>
                    <w:rPr/>
                    <w:t>与网络时钟系统共用服务器</w:t>
                  </w:r>
                </w:p>
              </w:tc>
            </w:tr>
            <w:tr>
              <w:tc>
                <w:tcPr>
                  <w:tcW w:type="dxa" w:w="2555"/>
                  <w:gridSpan w:val="7"/>
                </w:tcPr>
                <w:p>
                  <w:pPr>
                    <w:pStyle w:val="null3"/>
                  </w:pPr>
                  <w:r>
                    <w:rPr/>
                    <w:t>身份认证系统</w:t>
                  </w:r>
                </w:p>
              </w:tc>
            </w:tr>
            <w:tr>
              <w:tc>
                <w:tcPr>
                  <w:tcW w:type="dxa" w:w="365"/>
                </w:tcPr>
                <w:p>
                  <w:pPr>
                    <w:pStyle w:val="null3"/>
                  </w:pPr>
                  <w:r>
                    <w:rPr/>
                    <w:t>11</w:t>
                  </w:r>
                </w:p>
              </w:tc>
              <w:tc>
                <w:tcPr>
                  <w:tcW w:type="dxa" w:w="365"/>
                  <w:vMerge w:val="restart"/>
                </w:tcPr>
                <w:p>
                  <w:pPr>
                    <w:pStyle w:val="null3"/>
                  </w:pPr>
                  <w:r>
                    <w:rPr/>
                    <w:t>身份认证系统</w:t>
                  </w:r>
                </w:p>
              </w:tc>
              <w:tc>
                <w:tcPr>
                  <w:tcW w:type="dxa" w:w="365"/>
                </w:tcPr>
                <w:p>
                  <w:pPr>
                    <w:pStyle w:val="null3"/>
                  </w:pPr>
                  <w:r>
                    <w:rPr/>
                    <w:t>身份验证终端</w:t>
                  </w:r>
                </w:p>
              </w:tc>
              <w:tc>
                <w:tcPr>
                  <w:tcW w:type="dxa" w:w="365"/>
                </w:tcPr>
                <w:p>
                  <w:pPr>
                    <w:pStyle w:val="null3"/>
                  </w:pPr>
                  <w:r>
                    <w:rPr/>
                    <w:t>1、屏幕尺寸≥8英寸IPS显示屏，分辨率≥1280*800，可触控，文字、图片显示清晰。可视角度≥170°；</w:t>
                  </w:r>
                </w:p>
                <w:p>
                  <w:pPr>
                    <w:pStyle w:val="null3"/>
                  </w:pPr>
                  <w:r>
                    <w:rPr/>
                    <w:t>2、CPU≥4核，主频≥1.8GHz；</w:t>
                  </w:r>
                </w:p>
                <w:p>
                  <w:pPr>
                    <w:pStyle w:val="null3"/>
                  </w:pPr>
                  <w:r>
                    <w:rPr/>
                    <w:t>3、存储：运行内存≥4GB，存储容量≥64GB；</w:t>
                  </w:r>
                </w:p>
                <w:p>
                  <w:pPr>
                    <w:pStyle w:val="null3"/>
                  </w:pPr>
                  <w:r>
                    <w:rPr/>
                    <w:t>▲4、拍照模块：前置≥500w摄像头，具备自动聚焦功能，后置≥800w摄像头，且带有录像功能，能录制考生入场的视频并保存；</w:t>
                  </w:r>
                </w:p>
                <w:p>
                  <w:pPr>
                    <w:pStyle w:val="null3"/>
                  </w:pPr>
                  <w:r>
                    <w:rPr/>
                    <w:t>5、摄像头切换：能够切换不同的摄像头，包括前置、后置；</w:t>
                  </w:r>
                </w:p>
                <w:p>
                  <w:pPr>
                    <w:pStyle w:val="null3"/>
                  </w:pPr>
                  <w:r>
                    <w:rPr/>
                    <w:t>6、具备拍照引导提示功能；</w:t>
                  </w:r>
                </w:p>
                <w:p>
                  <w:pPr>
                    <w:pStyle w:val="null3"/>
                  </w:pPr>
                  <w:r>
                    <w:rPr/>
                    <w:t>▲7、为实现多种数据传输方式，终端应能够扫描并识别综合管理平台下发的二维码；</w:t>
                  </w:r>
                </w:p>
                <w:p>
                  <w:pPr>
                    <w:pStyle w:val="null3"/>
                  </w:pPr>
                  <w:r>
                    <w:rPr/>
                    <w:t>▲8、扬声器：身份认证设备自带扬声器，能够进行语音提示，声音清晰，音量可调，最大音量≥100分贝，且能播报验证认证姓名；</w:t>
                  </w:r>
                </w:p>
                <w:p>
                  <w:pPr>
                    <w:pStyle w:val="null3"/>
                  </w:pPr>
                  <w:r>
                    <w:rPr/>
                    <w:t>▲9、通行指示灯：具有通行颜色光源指示灯，满足在室外环境快速通行的指示要求，至少具有三种颜色指示灯分别表示通过、不通过、需复核；</w:t>
                  </w:r>
                </w:p>
                <w:p>
                  <w:pPr>
                    <w:pStyle w:val="null3"/>
                  </w:pPr>
                  <w:r>
                    <w:rPr/>
                    <w:t>10、供电：采用锂聚合物电池,容量6500mAh，采用电池供电模式时可持续使用10小时以上；</w:t>
                  </w:r>
                </w:p>
                <w:p>
                  <w:pPr>
                    <w:pStyle w:val="null3"/>
                  </w:pPr>
                  <w:r>
                    <w:rPr/>
                    <w:t>11、联网功能：支持WiFi和以太网；</w:t>
                  </w:r>
                </w:p>
                <w:p>
                  <w:pPr>
                    <w:pStyle w:val="null3"/>
                  </w:pPr>
                  <w:r>
                    <w:rPr/>
                    <w:t>12、二代身份证信息采集模块：可读取二代身份证信息，包括姓名、证件照片、指纹信息、证件有效期等。符合公安部《手持式居民身份证阅读器》（GA1153-2014）或符合公安部《台式居民身份证阅读器通用技术要求》（GA450-2013）；</w:t>
                  </w:r>
                </w:p>
                <w:p>
                  <w:pPr>
                    <w:pStyle w:val="null3"/>
                  </w:pPr>
                  <w:r>
                    <w:rPr/>
                    <w:t>13、指纹采集模块：身份认证设备能够采集手指指纹信息，只对活体指纹进行识别。指纹采集器符合公安部GA/T 1011-2012《居民身份证指纹采集器通用技术要求》。</w:t>
                  </w:r>
                </w:p>
                <w:p>
                  <w:pPr>
                    <w:pStyle w:val="null3"/>
                  </w:pPr>
                  <w:r>
                    <w:rPr/>
                    <w:t>▲14、可定时备份数据，如误删除数据，可进行数据恢复；</w:t>
                  </w:r>
                </w:p>
                <w:p>
                  <w:pPr>
                    <w:pStyle w:val="null3"/>
                  </w:pPr>
                  <w:r>
                    <w:rPr/>
                    <w:t>15、断网重传：若身份认证系统上传认证结果时无法接入专网，身份认证系统能够将认证结果保存，待恢复联网后上传；</w:t>
                  </w:r>
                </w:p>
                <w:p>
                  <w:pPr>
                    <w:pStyle w:val="null3"/>
                  </w:pPr>
                  <w:r>
                    <w:rPr/>
                    <w:t>16、项目切换：能够切换不同的项目业务类型；</w:t>
                  </w:r>
                </w:p>
                <w:p>
                  <w:pPr>
                    <w:pStyle w:val="null3"/>
                  </w:pPr>
                  <w:r>
                    <w:rPr/>
                    <w:t>17、缺考管理：能够查看考生签到情况，并对未参加考试的考生进行缺考登记；</w:t>
                  </w:r>
                </w:p>
                <w:p>
                  <w:pPr>
                    <w:pStyle w:val="null3"/>
                  </w:pPr>
                  <w:r>
                    <w:rPr/>
                    <w:t>18、违规违纪管理：能够根据设置的违纪类型记录考生的违纪行为，并进行拍照存证；</w:t>
                  </w:r>
                </w:p>
                <w:p>
                  <w:pPr>
                    <w:pStyle w:val="null3"/>
                  </w:pPr>
                  <w:r>
                    <w:rPr/>
                    <w:t>19、应急上报：能够根据不同类型的应急事件进行原因记录，照片拍摄和上报；</w:t>
                  </w:r>
                </w:p>
                <w:p>
                  <w:pPr>
                    <w:pStyle w:val="null3"/>
                  </w:pPr>
                  <w:r>
                    <w:rPr/>
                    <w:t>20、多种组合模式：具备手持验证方式、立式支架验证方式。</w:t>
                  </w:r>
                </w:p>
              </w:tc>
              <w:tc>
                <w:tcPr>
                  <w:tcW w:type="dxa" w:w="365"/>
                </w:tcPr>
                <w:p>
                  <w:pPr>
                    <w:pStyle w:val="null3"/>
                  </w:pPr>
                  <w:r>
                    <w:rPr/>
                    <w:t>台</w:t>
                  </w:r>
                </w:p>
              </w:tc>
              <w:tc>
                <w:tcPr>
                  <w:tcW w:type="dxa" w:w="365"/>
                </w:tcPr>
                <w:p>
                  <w:pPr>
                    <w:pStyle w:val="null3"/>
                  </w:pPr>
                  <w:r>
                    <w:rPr/>
                    <w:t>10</w:t>
                  </w:r>
                </w:p>
              </w:tc>
              <w:tc>
                <w:tcPr>
                  <w:tcW w:type="dxa" w:w="365"/>
                </w:tcPr>
                <w:p>
                  <w:pPr>
                    <w:pStyle w:val="null3"/>
                  </w:pPr>
                  <w:r>
                    <w:rPr/>
                    <w:t>满足4200名考生30分钟验证入场</w:t>
                  </w:r>
                </w:p>
              </w:tc>
            </w:tr>
            <w:tr>
              <w:tc>
                <w:tcPr>
                  <w:tcW w:type="dxa" w:w="365"/>
                </w:tcPr>
                <w:p>
                  <w:pPr>
                    <w:pStyle w:val="null3"/>
                  </w:pPr>
                  <w:r>
                    <w:rPr/>
                    <w:t>12</w:t>
                  </w:r>
                </w:p>
              </w:tc>
              <w:tc>
                <w:tcPr>
                  <w:tcW w:type="dxa" w:w="365"/>
                  <w:vMerge/>
                </w:tcPr>
                <w:p/>
              </w:tc>
              <w:tc>
                <w:tcPr>
                  <w:tcW w:type="dxa" w:w="365"/>
                </w:tcPr>
                <w:p>
                  <w:pPr>
                    <w:pStyle w:val="null3"/>
                  </w:pPr>
                  <w:r>
                    <w:rPr/>
                    <w:t>身份验证终端支架</w:t>
                  </w:r>
                </w:p>
              </w:tc>
              <w:tc>
                <w:tcPr>
                  <w:tcW w:type="dxa" w:w="365"/>
                </w:tcPr>
                <w:p>
                  <w:pPr>
                    <w:pStyle w:val="null3"/>
                  </w:pPr>
                  <w:r>
                    <w:rPr/>
                    <w:t>标准三角支架。</w:t>
                  </w:r>
                </w:p>
              </w:tc>
              <w:tc>
                <w:tcPr>
                  <w:tcW w:type="dxa" w:w="365"/>
                </w:tcPr>
                <w:p>
                  <w:pPr>
                    <w:pStyle w:val="null3"/>
                  </w:pPr>
                  <w:r>
                    <w:rPr/>
                    <w:t>个</w:t>
                  </w:r>
                </w:p>
              </w:tc>
              <w:tc>
                <w:tcPr>
                  <w:tcW w:type="dxa" w:w="365"/>
                </w:tcPr>
                <w:p>
                  <w:pPr>
                    <w:pStyle w:val="null3"/>
                  </w:pPr>
                  <w:r>
                    <w:rPr/>
                    <w:t>10</w:t>
                  </w:r>
                </w:p>
              </w:tc>
              <w:tc>
                <w:tcPr>
                  <w:tcW w:type="dxa" w:w="365"/>
                </w:tcPr>
                <w:p>
                  <w:pPr>
                    <w:pStyle w:val="null3"/>
                  </w:pPr>
                  <w:r>
                    <w:rPr/>
                    <w:t xml:space="preserve"> </w:t>
                  </w:r>
                </w:p>
              </w:tc>
            </w:tr>
            <w:tr>
              <w:tc>
                <w:tcPr>
                  <w:tcW w:type="dxa" w:w="365"/>
                </w:tcPr>
                <w:p>
                  <w:pPr>
                    <w:pStyle w:val="null3"/>
                  </w:pPr>
                  <w:r>
                    <w:rPr/>
                    <w:t>13</w:t>
                  </w:r>
                </w:p>
              </w:tc>
              <w:tc>
                <w:tcPr>
                  <w:tcW w:type="dxa" w:w="365"/>
                  <w:vMerge w:val="restart"/>
                </w:tcPr>
                <w:p>
                  <w:pPr>
                    <w:pStyle w:val="null3"/>
                  </w:pPr>
                  <w:r>
                    <w:rPr/>
                    <w:t>身份认证系统</w:t>
                  </w:r>
                </w:p>
              </w:tc>
              <w:tc>
                <w:tcPr>
                  <w:tcW w:type="dxa" w:w="365"/>
                </w:tcPr>
                <w:p>
                  <w:pPr>
                    <w:pStyle w:val="null3"/>
                  </w:pPr>
                  <w:r>
                    <w:rPr/>
                    <w:t>考生身份认证系统软件</w:t>
                  </w:r>
                </w:p>
              </w:tc>
              <w:tc>
                <w:tcPr>
                  <w:tcW w:type="dxa" w:w="365"/>
                </w:tcPr>
                <w:p>
                  <w:pPr>
                    <w:pStyle w:val="null3"/>
                  </w:pPr>
                  <w:r>
                    <w:rPr/>
                    <w:t>1、用户管理：能够对用户进行增、删、改以及用户的权限和角色划分。统一账户管理,统一授权管理，统一认证管理,统一审计管理；</w:t>
                  </w:r>
                </w:p>
                <w:p>
                  <w:pPr>
                    <w:pStyle w:val="null3"/>
                  </w:pPr>
                  <w:r>
                    <w:rPr/>
                    <w:t>2、机构管理：能够对各级机构进行增、删、改，可对用户进行按市、县区、考点等行政划分进行权限控制；考区编号；</w:t>
                  </w:r>
                </w:p>
                <w:p>
                  <w:pPr>
                    <w:pStyle w:val="null3"/>
                  </w:pPr>
                  <w:r>
                    <w:rPr/>
                    <w:t>3、角色管理：能够对系统角色的增、删、改。例如：系统管理员、用户等角色；</w:t>
                  </w:r>
                </w:p>
                <w:p>
                  <w:pPr>
                    <w:pStyle w:val="null3"/>
                  </w:pPr>
                  <w:r>
                    <w:rPr/>
                    <w:t>4、终端管理：管理终端能够批量设置、批量数据下发、批量更新终端版本；</w:t>
                  </w:r>
                </w:p>
                <w:p>
                  <w:pPr>
                    <w:pStyle w:val="null3"/>
                  </w:pPr>
                  <w:r>
                    <w:rPr/>
                    <w:t>5、项目管理：系统能够创建不同业务类型的项目；</w:t>
                  </w:r>
                </w:p>
                <w:p>
                  <w:pPr>
                    <w:pStyle w:val="null3"/>
                  </w:pPr>
                  <w:r>
                    <w:rPr/>
                    <w:t>6、考试计划：能够根据每年的考试情况，制定各场考试的考试计划，可绑定科目，身份认证终端验证时间。按设定时间计划主动上传验证结果数据；</w:t>
                  </w:r>
                </w:p>
                <w:p>
                  <w:pPr>
                    <w:pStyle w:val="null3"/>
                  </w:pPr>
                  <w:r>
                    <w:rPr/>
                    <w:t>7、数据导入：能够导入考点库、考场库、考生库、图像库、指纹库和删除相关批次等相关数据。提供数据接口供下级服务器按考点编号或考区编号下载本区域内所有考生身份数据库；</w:t>
                  </w:r>
                </w:p>
                <w:p>
                  <w:pPr>
                    <w:pStyle w:val="null3"/>
                  </w:pPr>
                  <w:r>
                    <w:rPr/>
                    <w:t>8、数据打包：能够对导入系统的考生数据进行打包，为身份认证终端下载做准备。平台数据进行加密处理,保证数据安全；</w:t>
                  </w:r>
                </w:p>
                <w:p>
                  <w:pPr>
                    <w:pStyle w:val="null3"/>
                  </w:pPr>
                  <w:r>
                    <w:rPr/>
                    <w:t>9、认证结果：能够查看考生认证数据情况。可导出excel报表，可导出dbf数据库和认证照片。导出报告。支持考务需求的各类报表打印、套打、批量打印等；</w:t>
                  </w:r>
                </w:p>
                <w:p>
                  <w:pPr>
                    <w:pStyle w:val="null3"/>
                  </w:pPr>
                  <w:r>
                    <w:rPr/>
                    <w:t>10、违纪管理：能够管理终端上传上来的违纪数据，应可导出excel报表；</w:t>
                  </w:r>
                </w:p>
                <w:p>
                  <w:pPr>
                    <w:pStyle w:val="null3"/>
                  </w:pPr>
                  <w:r>
                    <w:rPr/>
                    <w:t>11、缺考管理：能够管理终端上传上来的缺考数据，应可导出excel报表；</w:t>
                  </w:r>
                </w:p>
                <w:p>
                  <w:pPr>
                    <w:pStyle w:val="null3"/>
                  </w:pPr>
                  <w:r>
                    <w:rPr/>
                    <w:t>12、考生入场情况：大屏总览能够展示考生入场实时的认证数据以及对认证数据的图形分析。汇总与统计结果以报表和图表形式输出；</w:t>
                  </w:r>
                </w:p>
                <w:p>
                  <w:pPr>
                    <w:pStyle w:val="null3"/>
                  </w:pPr>
                  <w:r>
                    <w:rPr/>
                    <w:t>13、架构方式：支持CS、BS架构系统无缝集成；</w:t>
                  </w:r>
                </w:p>
                <w:p>
                  <w:pPr>
                    <w:pStyle w:val="null3"/>
                  </w:pPr>
                  <w:r>
                    <w:rPr/>
                    <w:t>14、信息安全性：可实现系统安全检测功能；</w:t>
                  </w:r>
                </w:p>
                <w:p>
                  <w:pPr>
                    <w:pStyle w:val="null3"/>
                  </w:pPr>
                  <w:r>
                    <w:rPr/>
                    <w:t>15、可实现与中心平台的数据交互，实现考务指挥。</w:t>
                  </w:r>
                </w:p>
              </w:tc>
              <w:tc>
                <w:tcPr>
                  <w:tcW w:type="dxa" w:w="365"/>
                </w:tcPr>
                <w:p>
                  <w:pPr>
                    <w:pStyle w:val="null3"/>
                  </w:pPr>
                  <w:r>
                    <w:rPr/>
                    <w:t>套</w:t>
                  </w:r>
                </w:p>
              </w:tc>
              <w:tc>
                <w:tcPr>
                  <w:tcW w:type="dxa" w:w="365"/>
                </w:tcPr>
                <w:p>
                  <w:pPr>
                    <w:pStyle w:val="null3"/>
                  </w:pPr>
                  <w:r>
                    <w:rPr/>
                    <w:t>1</w:t>
                  </w:r>
                </w:p>
              </w:tc>
              <w:tc>
                <w:tcPr>
                  <w:tcW w:type="dxa" w:w="365"/>
                </w:tcPr>
                <w:p>
                  <w:pPr>
                    <w:pStyle w:val="null3"/>
                  </w:pPr>
                  <w:r>
                    <w:rPr/>
                    <w:t xml:space="preserve"> </w:t>
                  </w:r>
                </w:p>
              </w:tc>
            </w:tr>
            <w:tr>
              <w:tc>
                <w:tcPr>
                  <w:tcW w:type="dxa" w:w="365"/>
                </w:tcPr>
                <w:p>
                  <w:pPr>
                    <w:pStyle w:val="null3"/>
                  </w:pPr>
                  <w:r>
                    <w:rPr/>
                    <w:t>14</w:t>
                  </w:r>
                </w:p>
              </w:tc>
              <w:tc>
                <w:tcPr>
                  <w:tcW w:type="dxa" w:w="365"/>
                  <w:vMerge/>
                </w:tcPr>
                <w:p/>
              </w:tc>
              <w:tc>
                <w:tcPr>
                  <w:tcW w:type="dxa" w:w="365"/>
                </w:tcPr>
                <w:p>
                  <w:pPr>
                    <w:pStyle w:val="null3"/>
                  </w:pPr>
                  <w:r>
                    <w:rPr/>
                    <w:t>管理服务器</w:t>
                  </w:r>
                </w:p>
              </w:tc>
              <w:tc>
                <w:tcPr>
                  <w:tcW w:type="dxa" w:w="365"/>
                </w:tcPr>
                <w:p>
                  <w:pPr>
                    <w:pStyle w:val="null3"/>
                  </w:pPr>
                  <w:r>
                    <w:rPr/>
                    <w:t>1、用于部署身份验证系统数据库及管理平台，实现考生身份认证系统软件相关功能；</w:t>
                  </w:r>
                </w:p>
                <w:p>
                  <w:pPr>
                    <w:pStyle w:val="null3"/>
                  </w:pPr>
                  <w:r>
                    <w:rPr/>
                    <w:t>2、CPU≥2.8GHz（4核及以上），内存＞8GB，硬盘≥1TB。</w:t>
                  </w:r>
                </w:p>
              </w:tc>
              <w:tc>
                <w:tcPr>
                  <w:tcW w:type="dxa" w:w="365"/>
                </w:tcPr>
                <w:p>
                  <w:pPr>
                    <w:pStyle w:val="null3"/>
                  </w:pPr>
                  <w:r>
                    <w:rPr/>
                    <w:t>台</w:t>
                  </w:r>
                </w:p>
              </w:tc>
              <w:tc>
                <w:tcPr>
                  <w:tcW w:type="dxa" w:w="365"/>
                </w:tcPr>
                <w:p>
                  <w:pPr>
                    <w:pStyle w:val="null3"/>
                  </w:pPr>
                  <w:r>
                    <w:rPr/>
                    <w:t>1</w:t>
                  </w:r>
                </w:p>
              </w:tc>
              <w:tc>
                <w:tcPr>
                  <w:tcW w:type="dxa" w:w="365"/>
                </w:tcPr>
                <w:p>
                  <w:pPr>
                    <w:pStyle w:val="null3"/>
                  </w:pPr>
                  <w:r>
                    <w:rPr/>
                    <w:t xml:space="preserve"> </w:t>
                  </w:r>
                </w:p>
              </w:tc>
            </w:tr>
            <w:tr>
              <w:tc>
                <w:tcPr>
                  <w:tcW w:type="dxa" w:w="2555"/>
                  <w:gridSpan w:val="7"/>
                </w:tcPr>
                <w:p>
                  <w:pPr>
                    <w:pStyle w:val="null3"/>
                  </w:pPr>
                  <w:r>
                    <w:rPr/>
                    <w:t>网络时钟系统</w:t>
                  </w:r>
                </w:p>
              </w:tc>
            </w:tr>
            <w:tr>
              <w:tc>
                <w:tcPr>
                  <w:tcW w:type="dxa" w:w="365"/>
                </w:tcPr>
                <w:p>
                  <w:pPr>
                    <w:pStyle w:val="null3"/>
                  </w:pPr>
                  <w:r>
                    <w:rPr/>
                    <w:t>15</w:t>
                  </w:r>
                </w:p>
              </w:tc>
              <w:tc>
                <w:tcPr>
                  <w:tcW w:type="dxa" w:w="365"/>
                  <w:vMerge w:val="restart"/>
                </w:tcPr>
                <w:p>
                  <w:pPr>
                    <w:pStyle w:val="null3"/>
                  </w:pPr>
                  <w:r>
                    <w:rPr/>
                    <w:t>网络时钟系统</w:t>
                  </w:r>
                </w:p>
              </w:tc>
              <w:tc>
                <w:tcPr>
                  <w:tcW w:type="dxa" w:w="365"/>
                </w:tcPr>
                <w:p>
                  <w:pPr>
                    <w:pStyle w:val="null3"/>
                  </w:pPr>
                  <w:r>
                    <w:rPr/>
                    <w:t>网络时钟</w:t>
                  </w:r>
                </w:p>
              </w:tc>
              <w:tc>
                <w:tcPr>
                  <w:tcW w:type="dxa" w:w="365"/>
                </w:tcPr>
                <w:p>
                  <w:pPr>
                    <w:pStyle w:val="null3"/>
                  </w:pPr>
                  <w:r>
                    <w:rPr/>
                    <w:t>1、采用全面屏设计，显示尺寸≥150mm*450mm,可清晰显示时分秒数据。</w:t>
                  </w:r>
                </w:p>
                <w:p>
                  <w:pPr>
                    <w:pStyle w:val="null3"/>
                  </w:pPr>
                  <w:r>
                    <w:rPr/>
                    <w:t>2、接口：RJ45，传输协议：标准NTP协议；</w:t>
                  </w:r>
                </w:p>
                <w:p>
                  <w:pPr>
                    <w:pStyle w:val="null3"/>
                  </w:pPr>
                  <w:r>
                    <w:rPr/>
                    <w:t>3、具有主动同步功能；</w:t>
                  </w:r>
                </w:p>
                <w:p>
                  <w:pPr>
                    <w:pStyle w:val="null3"/>
                  </w:pPr>
                  <w:r>
                    <w:rPr/>
                    <w:t>4、支持网管功能，故障主动上报，并将运行情况通过TCP/IP协议传输到网络集中监控平台实时监控，以确保稳定可靠运行，与服务器时间同步；</w:t>
                  </w:r>
                </w:p>
                <w:p>
                  <w:pPr>
                    <w:pStyle w:val="null3"/>
                  </w:pPr>
                  <w:r>
                    <w:rPr/>
                    <w:t>5、网络时钟支持主动上报功能，具备时间不同步报警功能、具备网络离线报警功能、具备断电报警功能；</w:t>
                  </w:r>
                </w:p>
                <w:p>
                  <w:pPr>
                    <w:pStyle w:val="null3"/>
                  </w:pPr>
                  <w:r>
                    <w:rPr/>
                    <w:t>6、断电记忆功能，断电后时钟内部可继续计时至少24小时，恢复供电时，钟面继续显示内部计时的时间；</w:t>
                  </w:r>
                </w:p>
                <w:p>
                  <w:pPr>
                    <w:pStyle w:val="null3"/>
                  </w:pPr>
                  <w:r>
                    <w:rPr/>
                    <w:t>7、为保证长期运行的稳定性，网络时钟的数码管驱动电流应采用恒流源驱动；</w:t>
                  </w:r>
                </w:p>
                <w:p>
                  <w:pPr>
                    <w:pStyle w:val="null3"/>
                  </w:pPr>
                  <w:r>
                    <w:rPr/>
                    <w:t>8、具备对网络时钟屏幕远程开启和关闭；</w:t>
                  </w:r>
                </w:p>
                <w:p>
                  <w:pPr>
                    <w:pStyle w:val="null3"/>
                  </w:pPr>
                  <w:r>
                    <w:rPr/>
                    <w:t>9、为防止电磁干扰影响设备正常运行，网络时钟外壳主体应采用金属材质 ；</w:t>
                  </w:r>
                </w:p>
                <w:p>
                  <w:pPr>
                    <w:pStyle w:val="null3"/>
                  </w:pPr>
                  <w:r>
                    <w:rPr/>
                    <w:t>10、设备具备开机自动进行全部数码管检测；</w:t>
                  </w:r>
                </w:p>
                <w:p>
                  <w:pPr>
                    <w:pStyle w:val="null3"/>
                  </w:pPr>
                  <w:r>
                    <w:rPr/>
                    <w:t>11、网络时钟外壳的后面和顶部应预留有挂孔，可用于壁挂方式安装，也可吊装；</w:t>
                  </w:r>
                </w:p>
                <w:p>
                  <w:pPr>
                    <w:pStyle w:val="null3"/>
                  </w:pPr>
                  <w:r>
                    <w:rPr/>
                    <w:t>▲12、网络时钟可靠性指标：平均无故障时间(MTBF)≥30000h。</w:t>
                  </w:r>
                </w:p>
              </w:tc>
              <w:tc>
                <w:tcPr>
                  <w:tcW w:type="dxa" w:w="365"/>
                </w:tcPr>
                <w:p>
                  <w:pPr>
                    <w:pStyle w:val="null3"/>
                  </w:pPr>
                  <w:r>
                    <w:rPr/>
                    <w:t>台</w:t>
                  </w:r>
                </w:p>
              </w:tc>
              <w:tc>
                <w:tcPr>
                  <w:tcW w:type="dxa" w:w="365"/>
                </w:tcPr>
                <w:p>
                  <w:pPr>
                    <w:pStyle w:val="null3"/>
                  </w:pPr>
                  <w:r>
                    <w:rPr/>
                    <w:t>133</w:t>
                  </w:r>
                </w:p>
              </w:tc>
              <w:tc>
                <w:tcPr>
                  <w:tcW w:type="dxa" w:w="365"/>
                </w:tcPr>
                <w:p>
                  <w:pPr>
                    <w:pStyle w:val="null3"/>
                  </w:pPr>
                  <w:r>
                    <w:rPr/>
                    <w:t>每个教室1台，130台；</w:t>
                  </w:r>
                </w:p>
                <w:p>
                  <w:pPr>
                    <w:pStyle w:val="null3"/>
                  </w:pPr>
                  <w:r>
                    <w:rPr/>
                    <w:t>考务室1台；</w:t>
                  </w:r>
                </w:p>
                <w:p>
                  <w:pPr>
                    <w:pStyle w:val="null3"/>
                  </w:pPr>
                  <w:r>
                    <w:rPr/>
                    <w:t>保密室1台；</w:t>
                  </w:r>
                </w:p>
                <w:p>
                  <w:pPr>
                    <w:pStyle w:val="null3"/>
                  </w:pPr>
                  <w:r>
                    <w:rPr/>
                    <w:t>监控室1台。</w:t>
                  </w:r>
                </w:p>
              </w:tc>
            </w:tr>
            <w:tr>
              <w:tc>
                <w:tcPr>
                  <w:tcW w:type="dxa" w:w="365"/>
                </w:tcPr>
                <w:p>
                  <w:pPr>
                    <w:pStyle w:val="null3"/>
                  </w:pPr>
                  <w:r>
                    <w:rPr/>
                    <w:t>16</w:t>
                  </w:r>
                </w:p>
              </w:tc>
              <w:tc>
                <w:tcPr>
                  <w:tcW w:type="dxa" w:w="365"/>
                  <w:vMerge/>
                </w:tcPr>
                <w:p/>
              </w:tc>
              <w:tc>
                <w:tcPr>
                  <w:tcW w:type="dxa" w:w="365"/>
                </w:tcPr>
                <w:p>
                  <w:pPr>
                    <w:pStyle w:val="null3"/>
                  </w:pPr>
                  <w:r>
                    <w:rPr/>
                    <w:t>考场时钟监管系统服务器软件</w:t>
                  </w:r>
                </w:p>
              </w:tc>
              <w:tc>
                <w:tcPr>
                  <w:tcW w:type="dxa" w:w="365"/>
                </w:tcPr>
                <w:p>
                  <w:pPr>
                    <w:pStyle w:val="null3"/>
                  </w:pPr>
                  <w:r>
                    <w:rPr/>
                    <w:t>▲1、平台可以监测到多个GPS和北斗卫星的卫星信号；</w:t>
                  </w:r>
                </w:p>
                <w:p>
                  <w:pPr>
                    <w:pStyle w:val="null3"/>
                  </w:pPr>
                  <w:r>
                    <w:rPr/>
                    <w:t>2、为保证对网络时钟的精细化管理，平台可以统一显示时钟的实际时间；</w:t>
                  </w:r>
                </w:p>
                <w:p>
                  <w:pPr>
                    <w:pStyle w:val="null3"/>
                  </w:pPr>
                  <w:r>
                    <w:rPr/>
                    <w:t>3、考场可以和时钟IP绑定，并可以显示逻辑考场编号、物理考场编号和已绑定时钟的显示时间和工作状态；</w:t>
                  </w:r>
                </w:p>
                <w:p>
                  <w:pPr>
                    <w:pStyle w:val="null3"/>
                  </w:pPr>
                  <w:r>
                    <w:rPr/>
                    <w:t>4、平台具备对网络时钟屏幕远程开启和关闭；</w:t>
                  </w:r>
                </w:p>
                <w:p>
                  <w:pPr>
                    <w:pStyle w:val="null3"/>
                  </w:pPr>
                  <w:r>
                    <w:rPr/>
                    <w:t>5、具备对所辖系统内时钟设备软件升级功能；</w:t>
                  </w:r>
                </w:p>
              </w:tc>
              <w:tc>
                <w:tcPr>
                  <w:tcW w:type="dxa" w:w="365"/>
                </w:tcPr>
                <w:p>
                  <w:pPr>
                    <w:pStyle w:val="null3"/>
                  </w:pPr>
                  <w:r>
                    <w:rPr/>
                    <w:t>套</w:t>
                  </w:r>
                </w:p>
              </w:tc>
              <w:tc>
                <w:tcPr>
                  <w:tcW w:type="dxa" w:w="365"/>
                </w:tcPr>
                <w:p>
                  <w:pPr>
                    <w:pStyle w:val="null3"/>
                  </w:pPr>
                  <w:r>
                    <w:rPr/>
                    <w:t>1</w:t>
                  </w:r>
                </w:p>
              </w:tc>
              <w:tc>
                <w:tcPr>
                  <w:tcW w:type="dxa" w:w="365"/>
                </w:tcPr>
                <w:p>
                  <w:pPr>
                    <w:pStyle w:val="null3"/>
                  </w:pPr>
                  <w:r>
                    <w:rPr/>
                    <w:t xml:space="preserve"> </w:t>
                  </w:r>
                </w:p>
              </w:tc>
            </w:tr>
            <w:tr>
              <w:tc>
                <w:tcPr>
                  <w:tcW w:type="dxa" w:w="2555"/>
                  <w:gridSpan w:val="7"/>
                </w:tcPr>
                <w:p>
                  <w:pPr>
                    <w:pStyle w:val="null3"/>
                  </w:pPr>
                  <w:r>
                    <w:rPr/>
                    <w:t>拼接显示屏系统</w:t>
                  </w:r>
                </w:p>
              </w:tc>
            </w:tr>
            <w:tr>
              <w:tc>
                <w:tcPr>
                  <w:tcW w:type="dxa" w:w="365"/>
                </w:tcPr>
                <w:p>
                  <w:pPr>
                    <w:pStyle w:val="null3"/>
                  </w:pPr>
                  <w:r>
                    <w:rPr/>
                    <w:t>17</w:t>
                  </w:r>
                </w:p>
              </w:tc>
              <w:tc>
                <w:tcPr>
                  <w:tcW w:type="dxa" w:w="365"/>
                  <w:vMerge w:val="restart"/>
                </w:tcPr>
                <w:p>
                  <w:pPr>
                    <w:pStyle w:val="null3"/>
                  </w:pPr>
                  <w:r>
                    <w:rPr/>
                    <w:t>拼接显示屏系统</w:t>
                  </w:r>
                </w:p>
              </w:tc>
              <w:tc>
                <w:tcPr>
                  <w:tcW w:type="dxa" w:w="365"/>
                </w:tcPr>
                <w:p>
                  <w:pPr>
                    <w:pStyle w:val="null3"/>
                  </w:pPr>
                  <w:r>
                    <w:rPr/>
                    <w:t>46寸拼接显示器</w:t>
                  </w:r>
                </w:p>
              </w:tc>
              <w:tc>
                <w:tcPr>
                  <w:tcW w:type="dxa" w:w="365"/>
                </w:tcPr>
                <w:p>
                  <w:pPr>
                    <w:pStyle w:val="null3"/>
                  </w:pPr>
                  <w:r>
                    <w:rPr/>
                    <w:t xml:space="preserve">46英寸，分辨率≥1920x1080, 亮度≥500 nit, 拼缝3.5mm，结构4×3。  </w:t>
                  </w:r>
                </w:p>
                <w:p>
                  <w:pPr>
                    <w:pStyle w:val="null3"/>
                  </w:pPr>
                  <w:r>
                    <w:rPr/>
                    <w:t xml:space="preserve">含配套钢结构及安装   </w:t>
                  </w:r>
                </w:p>
              </w:tc>
              <w:tc>
                <w:tcPr>
                  <w:tcW w:type="dxa" w:w="365"/>
                </w:tcPr>
                <w:p>
                  <w:pPr>
                    <w:pStyle w:val="null3"/>
                  </w:pPr>
                  <w:r>
                    <w:rPr/>
                    <w:t>套</w:t>
                  </w:r>
                </w:p>
              </w:tc>
              <w:tc>
                <w:tcPr>
                  <w:tcW w:type="dxa" w:w="365"/>
                </w:tcPr>
                <w:p>
                  <w:pPr>
                    <w:pStyle w:val="null3"/>
                  </w:pPr>
                  <w:r>
                    <w:rPr/>
                    <w:t>12</w:t>
                  </w:r>
                </w:p>
              </w:tc>
              <w:tc>
                <w:tcPr>
                  <w:tcW w:type="dxa" w:w="365"/>
                </w:tcPr>
                <w:p>
                  <w:pPr>
                    <w:pStyle w:val="null3"/>
                  </w:pPr>
                  <w:r>
                    <w:rPr/>
                    <w:t xml:space="preserve"> </w:t>
                  </w:r>
                </w:p>
              </w:tc>
            </w:tr>
            <w:tr>
              <w:tc>
                <w:tcPr>
                  <w:tcW w:type="dxa" w:w="365"/>
                </w:tcPr>
                <w:p>
                  <w:pPr>
                    <w:pStyle w:val="null3"/>
                  </w:pPr>
                  <w:r>
                    <w:rPr/>
                    <w:t>18</w:t>
                  </w:r>
                </w:p>
              </w:tc>
              <w:tc>
                <w:tcPr>
                  <w:tcW w:type="dxa" w:w="365"/>
                  <w:vMerge/>
                </w:tcPr>
                <w:p/>
              </w:tc>
              <w:tc>
                <w:tcPr>
                  <w:tcW w:type="dxa" w:w="365"/>
                </w:tcPr>
                <w:p>
                  <w:pPr>
                    <w:pStyle w:val="null3"/>
                  </w:pPr>
                  <w:r>
                    <w:rPr/>
                    <w:t>信号输出线缆</w:t>
                  </w:r>
                </w:p>
              </w:tc>
              <w:tc>
                <w:tcPr>
                  <w:tcW w:type="dxa" w:w="365"/>
                </w:tcPr>
                <w:p>
                  <w:pPr>
                    <w:pStyle w:val="null3"/>
                  </w:pPr>
                  <w:r>
                    <w:rPr/>
                    <w:t>约15米（长度根据现场情况定）</w:t>
                  </w:r>
                </w:p>
              </w:tc>
              <w:tc>
                <w:tcPr>
                  <w:tcW w:type="dxa" w:w="365"/>
                </w:tcPr>
                <w:p>
                  <w:pPr>
                    <w:pStyle w:val="null3"/>
                  </w:pPr>
                  <w:r>
                    <w:rPr/>
                    <w:t>条</w:t>
                  </w:r>
                </w:p>
              </w:tc>
              <w:tc>
                <w:tcPr>
                  <w:tcW w:type="dxa" w:w="365"/>
                </w:tcPr>
                <w:p>
                  <w:pPr>
                    <w:pStyle w:val="null3"/>
                  </w:pPr>
                  <w:r>
                    <w:rPr/>
                    <w:t>12</w:t>
                  </w:r>
                </w:p>
              </w:tc>
              <w:tc>
                <w:tcPr>
                  <w:tcW w:type="dxa" w:w="365"/>
                </w:tcPr>
                <w:p>
                  <w:pPr>
                    <w:pStyle w:val="null3"/>
                  </w:pPr>
                  <w:r>
                    <w:rPr/>
                    <w:t xml:space="preserve"> </w:t>
                  </w:r>
                </w:p>
              </w:tc>
            </w:tr>
            <w:tr>
              <w:tc>
                <w:tcPr>
                  <w:tcW w:type="dxa" w:w="365"/>
                </w:tcPr>
                <w:p>
                  <w:pPr>
                    <w:pStyle w:val="null3"/>
                  </w:pPr>
                  <w:r>
                    <w:rPr/>
                    <w:t>19</w:t>
                  </w:r>
                </w:p>
              </w:tc>
              <w:tc>
                <w:tcPr>
                  <w:tcW w:type="dxa" w:w="365"/>
                  <w:vMerge/>
                </w:tcPr>
                <w:p/>
              </w:tc>
              <w:tc>
                <w:tcPr>
                  <w:tcW w:type="dxa" w:w="365"/>
                </w:tcPr>
                <w:p>
                  <w:pPr>
                    <w:pStyle w:val="null3"/>
                  </w:pPr>
                  <w:r>
                    <w:rPr/>
                    <w:t>配电柜</w:t>
                  </w:r>
                </w:p>
              </w:tc>
              <w:tc>
                <w:tcPr>
                  <w:tcW w:type="dxa" w:w="365"/>
                </w:tcPr>
                <w:p>
                  <w:pPr>
                    <w:pStyle w:val="null3"/>
                  </w:pPr>
                  <w:r>
                    <w:rPr/>
                    <w:t>1、输入输出电压220V，额定总负载不低于3000W。</w:t>
                  </w:r>
                </w:p>
                <w:p>
                  <w:pPr>
                    <w:pStyle w:val="null3"/>
                  </w:pPr>
                  <w:r>
                    <w:rPr/>
                    <w:t>2、输出至少6路，单路负载不低于400W。</w:t>
                  </w:r>
                </w:p>
                <w:p>
                  <w:pPr>
                    <w:pStyle w:val="null3"/>
                  </w:pPr>
                  <w:r>
                    <w:rPr/>
                    <w:t>3、支持壁挂安装，具体结合实际环境使用为准。</w:t>
                  </w:r>
                </w:p>
                <w:p>
                  <w:pPr>
                    <w:pStyle w:val="null3"/>
                  </w:pPr>
                  <w:r>
                    <w:rPr/>
                    <w:t>4、接地保护：具备可靠的接地及漏电保护功能。</w:t>
                  </w:r>
                </w:p>
              </w:tc>
              <w:tc>
                <w:tcPr>
                  <w:tcW w:type="dxa" w:w="365"/>
                </w:tcPr>
                <w:p>
                  <w:pPr>
                    <w:pStyle w:val="null3"/>
                  </w:pPr>
                  <w:r>
                    <w:rPr/>
                    <w:t>个</w:t>
                  </w:r>
                </w:p>
              </w:tc>
              <w:tc>
                <w:tcPr>
                  <w:tcW w:type="dxa" w:w="365"/>
                </w:tcPr>
                <w:p>
                  <w:pPr>
                    <w:pStyle w:val="null3"/>
                  </w:pPr>
                  <w:r>
                    <w:rPr/>
                    <w:t>1</w:t>
                  </w:r>
                </w:p>
              </w:tc>
              <w:tc>
                <w:tcPr>
                  <w:tcW w:type="dxa" w:w="365"/>
                </w:tcPr>
                <w:p>
                  <w:pPr>
                    <w:pStyle w:val="null3"/>
                  </w:pPr>
                  <w:r>
                    <w:rPr/>
                    <w:t xml:space="preserve"> </w:t>
                  </w:r>
                </w:p>
              </w:tc>
            </w:tr>
            <w:tr>
              <w:tc>
                <w:tcPr>
                  <w:tcW w:type="dxa" w:w="365"/>
                </w:tcPr>
                <w:p>
                  <w:pPr>
                    <w:pStyle w:val="null3"/>
                  </w:pPr>
                  <w:r>
                    <w:rPr/>
                    <w:t>20</w:t>
                  </w:r>
                </w:p>
              </w:tc>
              <w:tc>
                <w:tcPr>
                  <w:tcW w:type="dxa" w:w="365"/>
                  <w:vMerge/>
                </w:tcPr>
                <w:p/>
              </w:tc>
              <w:tc>
                <w:tcPr>
                  <w:tcW w:type="dxa" w:w="365"/>
                </w:tcPr>
                <w:p>
                  <w:pPr>
                    <w:pStyle w:val="null3"/>
                  </w:pPr>
                  <w:r>
                    <w:rPr/>
                    <w:t>PDU</w:t>
                  </w:r>
                </w:p>
              </w:tc>
              <w:tc>
                <w:tcPr>
                  <w:tcW w:type="dxa" w:w="365"/>
                </w:tcPr>
                <w:p>
                  <w:pPr>
                    <w:pStyle w:val="null3"/>
                  </w:pPr>
                  <w:r>
                    <w:rPr/>
                    <w:t>6位</w:t>
                  </w:r>
                </w:p>
              </w:tc>
              <w:tc>
                <w:tcPr>
                  <w:tcW w:type="dxa" w:w="365"/>
                </w:tcPr>
                <w:p>
                  <w:pPr>
                    <w:pStyle w:val="null3"/>
                  </w:pPr>
                  <w:r>
                    <w:rPr/>
                    <w:t>台</w:t>
                  </w:r>
                </w:p>
              </w:tc>
              <w:tc>
                <w:tcPr>
                  <w:tcW w:type="dxa" w:w="365"/>
                </w:tcPr>
                <w:p>
                  <w:pPr>
                    <w:pStyle w:val="null3"/>
                  </w:pPr>
                  <w:r>
                    <w:rPr/>
                    <w:t>4</w:t>
                  </w:r>
                </w:p>
              </w:tc>
              <w:tc>
                <w:tcPr>
                  <w:tcW w:type="dxa" w:w="365"/>
                </w:tcPr>
                <w:p>
                  <w:pPr>
                    <w:pStyle w:val="null3"/>
                  </w:pPr>
                  <w:r>
                    <w:rPr/>
                    <w:t xml:space="preserve"> </w:t>
                  </w:r>
                </w:p>
              </w:tc>
            </w:tr>
            <w:tr>
              <w:tc>
                <w:tcPr>
                  <w:tcW w:type="dxa" w:w="2555"/>
                  <w:gridSpan w:val="7"/>
                </w:tcPr>
                <w:p>
                  <w:pPr>
                    <w:pStyle w:val="null3"/>
                  </w:pPr>
                  <w:r>
                    <w:rPr/>
                    <w:t>其他配套</w:t>
                  </w:r>
                </w:p>
              </w:tc>
            </w:tr>
            <w:tr>
              <w:tc>
                <w:tcPr>
                  <w:tcW w:type="dxa" w:w="365"/>
                </w:tcPr>
                <w:p>
                  <w:pPr>
                    <w:pStyle w:val="null3"/>
                  </w:pPr>
                  <w:r>
                    <w:rPr/>
                    <w:t>22</w:t>
                  </w:r>
                </w:p>
              </w:tc>
              <w:tc>
                <w:tcPr>
                  <w:tcW w:type="dxa" w:w="365"/>
                  <w:vMerge w:val="restart"/>
                </w:tcPr>
                <w:p>
                  <w:pPr>
                    <w:pStyle w:val="null3"/>
                  </w:pPr>
                  <w:r>
                    <w:rPr/>
                    <w:t xml:space="preserve"> </w:t>
                  </w:r>
                </w:p>
              </w:tc>
              <w:tc>
                <w:tcPr>
                  <w:tcW w:type="dxa" w:w="365"/>
                </w:tcPr>
                <w:p>
                  <w:pPr>
                    <w:pStyle w:val="null3"/>
                  </w:pPr>
                  <w:r>
                    <w:rPr/>
                    <w:t>摄像机支架</w:t>
                  </w:r>
                </w:p>
              </w:tc>
              <w:tc>
                <w:tcPr>
                  <w:tcW w:type="dxa" w:w="365"/>
                </w:tcPr>
                <w:p>
                  <w:pPr>
                    <w:pStyle w:val="null3"/>
                  </w:pPr>
                  <w:r>
                    <w:rPr/>
                    <w:t>摄像机支架</w:t>
                  </w:r>
                </w:p>
              </w:tc>
              <w:tc>
                <w:tcPr>
                  <w:tcW w:type="dxa" w:w="365"/>
                </w:tcPr>
                <w:p>
                  <w:pPr>
                    <w:pStyle w:val="null3"/>
                  </w:pPr>
                  <w:r>
                    <w:rPr/>
                    <w:t>个</w:t>
                  </w:r>
                </w:p>
              </w:tc>
              <w:tc>
                <w:tcPr>
                  <w:tcW w:type="dxa" w:w="365"/>
                </w:tcPr>
                <w:p>
                  <w:pPr>
                    <w:pStyle w:val="null3"/>
                  </w:pPr>
                  <w:r>
                    <w:rPr/>
                    <w:t>285</w:t>
                  </w:r>
                </w:p>
              </w:tc>
              <w:tc>
                <w:tcPr>
                  <w:tcW w:type="dxa" w:w="365"/>
                </w:tcPr>
                <w:p>
                  <w:pPr>
                    <w:pStyle w:val="null3"/>
                  </w:pPr>
                  <w:r>
                    <w:rPr/>
                    <w:t xml:space="preserve"> </w:t>
                  </w:r>
                </w:p>
              </w:tc>
            </w:tr>
            <w:tr>
              <w:tc>
                <w:tcPr>
                  <w:tcW w:type="dxa" w:w="365"/>
                </w:tcPr>
                <w:p>
                  <w:pPr>
                    <w:pStyle w:val="null3"/>
                  </w:pPr>
                  <w:r>
                    <w:rPr/>
                    <w:t>23</w:t>
                  </w:r>
                </w:p>
              </w:tc>
              <w:tc>
                <w:tcPr>
                  <w:tcW w:type="dxa" w:w="365"/>
                  <w:vMerge/>
                </w:tcPr>
                <w:p/>
              </w:tc>
              <w:tc>
                <w:tcPr>
                  <w:tcW w:type="dxa" w:w="365"/>
                </w:tcPr>
                <w:p>
                  <w:pPr>
                    <w:pStyle w:val="null3"/>
                  </w:pPr>
                  <w:r>
                    <w:rPr/>
                    <w:t>拾音器</w:t>
                  </w:r>
                </w:p>
              </w:tc>
              <w:tc>
                <w:tcPr>
                  <w:tcW w:type="dxa" w:w="365"/>
                </w:tcPr>
                <w:p>
                  <w:pPr>
                    <w:pStyle w:val="null3"/>
                  </w:pPr>
                  <w:r>
                    <w:rPr/>
                    <w:t>70平米范围内拾音</w:t>
                  </w:r>
                </w:p>
              </w:tc>
              <w:tc>
                <w:tcPr>
                  <w:tcW w:type="dxa" w:w="365"/>
                </w:tcPr>
                <w:p>
                  <w:pPr>
                    <w:pStyle w:val="null3"/>
                  </w:pPr>
                  <w:r>
                    <w:rPr/>
                    <w:t>个</w:t>
                  </w:r>
                </w:p>
              </w:tc>
              <w:tc>
                <w:tcPr>
                  <w:tcW w:type="dxa" w:w="365"/>
                </w:tcPr>
                <w:p>
                  <w:pPr>
                    <w:pStyle w:val="null3"/>
                  </w:pPr>
                  <w:r>
                    <w:rPr/>
                    <w:t>196</w:t>
                  </w:r>
                </w:p>
              </w:tc>
              <w:tc>
                <w:tcPr>
                  <w:tcW w:type="dxa" w:w="365"/>
                </w:tcPr>
                <w:p>
                  <w:pPr>
                    <w:pStyle w:val="null3"/>
                  </w:pPr>
                  <w:r>
                    <w:rPr/>
                    <w:t>用于采集考场声音，与网络摄像机配套使用</w:t>
                  </w:r>
                </w:p>
              </w:tc>
            </w:tr>
            <w:tr>
              <w:tc>
                <w:tcPr>
                  <w:tcW w:type="dxa" w:w="365"/>
                </w:tcPr>
                <w:p>
                  <w:pPr>
                    <w:pStyle w:val="null3"/>
                  </w:pPr>
                  <w:r>
                    <w:rPr/>
                    <w:t>24</w:t>
                  </w:r>
                </w:p>
              </w:tc>
              <w:tc>
                <w:tcPr>
                  <w:tcW w:type="dxa" w:w="365"/>
                  <w:vMerge/>
                </w:tcPr>
                <w:p/>
              </w:tc>
              <w:tc>
                <w:tcPr>
                  <w:tcW w:type="dxa" w:w="365"/>
                </w:tcPr>
                <w:p>
                  <w:pPr>
                    <w:pStyle w:val="null3"/>
                  </w:pPr>
                  <w:r>
                    <w:rPr/>
                    <w:t>硬盘</w:t>
                  </w:r>
                </w:p>
              </w:tc>
              <w:tc>
                <w:tcPr>
                  <w:tcW w:type="dxa" w:w="365"/>
                </w:tcPr>
                <w:p>
                  <w:pPr>
                    <w:pStyle w:val="null3"/>
                  </w:pPr>
                  <w:r>
                    <w:rPr/>
                    <w:t>需采用主流品牌，接口类型：SATA，转速：7200转，容量≥8T</w:t>
                  </w:r>
                </w:p>
              </w:tc>
              <w:tc>
                <w:tcPr>
                  <w:tcW w:type="dxa" w:w="365"/>
                </w:tcPr>
                <w:p>
                  <w:pPr>
                    <w:pStyle w:val="null3"/>
                  </w:pPr>
                  <w:r>
                    <w:rPr/>
                    <w:t>块</w:t>
                  </w:r>
                </w:p>
              </w:tc>
              <w:tc>
                <w:tcPr>
                  <w:tcW w:type="dxa" w:w="365"/>
                </w:tcPr>
                <w:p>
                  <w:pPr>
                    <w:pStyle w:val="null3"/>
                  </w:pPr>
                  <w:r>
                    <w:rPr/>
                    <w:t>40</w:t>
                  </w:r>
                </w:p>
              </w:tc>
              <w:tc>
                <w:tcPr>
                  <w:tcW w:type="dxa" w:w="365"/>
                </w:tcPr>
                <w:p>
                  <w:pPr>
                    <w:pStyle w:val="null3"/>
                  </w:pPr>
                  <w:r>
                    <w:rPr/>
                    <w:t>用于巡查分发存储单元部署</w:t>
                  </w:r>
                </w:p>
              </w:tc>
            </w:tr>
            <w:tr>
              <w:tc>
                <w:tcPr>
                  <w:tcW w:type="dxa" w:w="365"/>
                </w:tcPr>
                <w:p>
                  <w:pPr>
                    <w:pStyle w:val="null3"/>
                  </w:pPr>
                  <w:r>
                    <w:rPr/>
                    <w:t>25</w:t>
                  </w:r>
                </w:p>
              </w:tc>
              <w:tc>
                <w:tcPr>
                  <w:tcW w:type="dxa" w:w="365"/>
                  <w:vMerge/>
                </w:tcPr>
                <w:p/>
              </w:tc>
              <w:tc>
                <w:tcPr>
                  <w:tcW w:type="dxa" w:w="365"/>
                </w:tcPr>
                <w:p>
                  <w:pPr>
                    <w:pStyle w:val="null3"/>
                  </w:pPr>
                  <w:r>
                    <w:rPr/>
                    <w:t>监控室工作站</w:t>
                  </w:r>
                </w:p>
              </w:tc>
              <w:tc>
                <w:tcPr>
                  <w:tcW w:type="dxa" w:w="365"/>
                </w:tcPr>
                <w:p>
                  <w:pPr>
                    <w:pStyle w:val="null3"/>
                  </w:pPr>
                  <w:r>
                    <w:rPr/>
                    <w:t>1. 机型：分体式商用台式机；</w:t>
                  </w:r>
                </w:p>
                <w:p>
                  <w:pPr>
                    <w:pStyle w:val="null3"/>
                  </w:pPr>
                  <w:r>
                    <w:rPr/>
                    <w:t>2.处理器：≥ i7-12700处理器，≥2.1GHZ主频，12核心；</w:t>
                  </w:r>
                </w:p>
                <w:p>
                  <w:pPr>
                    <w:pStyle w:val="null3"/>
                  </w:pPr>
                  <w:r>
                    <w:rPr/>
                    <w:t>3.内存：≥16GB DDR4内存；</w:t>
                  </w:r>
                </w:p>
                <w:p>
                  <w:pPr>
                    <w:pStyle w:val="null3"/>
                  </w:pPr>
                  <w:r>
                    <w:rPr/>
                    <w:t>4.硬盘：≥512GB M.2固态硬盘；</w:t>
                  </w:r>
                </w:p>
                <w:p>
                  <w:pPr>
                    <w:pStyle w:val="null3"/>
                  </w:pPr>
                  <w:r>
                    <w:rPr/>
                    <w:t>5.显卡：≥8GB独立显卡</w:t>
                  </w:r>
                </w:p>
                <w:p>
                  <w:pPr>
                    <w:pStyle w:val="null3"/>
                  </w:pPr>
                  <w:r>
                    <w:rPr/>
                    <w:t>6.含键盘、鼠标、音箱、显示器（27寸）</w:t>
                  </w:r>
                </w:p>
              </w:tc>
              <w:tc>
                <w:tcPr>
                  <w:tcW w:type="dxa" w:w="365"/>
                </w:tcPr>
                <w:p>
                  <w:pPr>
                    <w:pStyle w:val="null3"/>
                  </w:pPr>
                  <w:r>
                    <w:rPr/>
                    <w:t>台</w:t>
                  </w:r>
                </w:p>
              </w:tc>
              <w:tc>
                <w:tcPr>
                  <w:tcW w:type="dxa" w:w="365"/>
                </w:tcPr>
                <w:p>
                  <w:pPr>
                    <w:pStyle w:val="null3"/>
                  </w:pPr>
                  <w:r>
                    <w:rPr/>
                    <w:t>2</w:t>
                  </w:r>
                </w:p>
              </w:tc>
              <w:tc>
                <w:tcPr>
                  <w:tcW w:type="dxa" w:w="365"/>
                </w:tcPr>
                <w:p>
                  <w:pPr>
                    <w:pStyle w:val="null3"/>
                  </w:pPr>
                  <w:r>
                    <w:rPr/>
                    <w:t xml:space="preserve"> </w:t>
                  </w:r>
                </w:p>
              </w:tc>
            </w:tr>
            <w:tr>
              <w:tc>
                <w:tcPr>
                  <w:tcW w:type="dxa" w:w="365"/>
                </w:tcPr>
                <w:p>
                  <w:pPr>
                    <w:pStyle w:val="null3"/>
                  </w:pPr>
                  <w:r>
                    <w:rPr/>
                    <w:t>26</w:t>
                  </w:r>
                </w:p>
              </w:tc>
              <w:tc>
                <w:tcPr>
                  <w:tcW w:type="dxa" w:w="365"/>
                  <w:vMerge/>
                </w:tcPr>
                <w:p/>
              </w:tc>
              <w:tc>
                <w:tcPr>
                  <w:tcW w:type="dxa" w:w="365"/>
                </w:tcPr>
                <w:p>
                  <w:pPr>
                    <w:pStyle w:val="null3"/>
                  </w:pPr>
                  <w:r>
                    <w:rPr/>
                    <w:t>接入交换机</w:t>
                  </w:r>
                </w:p>
              </w:tc>
              <w:tc>
                <w:tcPr>
                  <w:tcW w:type="dxa" w:w="365"/>
                </w:tcPr>
                <w:p>
                  <w:pPr>
                    <w:pStyle w:val="null3"/>
                  </w:pPr>
                  <w:r>
                    <w:rPr/>
                    <w:t>24口10/100/1000M自适应电口4个SFP光口固化单交流电源无风扇，含4个1000BASE-SXminiGBIC转换模块</w:t>
                  </w:r>
                </w:p>
              </w:tc>
              <w:tc>
                <w:tcPr>
                  <w:tcW w:type="dxa" w:w="365"/>
                </w:tcPr>
                <w:p>
                  <w:pPr>
                    <w:pStyle w:val="null3"/>
                  </w:pPr>
                  <w:r>
                    <w:rPr/>
                    <w:t>台</w:t>
                  </w:r>
                </w:p>
              </w:tc>
              <w:tc>
                <w:tcPr>
                  <w:tcW w:type="dxa" w:w="365"/>
                </w:tcPr>
                <w:p>
                  <w:pPr>
                    <w:pStyle w:val="null3"/>
                  </w:pPr>
                  <w:r>
                    <w:rPr/>
                    <w:t>29</w:t>
                  </w:r>
                </w:p>
              </w:tc>
              <w:tc>
                <w:tcPr>
                  <w:tcW w:type="dxa" w:w="365"/>
                </w:tcPr>
                <w:p>
                  <w:pPr>
                    <w:pStyle w:val="null3"/>
                  </w:pPr>
                  <w:r>
                    <w:rPr/>
                    <w:t xml:space="preserve"> </w:t>
                  </w:r>
                </w:p>
              </w:tc>
            </w:tr>
            <w:tr>
              <w:tc>
                <w:tcPr>
                  <w:tcW w:type="dxa" w:w="365"/>
                </w:tcPr>
                <w:p>
                  <w:pPr>
                    <w:pStyle w:val="null3"/>
                  </w:pPr>
                  <w:r>
                    <w:rPr/>
                    <w:t>27</w:t>
                  </w:r>
                </w:p>
              </w:tc>
              <w:tc>
                <w:tcPr>
                  <w:tcW w:type="dxa" w:w="365"/>
                  <w:vMerge/>
                </w:tcPr>
                <w:p/>
              </w:tc>
              <w:tc>
                <w:tcPr>
                  <w:tcW w:type="dxa" w:w="365"/>
                </w:tcPr>
                <w:p>
                  <w:pPr>
                    <w:pStyle w:val="null3"/>
                  </w:pPr>
                  <w:r>
                    <w:rPr/>
                    <w:t>核心交换机</w:t>
                  </w:r>
                </w:p>
              </w:tc>
              <w:tc>
                <w:tcPr>
                  <w:tcW w:type="dxa" w:w="365"/>
                </w:tcPr>
                <w:p>
                  <w:pPr>
                    <w:pStyle w:val="null3"/>
                  </w:pPr>
                  <w:r>
                    <w:rPr/>
                    <w:t>24个10/100/1000M自适应光口4个1G/10G自适应SFP+光口固化单交流电源</w:t>
                  </w:r>
                </w:p>
              </w:tc>
              <w:tc>
                <w:tcPr>
                  <w:tcW w:type="dxa" w:w="365"/>
                </w:tcPr>
                <w:p>
                  <w:pPr>
                    <w:pStyle w:val="null3"/>
                  </w:pPr>
                  <w:r>
                    <w:rPr/>
                    <w:t>台</w:t>
                  </w:r>
                </w:p>
              </w:tc>
              <w:tc>
                <w:tcPr>
                  <w:tcW w:type="dxa" w:w="365"/>
                </w:tcPr>
                <w:p>
                  <w:pPr>
                    <w:pStyle w:val="null3"/>
                  </w:pPr>
                  <w:r>
                    <w:rPr/>
                    <w:t>2</w:t>
                  </w:r>
                </w:p>
              </w:tc>
              <w:tc>
                <w:tcPr>
                  <w:tcW w:type="dxa" w:w="365"/>
                </w:tcPr>
                <w:p>
                  <w:pPr>
                    <w:pStyle w:val="null3"/>
                  </w:pPr>
                  <w:r>
                    <w:rPr/>
                    <w:t xml:space="preserve"> </w:t>
                  </w:r>
                </w:p>
              </w:tc>
            </w:tr>
            <w:tr>
              <w:tc>
                <w:tcPr>
                  <w:tcW w:type="dxa" w:w="365"/>
                </w:tcPr>
                <w:p>
                  <w:pPr>
                    <w:pStyle w:val="null3"/>
                  </w:pPr>
                  <w:r>
                    <w:rPr/>
                    <w:t>28</w:t>
                  </w:r>
                </w:p>
              </w:tc>
              <w:tc>
                <w:tcPr>
                  <w:tcW w:type="dxa" w:w="365"/>
                  <w:vMerge/>
                </w:tcPr>
                <w:p/>
              </w:tc>
              <w:tc>
                <w:tcPr>
                  <w:tcW w:type="dxa" w:w="365"/>
                </w:tcPr>
                <w:p>
                  <w:pPr>
                    <w:pStyle w:val="null3"/>
                  </w:pPr>
                  <w:r>
                    <w:rPr/>
                    <w:t>标准机柜</w:t>
                  </w:r>
                </w:p>
              </w:tc>
              <w:tc>
                <w:tcPr>
                  <w:tcW w:type="dxa" w:w="365"/>
                </w:tcPr>
                <w:p>
                  <w:pPr>
                    <w:pStyle w:val="null3"/>
                  </w:pPr>
                  <w:r>
                    <w:rPr/>
                    <w:t>42U，服务器机柜</w:t>
                  </w:r>
                </w:p>
              </w:tc>
              <w:tc>
                <w:tcPr>
                  <w:tcW w:type="dxa" w:w="365"/>
                </w:tcPr>
                <w:p>
                  <w:pPr>
                    <w:pStyle w:val="null3"/>
                  </w:pPr>
                  <w:r>
                    <w:rPr/>
                    <w:t>台</w:t>
                  </w:r>
                </w:p>
              </w:tc>
              <w:tc>
                <w:tcPr>
                  <w:tcW w:type="dxa" w:w="365"/>
                </w:tcPr>
                <w:p>
                  <w:pPr>
                    <w:pStyle w:val="null3"/>
                  </w:pPr>
                  <w:r>
                    <w:rPr/>
                    <w:t>1</w:t>
                  </w:r>
                </w:p>
              </w:tc>
              <w:tc>
                <w:tcPr>
                  <w:tcW w:type="dxa" w:w="365"/>
                </w:tcPr>
                <w:p>
                  <w:pPr>
                    <w:pStyle w:val="null3"/>
                  </w:pPr>
                  <w:r>
                    <w:rPr/>
                    <w:t xml:space="preserve"> </w:t>
                  </w:r>
                </w:p>
              </w:tc>
            </w:tr>
            <w:tr>
              <w:tc>
                <w:tcPr>
                  <w:tcW w:type="dxa" w:w="365"/>
                </w:tcPr>
                <w:p>
                  <w:pPr>
                    <w:pStyle w:val="null3"/>
                  </w:pPr>
                  <w:r>
                    <w:rPr/>
                    <w:t>29</w:t>
                  </w:r>
                </w:p>
              </w:tc>
              <w:tc>
                <w:tcPr>
                  <w:tcW w:type="dxa" w:w="365"/>
                  <w:vMerge/>
                </w:tcPr>
                <w:p/>
              </w:tc>
              <w:tc>
                <w:tcPr>
                  <w:tcW w:type="dxa" w:w="365"/>
                </w:tcPr>
                <w:p>
                  <w:pPr>
                    <w:pStyle w:val="null3"/>
                  </w:pPr>
                  <w:r>
                    <w:rPr/>
                    <w:t>UPS</w:t>
                  </w:r>
                </w:p>
              </w:tc>
              <w:tc>
                <w:tcPr>
                  <w:tcW w:type="dxa" w:w="365"/>
                </w:tcPr>
                <w:p>
                  <w:pPr>
                    <w:pStyle w:val="null3"/>
                  </w:pPr>
                  <w:r>
                    <w:rPr/>
                    <w:t>10KVA，后备4个小时</w:t>
                  </w:r>
                </w:p>
              </w:tc>
              <w:tc>
                <w:tcPr>
                  <w:tcW w:type="dxa" w:w="365"/>
                </w:tcPr>
                <w:p>
                  <w:pPr>
                    <w:pStyle w:val="null3"/>
                  </w:pPr>
                  <w:r>
                    <w:rPr/>
                    <w:t>套</w:t>
                  </w:r>
                </w:p>
              </w:tc>
              <w:tc>
                <w:tcPr>
                  <w:tcW w:type="dxa" w:w="365"/>
                </w:tcPr>
                <w:p>
                  <w:pPr>
                    <w:pStyle w:val="null3"/>
                  </w:pPr>
                  <w:r>
                    <w:rPr/>
                    <w:t>1</w:t>
                  </w:r>
                </w:p>
              </w:tc>
              <w:tc>
                <w:tcPr>
                  <w:tcW w:type="dxa" w:w="365"/>
                </w:tcPr>
                <w:p>
                  <w:pPr>
                    <w:pStyle w:val="null3"/>
                  </w:pPr>
                  <w:r>
                    <w:rPr/>
                    <w:t xml:space="preserve"> </w:t>
                  </w:r>
                </w:p>
              </w:tc>
            </w:tr>
            <w:tr>
              <w:tc>
                <w:tcPr>
                  <w:tcW w:type="dxa" w:w="2555"/>
                  <w:gridSpan w:val="7"/>
                </w:tcPr>
                <w:p>
                  <w:pPr>
                    <w:pStyle w:val="null3"/>
                  </w:pPr>
                  <w:r>
                    <w:rPr/>
                    <w:t>线材及施工</w:t>
                  </w:r>
                </w:p>
              </w:tc>
            </w:tr>
            <w:tr>
              <w:tc>
                <w:tcPr>
                  <w:tcW w:type="dxa" w:w="365"/>
                </w:tcPr>
                <w:p>
                  <w:pPr>
                    <w:pStyle w:val="null3"/>
                  </w:pPr>
                  <w:r>
                    <w:rPr/>
                    <w:t>30</w:t>
                  </w:r>
                </w:p>
              </w:tc>
              <w:tc>
                <w:tcPr>
                  <w:tcW w:type="dxa" w:w="365"/>
                  <w:vMerge w:val="restart"/>
                </w:tcPr>
                <w:p>
                  <w:pPr>
                    <w:pStyle w:val="null3"/>
                  </w:pPr>
                  <w:r>
                    <w:rPr/>
                    <w:t>线材及施工</w:t>
                  </w:r>
                </w:p>
              </w:tc>
              <w:tc>
                <w:tcPr>
                  <w:tcW w:type="dxa" w:w="365"/>
                </w:tcPr>
                <w:p>
                  <w:pPr>
                    <w:pStyle w:val="null3"/>
                  </w:pPr>
                  <w:r>
                    <w:rPr/>
                    <w:t>辅材</w:t>
                  </w:r>
                </w:p>
              </w:tc>
              <w:tc>
                <w:tcPr>
                  <w:tcW w:type="dxa" w:w="365"/>
                </w:tcPr>
                <w:p>
                  <w:pPr>
                    <w:pStyle w:val="null3"/>
                  </w:pPr>
                  <w:r>
                    <w:rPr/>
                    <w:t>施工过程中的12U壁挂机柜、网线、电源线、PVC线槽、12V20A开关电源、音频头、电源头、标签纸、缠绕管、直流头、插排、理线器、音频线、接头、HDMI线缆、HDMI或DVI高清线白钢槽、电源线、非屏蔽网线及配件、光纤及配件等</w:t>
                  </w:r>
                </w:p>
              </w:tc>
              <w:tc>
                <w:tcPr>
                  <w:tcW w:type="dxa" w:w="365"/>
                </w:tcPr>
                <w:p>
                  <w:pPr>
                    <w:pStyle w:val="null3"/>
                  </w:pPr>
                  <w:r>
                    <w:rPr/>
                    <w:t>批</w:t>
                  </w:r>
                </w:p>
              </w:tc>
              <w:tc>
                <w:tcPr>
                  <w:tcW w:type="dxa" w:w="365"/>
                </w:tcPr>
                <w:p>
                  <w:pPr>
                    <w:pStyle w:val="null3"/>
                  </w:pPr>
                  <w:r>
                    <w:rPr/>
                    <w:t>1</w:t>
                  </w:r>
                </w:p>
              </w:tc>
              <w:tc>
                <w:tcPr>
                  <w:tcW w:type="dxa" w:w="365"/>
                </w:tcPr>
                <w:p>
                  <w:pPr>
                    <w:pStyle w:val="null3"/>
                  </w:pPr>
                  <w:r>
                    <w:rPr/>
                    <w:t xml:space="preserve"> </w:t>
                  </w:r>
                </w:p>
              </w:tc>
            </w:tr>
            <w:tr>
              <w:tc>
                <w:tcPr>
                  <w:tcW w:type="dxa" w:w="365"/>
                </w:tcPr>
                <w:p>
                  <w:pPr>
                    <w:pStyle w:val="null3"/>
                  </w:pPr>
                  <w:r>
                    <w:rPr/>
                    <w:t>31</w:t>
                  </w:r>
                </w:p>
              </w:tc>
              <w:tc>
                <w:tcPr>
                  <w:tcW w:type="dxa" w:w="365"/>
                  <w:vMerge/>
                </w:tcPr>
                <w:p/>
              </w:tc>
              <w:tc>
                <w:tcPr>
                  <w:tcW w:type="dxa" w:w="365"/>
                </w:tcPr>
                <w:p>
                  <w:pPr>
                    <w:pStyle w:val="null3"/>
                  </w:pPr>
                  <w:r>
                    <w:rPr/>
                    <w:t>布线、调试等</w:t>
                  </w:r>
                </w:p>
              </w:tc>
              <w:tc>
                <w:tcPr>
                  <w:tcW w:type="dxa" w:w="365"/>
                </w:tcPr>
                <w:p>
                  <w:pPr>
                    <w:pStyle w:val="null3"/>
                  </w:pPr>
                  <w:r>
                    <w:rPr/>
                    <w:t>包括摄像机、屏蔽、时钟、机柜安装、布线、设备安装调试等</w:t>
                  </w:r>
                </w:p>
              </w:tc>
              <w:tc>
                <w:tcPr>
                  <w:tcW w:type="dxa" w:w="365"/>
                </w:tcPr>
                <w:p>
                  <w:pPr>
                    <w:pStyle w:val="null3"/>
                  </w:pPr>
                  <w:r>
                    <w:rPr/>
                    <w:t>批</w:t>
                  </w:r>
                </w:p>
              </w:tc>
              <w:tc>
                <w:tcPr>
                  <w:tcW w:type="dxa" w:w="365"/>
                </w:tcPr>
                <w:p>
                  <w:pPr>
                    <w:pStyle w:val="null3"/>
                  </w:pPr>
                  <w:r>
                    <w:rPr/>
                    <w:t>1</w:t>
                  </w:r>
                </w:p>
              </w:tc>
              <w:tc>
                <w:tcPr>
                  <w:tcW w:type="dxa" w:w="365"/>
                </w:tcPr>
                <w:p>
                  <w:pPr>
                    <w:pStyle w:val="null3"/>
                  </w:pPr>
                  <w:r>
                    <w:rPr/>
                    <w:t xml:space="preserve"> </w:t>
                  </w:r>
                </w:p>
              </w:tc>
            </w:tr>
          </w:tbl>
          <w:p>
            <w:pPr>
              <w:pStyle w:val="null3"/>
            </w:pPr>
            <w:r>
              <w:rPr/>
              <w:t>（二）听力系统（阎良）</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t>序号</w:t>
                  </w:r>
                </w:p>
              </w:tc>
              <w:tc>
                <w:tcPr>
                  <w:tcW w:type="dxa" w:w="426"/>
                </w:tcPr>
                <w:p>
                  <w:pPr>
                    <w:pStyle w:val="null3"/>
                  </w:pPr>
                  <w:r>
                    <w:rPr/>
                    <w:t>系统</w:t>
                  </w:r>
                </w:p>
              </w:tc>
              <w:tc>
                <w:tcPr>
                  <w:tcW w:type="dxa" w:w="426"/>
                </w:tcPr>
                <w:p>
                  <w:pPr>
                    <w:pStyle w:val="null3"/>
                  </w:pPr>
                  <w:r>
                    <w:rPr/>
                    <w:t>产品名称</w:t>
                  </w:r>
                </w:p>
              </w:tc>
              <w:tc>
                <w:tcPr>
                  <w:tcW w:type="dxa" w:w="426"/>
                </w:tcPr>
                <w:p>
                  <w:pPr>
                    <w:pStyle w:val="null3"/>
                  </w:pPr>
                  <w:r>
                    <w:rPr/>
                    <w:t>技术参数</w:t>
                  </w:r>
                </w:p>
              </w:tc>
              <w:tc>
                <w:tcPr>
                  <w:tcW w:type="dxa" w:w="426"/>
                </w:tcPr>
                <w:p>
                  <w:pPr>
                    <w:pStyle w:val="null3"/>
                  </w:pPr>
                  <w:r>
                    <w:rPr/>
                    <w:t>单位</w:t>
                  </w:r>
                </w:p>
              </w:tc>
              <w:tc>
                <w:tcPr>
                  <w:tcW w:type="dxa" w:w="426"/>
                </w:tcPr>
                <w:p>
                  <w:pPr>
                    <w:pStyle w:val="null3"/>
                  </w:pPr>
                  <w:r>
                    <w:rPr/>
                    <w:t>数量</w:t>
                  </w:r>
                </w:p>
              </w:tc>
            </w:tr>
            <w:tr>
              <w:tc>
                <w:tcPr>
                  <w:tcW w:type="dxa" w:w="426"/>
                </w:tcPr>
                <w:p>
                  <w:pPr>
                    <w:pStyle w:val="null3"/>
                  </w:pPr>
                  <w:r>
                    <w:rPr/>
                    <w:t>1</w:t>
                  </w:r>
                </w:p>
              </w:tc>
              <w:tc>
                <w:tcPr>
                  <w:tcW w:type="dxa" w:w="426"/>
                </w:tcPr>
                <w:p>
                  <w:pPr>
                    <w:pStyle w:val="null3"/>
                  </w:pPr>
                  <w:r>
                    <w:rPr/>
                    <w:t>教室设备</w:t>
                  </w:r>
                </w:p>
              </w:tc>
              <w:tc>
                <w:tcPr>
                  <w:tcW w:type="dxa" w:w="426"/>
                </w:tcPr>
                <w:p>
                  <w:pPr>
                    <w:pStyle w:val="null3"/>
                  </w:pPr>
                  <w:r>
                    <w:rPr/>
                    <w:t>双备份红外发射终端</w:t>
                  </w:r>
                </w:p>
              </w:tc>
              <w:tc>
                <w:tcPr>
                  <w:tcW w:type="dxa" w:w="426"/>
                </w:tcPr>
                <w:p>
                  <w:pPr>
                    <w:pStyle w:val="null3"/>
                  </w:pPr>
                  <w:r>
                    <w:rPr/>
                    <w:t>1.红外发射机功率≥50W,红外线有效距离≥30米。</w:t>
                  </w:r>
                </w:p>
                <w:p>
                  <w:pPr>
                    <w:pStyle w:val="null3"/>
                  </w:pPr>
                  <w:r>
                    <w:rPr/>
                    <w:t>2.具有语音音频定位和跟踪技术，发射机和接收机之间时实时通讯联络。</w:t>
                  </w:r>
                </w:p>
                <w:p>
                  <w:pPr>
                    <w:pStyle w:val="null3"/>
                  </w:pPr>
                  <w:r>
                    <w:rPr/>
                    <w:t>3.红外发射机具有保密性与隔离性，广播不穿墙，相邻教室不会出现调频、串频干扰等问题。</w:t>
                  </w:r>
                </w:p>
                <w:p>
                  <w:pPr>
                    <w:pStyle w:val="null3"/>
                  </w:pPr>
                  <w:r>
                    <w:rPr/>
                    <w:t>4.具有无盲区覆盖优点，可通过墙壁的反射绕过障碍实现同一空间内360°无盲区。</w:t>
                  </w:r>
                </w:p>
                <w:p>
                  <w:pPr>
                    <w:pStyle w:val="null3"/>
                  </w:pPr>
                  <w:r>
                    <w:rPr/>
                    <w:t>5.发射机具有音频输入，话筒输入接口。同时可扩充无线话筒功能，方便教师授课。大面积考试放音时，将各教室的红外发射机的音频信号输入端通过开关切换到放音的音频信号总线上（提前安装好的）上，即可实现统一听力考试。</w:t>
                  </w:r>
                </w:p>
                <w:p>
                  <w:pPr>
                    <w:pStyle w:val="null3"/>
                  </w:pPr>
                  <w:r>
                    <w:rPr/>
                    <w:t>6.具有数字开关机功能。采用单片机语音识别电路，控制设备在没有语音输入时具备无音源输入发射机自动休眠功能，待机功率≤0.2W，当有播放任务时，功放可自动启动。</w:t>
                  </w:r>
                </w:p>
                <w:p>
                  <w:pPr>
                    <w:pStyle w:val="null3"/>
                  </w:pPr>
                  <w:r>
                    <w:rPr/>
                    <w:t>7.具有功率扩展功能。自带功率扩展输入和输出接口，可多台串接成倍增加覆盖面积。</w:t>
                  </w:r>
                </w:p>
                <w:p>
                  <w:pPr>
                    <w:pStyle w:val="null3"/>
                  </w:pPr>
                  <w:r>
                    <w:rPr/>
                    <w:t>8.高品质的数字音频传输，无噪音，音质达到CD级（音频文件位速为32-320kbps自适应）；</w:t>
                  </w:r>
                </w:p>
                <w:p>
                  <w:pPr>
                    <w:pStyle w:val="null3"/>
                  </w:pPr>
                  <w:r>
                    <w:rPr/>
                    <w:t>9.可扩展音频采集回传功能，可以将现场声音采集回传到主控中心平台、管理人员可通过平台时时监听每间教室红外线信号发射效果；</w:t>
                  </w:r>
                </w:p>
                <w:p>
                  <w:pPr>
                    <w:pStyle w:val="null3"/>
                  </w:pPr>
                  <w:r>
                    <w:rPr/>
                    <w:t>10.具有音频输入、音频输出、平衡输入、话筒输入、</w:t>
                  </w:r>
                </w:p>
                <w:p>
                  <w:pPr>
                    <w:pStyle w:val="null3"/>
                  </w:pPr>
                  <w:r>
                    <w:rPr/>
                    <w:t>11.音频格式：MP3/MP2;支持码流：32K-320K;信噪比：线路：≥90dB：话筒：≥88 dB；输入阻抗：3.5KΩ(音频） 1.5KΩ（话筒）；输入灵敏度：30mV-1.5V；</w:t>
                  </w:r>
                </w:p>
                <w:p>
                  <w:pPr>
                    <w:pStyle w:val="null3"/>
                  </w:pPr>
                  <w:r>
                    <w:rPr/>
                    <w:t>12.诣波抑制：50dB；音频信噪比：≥60dB；</w:t>
                  </w:r>
                </w:p>
                <w:p>
                  <w:pPr>
                    <w:pStyle w:val="null3"/>
                  </w:pPr>
                  <w:r>
                    <w:rPr/>
                    <w:t>13.平均无故障运行时间≥4000小时；</w:t>
                  </w:r>
                </w:p>
                <w:p>
                  <w:pPr>
                    <w:pStyle w:val="null3"/>
                  </w:pPr>
                  <w:r>
                    <w:rPr/>
                    <w:t>14.红外发射机LED发射管使用寿命≥10000小时；</w:t>
                  </w:r>
                </w:p>
                <w:p>
                  <w:pPr>
                    <w:pStyle w:val="null3"/>
                  </w:pPr>
                  <w:r>
                    <w:rPr/>
                    <w:t>15.红外发射机需和现有听力考试耳机匹配兼容。</w:t>
                  </w:r>
                </w:p>
              </w:tc>
              <w:tc>
                <w:tcPr>
                  <w:tcW w:type="dxa" w:w="426"/>
                </w:tcPr>
                <w:p>
                  <w:pPr>
                    <w:pStyle w:val="null3"/>
                  </w:pPr>
                  <w:r>
                    <w:rPr/>
                    <w:t>台</w:t>
                  </w:r>
                </w:p>
              </w:tc>
              <w:tc>
                <w:tcPr>
                  <w:tcW w:type="dxa" w:w="426"/>
                </w:tcPr>
                <w:p>
                  <w:pPr>
                    <w:pStyle w:val="null3"/>
                  </w:pPr>
                  <w:r>
                    <w:rPr/>
                    <w:t>126</w:t>
                  </w:r>
                </w:p>
              </w:tc>
            </w:tr>
            <w:tr>
              <w:tc>
                <w:tcPr>
                  <w:tcW w:type="dxa" w:w="426"/>
                </w:tcPr>
                <w:p>
                  <w:pPr>
                    <w:pStyle w:val="null3"/>
                  </w:pPr>
                  <w:r>
                    <w:rPr/>
                    <w:t>2</w:t>
                  </w:r>
                </w:p>
              </w:tc>
              <w:tc>
                <w:tcPr>
                  <w:tcW w:type="dxa" w:w="426"/>
                  <w:vMerge w:val="restart"/>
                </w:tcPr>
                <w:p>
                  <w:pPr>
                    <w:pStyle w:val="null3"/>
                  </w:pPr>
                  <w:r>
                    <w:rPr/>
                    <w:t>配套线材及布线</w:t>
                  </w:r>
                </w:p>
              </w:tc>
              <w:tc>
                <w:tcPr>
                  <w:tcW w:type="dxa" w:w="426"/>
                </w:tcPr>
                <w:p>
                  <w:pPr>
                    <w:pStyle w:val="null3"/>
                  </w:pPr>
                  <w:r>
                    <w:rPr/>
                    <w:t>配套线材</w:t>
                  </w:r>
                </w:p>
              </w:tc>
              <w:tc>
                <w:tcPr>
                  <w:tcW w:type="dxa" w:w="426"/>
                </w:tcPr>
                <w:p>
                  <w:pPr>
                    <w:pStyle w:val="null3"/>
                  </w:pPr>
                  <w:r>
                    <w:rPr/>
                    <w:t>RVV2*1.0、RVV2*2.5、RVV2*1.5、网线、光纤等</w:t>
                  </w:r>
                </w:p>
              </w:tc>
              <w:tc>
                <w:tcPr>
                  <w:tcW w:type="dxa" w:w="426"/>
                </w:tcPr>
                <w:p>
                  <w:pPr>
                    <w:pStyle w:val="null3"/>
                  </w:pPr>
                  <w:r>
                    <w:rPr/>
                    <w:t>项</w:t>
                  </w:r>
                </w:p>
              </w:tc>
              <w:tc>
                <w:tcPr>
                  <w:tcW w:type="dxa" w:w="426"/>
                </w:tcPr>
                <w:p>
                  <w:pPr>
                    <w:pStyle w:val="null3"/>
                  </w:pPr>
                  <w:r>
                    <w:rPr/>
                    <w:t>1</w:t>
                  </w:r>
                </w:p>
              </w:tc>
            </w:tr>
            <w:tr>
              <w:tc>
                <w:tcPr>
                  <w:tcW w:type="dxa" w:w="426"/>
                </w:tcPr>
                <w:p>
                  <w:pPr>
                    <w:pStyle w:val="null3"/>
                  </w:pPr>
                  <w:r>
                    <w:rPr/>
                    <w:t>3</w:t>
                  </w:r>
                </w:p>
              </w:tc>
              <w:tc>
                <w:tcPr>
                  <w:tcW w:type="dxa" w:w="426"/>
                  <w:vMerge/>
                </w:tcPr>
                <w:p/>
              </w:tc>
              <w:tc>
                <w:tcPr>
                  <w:tcW w:type="dxa" w:w="426"/>
                </w:tcPr>
                <w:p>
                  <w:pPr>
                    <w:pStyle w:val="null3"/>
                  </w:pPr>
                  <w:r>
                    <w:rPr/>
                    <w:t>综合布线</w:t>
                  </w:r>
                </w:p>
              </w:tc>
              <w:tc>
                <w:tcPr>
                  <w:tcW w:type="dxa" w:w="426"/>
                </w:tcPr>
                <w:p>
                  <w:pPr>
                    <w:pStyle w:val="null3"/>
                  </w:pPr>
                  <w:r>
                    <w:rPr/>
                    <w:t>综合布线以及设备安装调试（更换原放音室至教室听力设备中间所有线路）</w:t>
                  </w:r>
                </w:p>
              </w:tc>
              <w:tc>
                <w:tcPr>
                  <w:tcW w:type="dxa" w:w="426"/>
                </w:tcPr>
                <w:p>
                  <w:pPr>
                    <w:pStyle w:val="null3"/>
                  </w:pPr>
                  <w:r>
                    <w:rPr/>
                    <w:t>批</w:t>
                  </w:r>
                </w:p>
              </w:tc>
              <w:tc>
                <w:tcPr>
                  <w:tcW w:type="dxa" w:w="426"/>
                </w:tcPr>
                <w:p>
                  <w:pPr>
                    <w:pStyle w:val="null3"/>
                  </w:pPr>
                  <w:r>
                    <w:rPr/>
                    <w:t>90</w:t>
                  </w:r>
                </w:p>
              </w:tc>
            </w:tr>
          </w:tbl>
          <w:p>
            <w:pPr>
              <w:pStyle w:val="null3"/>
            </w:pPr>
            <w:r>
              <w:rPr/>
              <w:t>三、其他要求：</w:t>
            </w:r>
          </w:p>
          <w:p>
            <w:pPr>
              <w:pStyle w:val="null3"/>
            </w:pPr>
            <w:r>
              <w:rPr/>
              <w:t>（1）报价要求：所提供的投标产品交货价是全套货物的，货到用户现场价加上安装货物需要的所有辅材价格、已付的投标报价含设计费、人工费（含保险）、施工费、设备费、设施费、各种辅材费、机械费、水电费、配合费、运输费、税费、验收费等所有费用。（所有税费不必分别填写，计入货价内即可）。</w:t>
            </w:r>
          </w:p>
          <w:p>
            <w:pPr>
              <w:pStyle w:val="null3"/>
            </w:pPr>
            <w:r>
              <w:rPr/>
              <w:t>（2）施工要求：该项目为升级改造项目，所有旧设备拆除、运输产生的费用均包含在中标价内，不再单独计费；两校区视频要互联互通，同时预留摄像头复用接口，便于后期教学质量监控功能扩展和校园安全监控。</w:t>
            </w:r>
          </w:p>
          <w:p>
            <w:pPr>
              <w:pStyle w:val="null3"/>
            </w:pPr>
            <w:r>
              <w:rPr/>
              <w:t>（3）人员要求：项目负责人不得随意更换，如特殊原因更换须提前与采购人沟通，经采购人同意后可更换。</w:t>
            </w:r>
          </w:p>
          <w:p>
            <w:pPr>
              <w:pStyle w:val="null3"/>
            </w:pPr>
            <w:r>
              <w:rPr/>
              <w:t>（4）售后服务要求：该项目投入使用后，乙方每年应提供不少于4次现场设备巡检、维护服务；学校每年承办国家级考试（全国研究生招生考试及全国大学英语四六级考试）期间，乙方应安排不少于2名专业技术人员提供现场支持和保障服务。</w:t>
            </w:r>
          </w:p>
          <w:p>
            <w:pPr>
              <w:pStyle w:val="null3"/>
            </w:pPr>
            <w:r>
              <w:rPr/>
              <w:t>（5）听力部分原有红外发射终端需要拆除；</w:t>
            </w:r>
          </w:p>
          <w:p>
            <w:pPr>
              <w:pStyle w:val="null3"/>
            </w:pPr>
            <w:r>
              <w:rPr/>
              <w:t>（6）教室内听力设备终端全部替换，其中小教室1个红外终端，大教室2个红外终端；</w:t>
            </w:r>
          </w:p>
          <w:p>
            <w:pPr>
              <w:pStyle w:val="null3"/>
            </w:pPr>
            <w:r>
              <w:rPr/>
              <w:t>（7）90间的线缆拆除包含电源线；</w:t>
            </w:r>
          </w:p>
          <w:p>
            <w:pPr>
              <w:pStyle w:val="null3"/>
            </w:pPr>
            <w:r>
              <w:rPr/>
              <w:t>（8）两栋楼之间需要重新敷设光纤资源，两栋楼之间管沟可互通；</w:t>
            </w:r>
          </w:p>
          <w:p>
            <w:pPr>
              <w:pStyle w:val="null3"/>
            </w:pPr>
            <w:r>
              <w:rPr/>
              <w:t>（9）机房：大屏设备和服务器核心设备均放到监控机房142号，并拆除现有设备；</w:t>
            </w:r>
          </w:p>
          <w:p>
            <w:pPr>
              <w:pStyle w:val="null3"/>
            </w:pPr>
            <w:r>
              <w:rPr/>
              <w:t>（10）两栋楼顶层均有用电桥架；</w:t>
            </w:r>
          </w:p>
          <w:p>
            <w:pPr>
              <w:pStyle w:val="null3"/>
            </w:pPr>
            <w:r>
              <w:rPr/>
              <w:t>（11）每层楼均有2个弱电井，位置因楼宇设计不同而不同；</w:t>
            </w:r>
          </w:p>
          <w:p>
            <w:pPr>
              <w:pStyle w:val="null3"/>
            </w:pPr>
            <w:r>
              <w:rPr/>
              <w:t>（12）原有标考设备需要拆除；</w:t>
            </w:r>
          </w:p>
          <w:p>
            <w:pPr>
              <w:pStyle w:val="null3"/>
            </w:pPr>
            <w:r>
              <w:rPr/>
              <w:t>（13）红外耳机目前使用单频点。</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自合同签订之日起90日</w:t>
      </w:r>
    </w:p>
    <w:p>
      <w:pPr>
        <w:pStyle w:val="null3"/>
        <w:outlineLvl w:val="3"/>
      </w:pPr>
      <w:r>
        <w:rPr>
          <w:sz w:val="24"/>
          <w:b/>
        </w:rPr>
        <w:t>3.4.2交货地点</w:t>
      </w:r>
    </w:p>
    <w:p>
      <w:pPr>
        <w:pStyle w:val="null3"/>
      </w:pPr>
      <w:r>
        <w:rPr/>
        <w:t>采购包1：</w:t>
      </w:r>
    </w:p>
    <w:p>
      <w:pPr>
        <w:pStyle w:val="null3"/>
      </w:pPr>
      <w:r>
        <w:rPr/>
        <w:t>西安航空学院指定地点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项目实施完成并经项目部门预验收合格后</w:t>
      </w:r>
      <w:r>
        <w:rPr/>
        <w:t xml:space="preserve"> ，达到付款条件起 </w:t>
      </w:r>
      <w:r>
        <w:rPr/>
        <w:t>30</w:t>
      </w:r>
      <w:r>
        <w:rPr/>
        <w:t xml:space="preserve"> 日内，支付合同总金额的 </w:t>
      </w:r>
      <w:r>
        <w:rPr/>
        <w:t>70.00</w:t>
      </w:r>
      <w:r>
        <w:rPr/>
        <w:t>%。</w:t>
      </w:r>
    </w:p>
    <w:p>
      <w:pPr>
        <w:pStyle w:val="null3"/>
      </w:pPr>
      <w:r>
        <w:rPr/>
        <w:t>采购包1：</w:t>
      </w:r>
      <w:r>
        <w:rPr/>
        <w:t xml:space="preserve"> 付款条件说明： </w:t>
      </w:r>
      <w:r>
        <w:rPr/>
        <w:t>经学校终验收合格后</w:t>
      </w:r>
      <w:r>
        <w:rPr/>
        <w:t xml:space="preserve"> ，达到付款条件起 </w:t>
      </w:r>
      <w:r>
        <w:rPr/>
        <w:t>30</w:t>
      </w:r>
      <w:r>
        <w:rPr/>
        <w:t xml:space="preserve"> 日内，支付合同总金额的 </w:t>
      </w:r>
      <w:r>
        <w:rPr/>
        <w:t>30.00</w:t>
      </w:r>
      <w:r>
        <w:rPr/>
        <w:t>%。</w:t>
      </w:r>
    </w:p>
    <w:p>
      <w:pPr>
        <w:pStyle w:val="null3"/>
        <w:outlineLvl w:val="3"/>
      </w:pPr>
      <w:r>
        <w:rPr>
          <w:sz w:val="24"/>
          <w:b/>
        </w:rPr>
        <w:t>3.4.5验收标准和方法</w:t>
      </w:r>
    </w:p>
    <w:p>
      <w:pPr>
        <w:pStyle w:val="null3"/>
      </w:pPr>
      <w:r>
        <w:rPr/>
        <w:t>采购包1：</w:t>
      </w:r>
    </w:p>
    <w:p>
      <w:pPr>
        <w:pStyle w:val="null3"/>
      </w:pPr>
      <w:r>
        <w:rPr/>
        <w:t>按招标文件、投标文件及合同约定执行。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质量保修范围：采购标的所有内容 保修期：验收合格后3年</w:t>
      </w:r>
    </w:p>
    <w:p>
      <w:pPr>
        <w:pStyle w:val="null3"/>
        <w:outlineLvl w:val="3"/>
      </w:pPr>
      <w:r>
        <w:rPr>
          <w:sz w:val="24"/>
          <w:b/>
        </w:rPr>
        <w:t>3.4.8违约责任与解决争议的方法</w:t>
      </w:r>
    </w:p>
    <w:p>
      <w:pPr>
        <w:pStyle w:val="null3"/>
      </w:pPr>
      <w:r>
        <w:rPr/>
        <w:t>采购包1：</w:t>
      </w:r>
    </w:p>
    <w:p>
      <w:pPr>
        <w:pStyle w:val="null3"/>
      </w:pPr>
      <w:r>
        <w:rPr/>
        <w:t>按招标文件、投标文件及合同约定执行</w:t>
      </w:r>
    </w:p>
    <w:p>
      <w:pPr>
        <w:pStyle w:val="null3"/>
        <w:jc w:val="left"/>
        <w:outlineLvl w:val="2"/>
      </w:pPr>
      <w:r>
        <w:rPr>
          <w:sz w:val="28"/>
          <w:b/>
        </w:rPr>
        <w:t>3.5其他要求</w:t>
      </w:r>
    </w:p>
    <w:p>
      <w:pPr>
        <w:pStyle w:val="null3"/>
      </w:pPr>
      <w:r>
        <w:rPr/>
        <w:t>1、为顺利推进政府采购电子化交易平台应用工作，投标人需要在线提交所有通过电子化交易平台实施的政府采购项目的响应文件，同时，线下提交纸质版响应文件，正本壹份、副本贰套、电子版壹套（U盘一套标明投标人名称，随正本密封）。 若线上电子投标文件与纸质投标文件不一致的，以线上电子投标文件为准；若正本和副本不符，以正本为准。 线下递交文件时间：详见本项目招标公告提交投标文件截止时间；线下递交文件地点：陕西省西安市碑林区红缨路南口6号均明拍卖广场3层 。 2、投标保证金注意事项：（1）投标保证金须从投标人户名支付，如从个人户名或非投标人户名支付，将被拒绝，视为自动放弃投标权利（该个人是供应商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 （2）投标保证金的提交金额、时间不满足招标文件要求的，投标无效； （3）投标保证金以采购代理机构到账凭证为准，投标人无需更换交纳凭证，由采购代理机构统一提供。 （4）未按指定账户提交的，我公司将退回，投标人须在文件 递交截止时间前按照指定账户再次提交。</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①投标人需在项目电子化交易系统中按要求填写《投标函》完成承诺并进行电子签章。 ②具有独立承担民事责任能力的法人、其他组织或自然人，提供合法有效的统一社会信用代码营业执照（事业单位法人证书/专业服务机构执业许可证/民办非企业单位登记证书，自然人提供身份证）； ③税收缴纳证明：法人提供自2023年4月1日以来至少一个月的纳税证明或完税证明，纳税证明或完税证明上应有代收机构或税务机关的公章或业务专用章；其他组织和自然人提供自2023年4月1日以来至少一个月缴纳税收的凭据；依法免税的或者依法不需缴税的供应商应提供相关文件证明； ④社会保障资金缴纳证明：提供自2023年4月1日以来至少一个月已缴纳的社会保障资金的证明（社会保障资金缴存单据或社保机构开具的社会保险参保缴费情况证明等）；依法不需要缴纳社会保障资金的投标人应提供相关文件证明； ⑤提供具有履行本合同所必需的设备和专业技术能力的声明； ⑥参加本次政府采购活动前3年内在经营活动中没有重大违纪，以及未被列入失信被执行人、重大税收违法案件当事人名单、政府采购严重违法失信行为记录名单的书面声明； 以上③-④项，提供“陕西省政府采购投标人信用承诺书”的，可不再提供其他证明文件。</w:t>
            </w:r>
          </w:p>
        </w:tc>
        <w:tc>
          <w:tcPr>
            <w:tcW w:type="dxa" w:w="1661"/>
          </w:tcPr>
          <w:p>
            <w:pPr>
              <w:pStyle w:val="null3"/>
            </w:pPr>
            <w:r>
              <w:rPr/>
              <w:t>投标函 2资格证明材料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投标人需在项目电子化交易系统中按要求上传相应证明文件并进行电子签章。财务状况报告：法人提供会计师事务所出具的2022年度或2023年度审计报告（成立时间至提交响应文件截止时间不足一年的可提供成立后任意时段的资产负债表），或提交自2023年10月1日以来银行出具的资信证明，或信用担保机构出具的投标担保函（以上三种形式的资料提供任何一种即可）；其他组织和自然人提供银行出具的资信证明或财务报表。以上资格提供“陕西省政府采购投标人信用承诺书”的，可不再提供其他证明文件</w:t>
            </w:r>
          </w:p>
        </w:tc>
        <w:tc>
          <w:tcPr>
            <w:tcW w:type="dxa" w:w="1661"/>
          </w:tcPr>
          <w:p>
            <w:pPr>
              <w:pStyle w:val="null3"/>
            </w:pPr>
            <w:r>
              <w:rPr/>
              <w:t>2资格证明材料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投标人需在项目电子化交易系统中按要求填写《投标函》完成承诺并进行电子签章、提供投标人企业关系关联承诺书。</w:t>
            </w:r>
          </w:p>
        </w:tc>
        <w:tc>
          <w:tcPr>
            <w:tcW w:type="dxa" w:w="1661"/>
          </w:tcPr>
          <w:p>
            <w:pPr>
              <w:pStyle w:val="null3"/>
            </w:pPr>
            <w:r>
              <w:rPr/>
              <w:t>投标函 2资格证明材料</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投标的，须出示身份证；法定代表人授权他人参加投标的，须提供法定代表人授权委托书、被授权人提交自2023年10月1日以来任意一个月的社会保障资金（养老保险或医疗保险）的缴纳证明或有效期内的劳动合同及被授权人身份证。并进行电子签章</w:t>
            </w:r>
          </w:p>
        </w:tc>
        <w:tc>
          <w:tcPr>
            <w:tcW w:type="dxa" w:w="1661"/>
          </w:tcPr>
          <w:p>
            <w:pPr>
              <w:pStyle w:val="null3"/>
            </w:pPr>
            <w:r>
              <w:rPr/>
              <w:t>2资格证明材料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1分项价格表. 投标函 商务应答表 标的清单 投标文件封面 3技术响应偏离表 10业绩</w:t>
            </w:r>
          </w:p>
        </w:tc>
      </w:tr>
      <w:tr>
        <w:tc>
          <w:tcPr>
            <w:tcW w:type="dxa" w:w="831"/>
          </w:tcPr>
          <w:p>
            <w:pPr>
              <w:pStyle w:val="null3"/>
            </w:pPr>
            <w:r>
              <w:rPr/>
              <w:t>2</w:t>
            </w:r>
          </w:p>
        </w:tc>
        <w:tc>
          <w:tcPr>
            <w:tcW w:type="dxa" w:w="2492"/>
          </w:tcPr>
          <w:p>
            <w:pPr>
              <w:pStyle w:val="null3"/>
            </w:pPr>
            <w:r>
              <w:rPr/>
              <w:t>投标文件的初步符合性审查</w:t>
            </w:r>
          </w:p>
        </w:tc>
        <w:tc>
          <w:tcPr>
            <w:tcW w:type="dxa" w:w="3322"/>
          </w:tcPr>
          <w:p>
            <w:pPr>
              <w:pStyle w:val="null3"/>
            </w:pPr>
            <w:r>
              <w:rPr/>
              <w:t>有下列情形之一的，应在符合性审查时按照无效投标处理： (1)投标文件未按照招标文件规定要求签署、盖章的； (2)不满足本招标文件中“交货时间、交货地点、采购资金的支付方式及约定、质量保修范围和保修期”的实质性条款要求的； (3)投标有效期不足的或无有效期的； (4)报价超过招标文件中规定的预算金额或最高限价的；(5)法律、法规和招标文件规定的其他无效情形。</w:t>
            </w:r>
          </w:p>
        </w:tc>
        <w:tc>
          <w:tcPr>
            <w:tcW w:type="dxa" w:w="1661"/>
          </w:tcPr>
          <w:p>
            <w:pPr>
              <w:pStyle w:val="null3"/>
            </w:pPr>
            <w:r>
              <w:rPr/>
              <w:t>1分项价格表. 投标函 12其他承诺 商务应答表 标的清单 投标文件封面 3技术响应偏离表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详细评审60.0000分</w:t>
            </w:r>
          </w:p>
          <w:p>
            <w:pPr>
              <w:pStyle w:val="null3"/>
            </w:pPr>
            <w:r>
              <w:rPr/>
              <w:t>报价得分40.0000分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技术参数基本分</w:t>
            </w:r>
          </w:p>
        </w:tc>
        <w:tc>
          <w:tcPr>
            <w:tcW w:type="dxa" w:w="2492"/>
          </w:tcPr>
          <w:p>
            <w:pPr>
              <w:pStyle w:val="null3"/>
            </w:pPr>
            <w:r>
              <w:rPr/>
              <w:t>基本分20分：完全符合、响应招标文件要求，没有负偏离计20分；“*”号参数为核心技术指标，每负偏离一项扣1分“▲”号参数为重要技术指标，每负偏离一项扣0.5分，非“*、▲”号参数每负偏离一项扣0.1分。*、▲指标必须提供佐证材料(包括但不限于原厂承诺证明、原厂产品彩页、第三方机构出具的检测报告），否则视为负偏离。 备注： 1、一个产品的技术指标完全复制招标文件技术指标要求的，给予10分扣分。文字描述、国标、定制尺寸的技术指标除外。 2、佐证材料包括但不限于产品技术说明、检测报告、产品彩页等。</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3技术响应偏离表</w:t>
            </w:r>
          </w:p>
        </w:tc>
      </w:tr>
      <w:tr>
        <w:tc>
          <w:tcPr>
            <w:tcW w:type="dxa" w:w="831"/>
            <w:vMerge/>
          </w:tcPr>
          <w:p/>
        </w:tc>
        <w:tc>
          <w:tcPr>
            <w:tcW w:type="dxa" w:w="1661"/>
          </w:tcPr>
          <w:p>
            <w:pPr>
              <w:pStyle w:val="null3"/>
            </w:pPr>
            <w:r>
              <w:rPr/>
              <w:t>技术参数加分项</w:t>
            </w:r>
          </w:p>
        </w:tc>
        <w:tc>
          <w:tcPr>
            <w:tcW w:type="dxa" w:w="2492"/>
          </w:tcPr>
          <w:p>
            <w:pPr>
              <w:pStyle w:val="null3"/>
            </w:pPr>
            <w:r>
              <w:rPr/>
              <w:t>在所有技术参数没有负偏离的前提下，响应产品主要技术指标、参数经评审委员会认定优于招标文件规定要求且参数明确、设备安全可靠、性能良好、便于使用操作、配置齐全；备品、备件，主料、辅料描述清楚满足使用要求。根据描述详细程度，证明材料等赋分；描述详细全面、证明材料完整齐全计5分；描述详细、证明材料基本齐全计3分；描述简单、证明材料欠缺计1分；未提供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3技术响应偏离表</w:t>
            </w:r>
          </w:p>
        </w:tc>
      </w:tr>
      <w:tr>
        <w:tc>
          <w:tcPr>
            <w:tcW w:type="dxa" w:w="831"/>
            <w:vMerge/>
          </w:tcPr>
          <w:p/>
        </w:tc>
        <w:tc>
          <w:tcPr>
            <w:tcW w:type="dxa" w:w="1661"/>
          </w:tcPr>
          <w:p>
            <w:pPr>
              <w:pStyle w:val="null3"/>
            </w:pPr>
            <w:r>
              <w:rPr/>
              <w:t>设计方案</w:t>
            </w:r>
          </w:p>
        </w:tc>
        <w:tc>
          <w:tcPr>
            <w:tcW w:type="dxa" w:w="2492"/>
          </w:tcPr>
          <w:p>
            <w:pPr>
              <w:pStyle w:val="null3"/>
            </w:pPr>
            <w:r>
              <w:rPr/>
              <w:t>投标人针对本项目提供的整体设计方案，方案全面、合理、贴合实际情况等。 满足招标文件要求，无瑕疵：5分； 方案内容存在1处瑕疵：3分； 方案内容存在2处瑕疵：1分； 未提供方案或不满足招标文件要求或内容存在4处及以上瑕疵：0分；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4设计方案</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投标人提供针对本项目的实施方案，就其方案是否合理科学及措施得当，是否针对本项目实施提出重点、难点并给出相应的解决方案，进度安排、质量保证及验收方案的描述。 方案完全满足项目需求，无瑕疵计4分； 方案存在1处瑕疵计2分； 方案存在2处瑕疵计1分； 方案存在3处及以上瑕疵或未提供计0分。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5实施方案</w:t>
            </w:r>
          </w:p>
        </w:tc>
      </w:tr>
      <w:tr>
        <w:tc>
          <w:tcPr>
            <w:tcW w:type="dxa" w:w="831"/>
            <w:vMerge/>
          </w:tcPr>
          <w:p/>
        </w:tc>
        <w:tc>
          <w:tcPr>
            <w:tcW w:type="dxa" w:w="1661"/>
          </w:tcPr>
          <w:p>
            <w:pPr>
              <w:pStyle w:val="null3"/>
            </w:pPr>
            <w:r>
              <w:rPr/>
              <w:t>需求理解</w:t>
            </w:r>
          </w:p>
        </w:tc>
        <w:tc>
          <w:tcPr>
            <w:tcW w:type="dxa" w:w="2492"/>
          </w:tcPr>
          <w:p>
            <w:pPr>
              <w:pStyle w:val="null3"/>
            </w:pPr>
            <w:r>
              <w:rPr/>
              <w:t>投标人充分了解项目需求，对项目建设背景、建设内容理解准确，并提出完整、可行的整体技术方案。 方案完全满足项目实际需求，无瑕疵计4分； 方案存在1处瑕疵计2分； 方案存在2处瑕疵计1分； 方案存在3处及以上瑕疵或未提供计0分。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6需求理解</w:t>
            </w:r>
          </w:p>
        </w:tc>
      </w:tr>
      <w:tr>
        <w:tc>
          <w:tcPr>
            <w:tcW w:type="dxa" w:w="831"/>
            <w:vMerge/>
          </w:tcPr>
          <w:p/>
        </w:tc>
        <w:tc>
          <w:tcPr>
            <w:tcW w:type="dxa" w:w="1661"/>
          </w:tcPr>
          <w:p>
            <w:pPr>
              <w:pStyle w:val="null3"/>
            </w:pPr>
            <w:r>
              <w:rPr/>
              <w:t>质量管理及保障方案</w:t>
            </w:r>
          </w:p>
        </w:tc>
        <w:tc>
          <w:tcPr>
            <w:tcW w:type="dxa" w:w="2492"/>
          </w:tcPr>
          <w:p>
            <w:pPr>
              <w:pStyle w:val="null3"/>
            </w:pPr>
            <w:r>
              <w:rPr/>
              <w:t>投标人对本项目有详细、具体、可行的质量管理及保障方案。 完全满足项目需求，无瑕疵计3分； 存在1处瑕疵计2分； 存在2处瑕疵计1分； 存在3处瑕疵及以上瑕疵或未提供计0分。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7质量管理及保障方案</w:t>
            </w:r>
          </w:p>
        </w:tc>
      </w:tr>
      <w:tr>
        <w:tc>
          <w:tcPr>
            <w:tcW w:type="dxa" w:w="831"/>
            <w:vMerge/>
          </w:tcPr>
          <w:p/>
        </w:tc>
        <w:tc>
          <w:tcPr>
            <w:tcW w:type="dxa" w:w="1661"/>
          </w:tcPr>
          <w:p>
            <w:pPr>
              <w:pStyle w:val="null3"/>
            </w:pPr>
            <w:r>
              <w:rPr/>
              <w:t>人员配备</w:t>
            </w:r>
          </w:p>
        </w:tc>
        <w:tc>
          <w:tcPr>
            <w:tcW w:type="dxa" w:w="2492"/>
          </w:tcPr>
          <w:p>
            <w:pPr>
              <w:pStyle w:val="null3"/>
            </w:pPr>
            <w:r>
              <w:rPr/>
              <w:t>针对本项目提供具体的人员配备情况（包括但不限于项目负责人、项目组人员及相应岗位设置、职责分工等），并提供详细的人员信息、从业经验、相关资质证明材料。 负责人经验丰富，证明材料提齐全，完全满足项目需求，无瑕疵计3分； 存在1处瑕疵计2分； 存在2处瑕疵计1分； 存在3处瑕疵及以上瑕疵或未提供计0分。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8人员配备</w:t>
            </w:r>
          </w:p>
        </w:tc>
      </w:tr>
      <w:tr>
        <w:tc>
          <w:tcPr>
            <w:tcW w:type="dxa" w:w="831"/>
            <w:vMerge/>
          </w:tcPr>
          <w:p/>
        </w:tc>
        <w:tc>
          <w:tcPr>
            <w:tcW w:type="dxa" w:w="1661"/>
          </w:tcPr>
          <w:p>
            <w:pPr>
              <w:pStyle w:val="null3"/>
            </w:pPr>
            <w:r>
              <w:rPr/>
              <w:t>售后服务方案</w:t>
            </w:r>
          </w:p>
        </w:tc>
        <w:tc>
          <w:tcPr>
            <w:tcW w:type="dxa" w:w="2492"/>
          </w:tcPr>
          <w:p>
            <w:pPr>
              <w:pStyle w:val="null3"/>
            </w:pPr>
            <w:r>
              <w:rPr/>
              <w:t>具有相应的物力、人力保障，能够保证产、供、销，服务正常运转，有详细的在设备发生不同类型故障后的到达现场时间、解决故障时间、补救措施等方面的措施或方案； 满足招标文件要求，无瑕疵：5分； 方案内容存在1处瑕疵：4分； 方案内容存在2处瑕疵：3分； 未提供方案或不满足招标文件要求或内容存在3处及以上瑕疵：0分；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9售后服务方案</w:t>
            </w:r>
          </w:p>
        </w:tc>
      </w:tr>
      <w:tr>
        <w:tc>
          <w:tcPr>
            <w:tcW w:type="dxa" w:w="831"/>
            <w:vMerge/>
          </w:tcPr>
          <w:p/>
        </w:tc>
        <w:tc>
          <w:tcPr>
            <w:tcW w:type="dxa" w:w="1661"/>
          </w:tcPr>
          <w:p>
            <w:pPr>
              <w:pStyle w:val="null3"/>
            </w:pPr>
            <w:r>
              <w:rPr/>
              <w:t>业绩</w:t>
            </w:r>
          </w:p>
        </w:tc>
        <w:tc>
          <w:tcPr>
            <w:tcW w:type="dxa" w:w="2492"/>
          </w:tcPr>
          <w:p>
            <w:pPr>
              <w:pStyle w:val="null3"/>
            </w:pPr>
            <w:r>
              <w:rPr/>
              <w:t>提供投标人2019年1月1日至今同类项目合同，每提供1个得2分，最高得10分。（以合同签订日期为准） 备注：业绩以合同为准，提供复印件加盖公章。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10业绩</w:t>
            </w:r>
          </w:p>
        </w:tc>
      </w:tr>
      <w:tr>
        <w:tc>
          <w:tcPr>
            <w:tcW w:type="dxa" w:w="831"/>
            <w:vMerge/>
          </w:tcPr>
          <w:p/>
        </w:tc>
        <w:tc>
          <w:tcPr>
            <w:tcW w:type="dxa" w:w="1661"/>
          </w:tcPr>
          <w:p>
            <w:pPr>
              <w:pStyle w:val="null3"/>
            </w:pPr>
            <w:r>
              <w:rPr/>
              <w:t>节能环保</w:t>
            </w:r>
          </w:p>
        </w:tc>
        <w:tc>
          <w:tcPr>
            <w:tcW w:type="dxa" w:w="2492"/>
          </w:tcPr>
          <w:p>
            <w:pPr>
              <w:pStyle w:val="null3"/>
            </w:pPr>
            <w:r>
              <w:rPr/>
              <w:t>投标人投标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11节能环保</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价格分=(评标基准价／投标报价)×报价分值 注：1、计算分数时四舍五入取小数点后两位； 2、落实政府采购政策：参见投标人须知前附表。</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详见附件：1分项价格表.</w:t>
      </w:r>
    </w:p>
    <w:p>
      <w:pPr>
        <w:pStyle w:val="null3"/>
        <w:ind w:firstLine="960"/>
      </w:pPr>
      <w:r>
        <w:rPr/>
        <w:t>详见附件：2资格证明材料</w:t>
      </w:r>
    </w:p>
    <w:p>
      <w:pPr>
        <w:pStyle w:val="null3"/>
        <w:ind w:firstLine="960"/>
      </w:pPr>
      <w:r>
        <w:rPr/>
        <w:t>详见附件：3技术响应偏离表</w:t>
      </w:r>
    </w:p>
    <w:p>
      <w:pPr>
        <w:pStyle w:val="null3"/>
        <w:ind w:firstLine="960"/>
      </w:pPr>
      <w:r>
        <w:rPr/>
        <w:t>详见附件：4设计方案</w:t>
      </w:r>
    </w:p>
    <w:p>
      <w:pPr>
        <w:pStyle w:val="null3"/>
        <w:ind w:firstLine="960"/>
      </w:pPr>
      <w:r>
        <w:rPr/>
        <w:t>详见附件：5实施方案</w:t>
      </w:r>
    </w:p>
    <w:p>
      <w:pPr>
        <w:pStyle w:val="null3"/>
        <w:ind w:firstLine="960"/>
      </w:pPr>
      <w:r>
        <w:rPr/>
        <w:t>详见附件：6需求理解</w:t>
      </w:r>
    </w:p>
    <w:p>
      <w:pPr>
        <w:pStyle w:val="null3"/>
        <w:ind w:firstLine="960"/>
      </w:pPr>
      <w:r>
        <w:rPr/>
        <w:t>详见附件：7质量管理及保障方案</w:t>
      </w:r>
    </w:p>
    <w:p>
      <w:pPr>
        <w:pStyle w:val="null3"/>
        <w:ind w:firstLine="960"/>
      </w:pPr>
      <w:r>
        <w:rPr/>
        <w:t>详见附件：8人员配备</w:t>
      </w:r>
    </w:p>
    <w:p>
      <w:pPr>
        <w:pStyle w:val="null3"/>
        <w:ind w:firstLine="960"/>
      </w:pPr>
      <w:r>
        <w:rPr/>
        <w:t>详见附件：9售后服务方案</w:t>
      </w:r>
    </w:p>
    <w:p>
      <w:pPr>
        <w:pStyle w:val="null3"/>
        <w:ind w:firstLine="960"/>
      </w:pPr>
      <w:r>
        <w:rPr/>
        <w:t>详见附件：10业绩</w:t>
      </w:r>
    </w:p>
    <w:p>
      <w:pPr>
        <w:pStyle w:val="null3"/>
        <w:ind w:firstLine="960"/>
      </w:pPr>
      <w:r>
        <w:rPr/>
        <w:t>详见附件：11节能环保</w:t>
      </w:r>
    </w:p>
    <w:p>
      <w:pPr>
        <w:pStyle w:val="null3"/>
        <w:ind w:firstLine="960"/>
      </w:pPr>
      <w:r>
        <w:rPr/>
        <w:t>详见附件：12其他承诺</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