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秦汉馆安检机采购(二次)</w:t>
      </w:r>
    </w:p>
    <w:p>
      <w:pPr>
        <w:pStyle w:val="null3"/>
        <w:jc w:val="center"/>
        <w:outlineLvl w:val="2"/>
      </w:pPr>
      <w:r>
        <w:rPr>
          <w:b/>
          <w:sz w:val="28"/>
        </w:rPr>
        <w:t>采购项目编号：</w:t>
      </w:r>
      <w:r>
        <w:rPr>
          <w:b/>
          <w:sz w:val="28"/>
        </w:rPr>
        <w:t>SCZC2024-ZB-0638-001R</w:t>
      </w:r>
      <w:r>
        <w:br/>
      </w:r>
      <w:r>
        <w:br/>
      </w:r>
      <w:r>
        <w:br/>
      </w:r>
    </w:p>
    <w:p>
      <w:pPr>
        <w:pStyle w:val="null3"/>
        <w:jc w:val="center"/>
        <w:outlineLvl w:val="2"/>
      </w:pPr>
      <w:r>
        <w:rPr>
          <w:b/>
          <w:sz w:val="28"/>
        </w:rPr>
        <w:t>陕西历史博物馆</w:t>
      </w:r>
    </w:p>
    <w:p>
      <w:pPr>
        <w:pStyle w:val="null3"/>
        <w:jc w:val="center"/>
        <w:outlineLvl w:val="2"/>
      </w:pPr>
      <w:r>
        <w:rPr>
          <w:b/>
          <w:sz w:val="28"/>
        </w:rPr>
        <w:t>陕西省采购招标有限责任公司</w:t>
      </w:r>
      <w:r>
        <w:rPr>
          <w:b/>
          <w:sz w:val="28"/>
        </w:rPr>
        <w:t>共同编制</w:t>
      </w:r>
    </w:p>
    <w:p>
      <w:pPr>
        <w:pStyle w:val="null3"/>
        <w:jc w:val="center"/>
        <w:outlineLvl w:val="2"/>
      </w:pPr>
      <w:r>
        <w:rPr>
          <w:b/>
          <w:sz w:val="28"/>
        </w:rPr>
        <w:t>2024年05月15日</w:t>
      </w:r>
    </w:p>
    <w:p>
      <w:pPr>
        <w:pStyle w:val="null3"/>
      </w:pPr>
      <w:r>
        <w:rPr/>
        <w:t xml:space="preserve"> </w:t>
        <w:br/>
        <w:br w:type="page"/>
      </w:r>
    </w:p>
    <w:p>
      <w:pPr>
        <w:pStyle w:val="null3"/>
        <w:jc w:val="center"/>
        <w:outlineLvl w:val="1"/>
      </w:pPr>
      <w:r>
        <w:rPr>
          <w:b/>
          <w:sz w:val="36"/>
        </w:rPr>
        <w:t>第一章 投标邀请</w:t>
      </w:r>
    </w:p>
    <w:p>
      <w:pPr>
        <w:pStyle w:val="null3"/>
        <w:ind w:firstLine="480"/>
      </w:pPr>
      <w:r>
        <w:rPr/>
        <w:t>陕西省采购招标有限责任公司</w:t>
      </w:r>
      <w:r>
        <w:rPr/>
        <w:t>（以下简称“代理机构”）受</w:t>
      </w:r>
      <w:r>
        <w:rPr/>
        <w:t>陕西历史博物馆</w:t>
      </w:r>
      <w:r>
        <w:rPr/>
        <w:t>委托，拟对</w:t>
      </w:r>
      <w:r>
        <w:rPr/>
        <w:t>秦汉馆安检机采购(二次)</w:t>
      </w:r>
      <w:r>
        <w:rPr/>
        <w:t>进行国内公开招标，兹邀请符合本次招标要求的供应商参加投标。</w:t>
      </w:r>
    </w:p>
    <w:p>
      <w:pPr>
        <w:pStyle w:val="null3"/>
        <w:outlineLvl w:val="2"/>
      </w:pPr>
      <w:r>
        <w:rPr>
          <w:b/>
          <w:sz w:val="28"/>
        </w:rPr>
        <w:t>一、采购项目编号：</w:t>
      </w:r>
      <w:r>
        <w:rPr>
          <w:b/>
          <w:sz w:val="28"/>
        </w:rPr>
        <w:t>SCZC2024-ZB-0638-001R</w:t>
      </w:r>
    </w:p>
    <w:p>
      <w:pPr>
        <w:pStyle w:val="null3"/>
        <w:outlineLvl w:val="2"/>
      </w:pPr>
      <w:r>
        <w:rPr>
          <w:b/>
          <w:sz w:val="28"/>
        </w:rPr>
        <w:t>二、采购项目名称：</w:t>
      </w:r>
      <w:r>
        <w:rPr>
          <w:b/>
          <w:sz w:val="28"/>
        </w:rPr>
        <w:t>秦汉馆安检机采购(二次)</w:t>
      </w:r>
    </w:p>
    <w:p>
      <w:pPr>
        <w:pStyle w:val="null3"/>
        <w:outlineLvl w:val="2"/>
      </w:pPr>
      <w:r>
        <w:rPr>
          <w:b/>
          <w:sz w:val="28"/>
        </w:rPr>
        <w:t>三、招标项目简介</w:t>
      </w:r>
    </w:p>
    <w:p>
      <w:pPr>
        <w:pStyle w:val="null3"/>
        <w:ind w:firstLine="480"/>
      </w:pPr>
      <w:r>
        <w:rPr/>
        <w:t>为保证安全，陕西历史博物馆秦汉馆购买一批安检机、安检门、液体探测仪、手持金属探测器、千兆交换机等安全仪器</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信用中国：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t>2、评审授权书：法定代表人直接参加投标的，须出具法定代表人身份证明，并与营业执照上信息一致。法定代表人授权代表参加投标的，须出具法定代表人授权书，并附法定代表人及授权代表身份证</w:t>
      </w:r>
    </w:p>
    <w:p>
      <w:pPr>
        <w:pStyle w:val="null3"/>
        <w:outlineLvl w:val="2"/>
      </w:pPr>
      <w:r>
        <w:rPr>
          <w:b/>
          <w:sz w:val="28"/>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b/>
          <w:sz w:val="28"/>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八、本投标邀请在陕西省政府采购网以公告形式发布</w:t>
      </w:r>
    </w:p>
    <w:p>
      <w:pPr>
        <w:pStyle w:val="null3"/>
        <w:outlineLvl w:val="2"/>
      </w:pPr>
      <w:r>
        <w:rPr>
          <w:b/>
          <w:sz w:val="28"/>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陕西历史博物馆</w:t>
      </w:r>
    </w:p>
    <w:p>
      <w:pPr>
        <w:pStyle w:val="null3"/>
      </w:pPr>
      <w:r>
        <w:rPr/>
        <w:t xml:space="preserve"> 地址： </w:t>
      </w:r>
      <w:r>
        <w:rPr/>
        <w:t>西安市雁塔区小寨东路91号</w:t>
      </w:r>
    </w:p>
    <w:p>
      <w:pPr>
        <w:pStyle w:val="null3"/>
      </w:pPr>
      <w:r>
        <w:rPr/>
        <w:t xml:space="preserve"> 邮编： </w:t>
      </w:r>
      <w:r>
        <w:rPr/>
        <w:t>710000</w:t>
      </w:r>
    </w:p>
    <w:p>
      <w:pPr>
        <w:pStyle w:val="null3"/>
      </w:pPr>
      <w:r>
        <w:rPr/>
        <w:t xml:space="preserve"> 联系人： </w:t>
      </w:r>
      <w:r>
        <w:rPr/>
        <w:t>陕西历史博物馆</w:t>
      </w:r>
    </w:p>
    <w:p>
      <w:pPr>
        <w:pStyle w:val="null3"/>
      </w:pPr>
      <w:r>
        <w:rPr/>
        <w:t xml:space="preserve"> 联系电话： </w:t>
      </w:r>
      <w:r>
        <w:rPr/>
        <w:t>029-85262330</w:t>
      </w:r>
    </w:p>
    <w:p>
      <w:pPr>
        <w:pStyle w:val="null3"/>
        <w:outlineLvl w:val="2"/>
      </w:pPr>
      <w:r>
        <w:rPr>
          <w:b/>
          <w:sz w:val="28"/>
        </w:rPr>
        <w:t>代理机构：</w:t>
      </w:r>
      <w:r>
        <w:rPr>
          <w:b/>
          <w:sz w:val="28"/>
        </w:rPr>
        <w:t>陕西省采购招标有限责任公司</w:t>
      </w:r>
    </w:p>
    <w:p>
      <w:pPr>
        <w:pStyle w:val="null3"/>
      </w:pPr>
      <w:r>
        <w:rPr/>
        <w:t xml:space="preserve"> 地址： </w:t>
      </w:r>
      <w:r>
        <w:rPr/>
        <w:t>西安市高新二路2号山西证券大厦8层</w:t>
      </w:r>
    </w:p>
    <w:p>
      <w:pPr>
        <w:pStyle w:val="null3"/>
      </w:pPr>
      <w:r>
        <w:rPr/>
        <w:t xml:space="preserve"> 邮编： </w:t>
      </w:r>
      <w:r>
        <w:rPr/>
        <w:t>710000</w:t>
      </w:r>
    </w:p>
    <w:p>
      <w:pPr>
        <w:pStyle w:val="null3"/>
      </w:pPr>
      <w:r>
        <w:rPr/>
        <w:t xml:space="preserve"> 联系人： </w:t>
      </w:r>
      <w:r>
        <w:rPr/>
        <w:t>白新岩、钟玉艳、王莉</w:t>
      </w:r>
    </w:p>
    <w:p>
      <w:pPr>
        <w:pStyle w:val="null3"/>
      </w:pPr>
      <w:r>
        <w:rPr/>
        <w:t xml:space="preserve"> 联系电话： </w:t>
      </w:r>
      <w:r>
        <w:rPr/>
        <w:t>029-85257505</w:t>
      </w:r>
    </w:p>
    <w:p>
      <w:pPr>
        <w:pStyle w:val="null3"/>
        <w:outlineLvl w:val="2"/>
      </w:pPr>
      <w:r>
        <w:rPr>
          <w:b/>
          <w:sz w:val="28"/>
        </w:rPr>
        <w:t>采购监督机构：</w:t>
      </w:r>
      <w:r>
        <w:rPr>
          <w:b/>
          <w:sz w:val="28"/>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采购包1：1,079,500.00元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采购包1保证金金额：20,000.00元</w:t>
            </w:r>
          </w:p>
          <w:p>
            <w:pPr>
              <w:pStyle w:val="null3"/>
            </w:pPr>
            <w:r>
              <w:rPr/>
              <w:t>缴交渠道：电子保函,转账、支票、汇票等（需通过实体账户、户名及开户行信息）</w:t>
            </w:r>
          </w:p>
          <w:p>
            <w:pPr>
              <w:pStyle w:val="null3"/>
            </w:pPr>
            <w:r>
              <w:rPr/>
              <w:t>开户名称：陕西省采购招标有限责任公司</w:t>
            </w:r>
          </w:p>
          <w:p>
            <w:pPr>
              <w:pStyle w:val="null3"/>
            </w:pPr>
            <w:r>
              <w:rPr/>
              <w:t>开户银行：中国银行西安南郊支行营业部</w:t>
            </w:r>
          </w:p>
          <w:p>
            <w:pPr>
              <w:pStyle w:val="null3"/>
            </w:pPr>
            <w:r>
              <w:rPr/>
              <w:t>银行账号：102060079760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单位在领取中标通知书前，须向采购代理机构支付招标代理服务费，招标代理服务费由采购人与采购代理机构约定：代理服务费参照《国家计委关于印发&lt;招标代理服务收费管理暂行办法&gt;的通知》（计价格[2002]1980号）规定标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陕西历史博物馆</w:t>
      </w:r>
      <w:r>
        <w:rPr/>
        <w:t>和</w:t>
      </w:r>
      <w:r>
        <w:rPr/>
        <w:t>陕西省采购招标有限责任公司</w:t>
      </w:r>
      <w:r>
        <w:rPr/>
        <w:t>享有。对招标文件中供应商参加本次政府采购活动应当具备的条件，招标项目技术、服务、商务及其他要求，评标细则及标准由</w:t>
      </w:r>
      <w:r>
        <w:rPr/>
        <w:t>陕西历史博物馆</w:t>
      </w:r>
      <w:r>
        <w:rPr/>
        <w:t>负责解释。除上述招标文件内容，其他内容由</w:t>
      </w:r>
      <w:r>
        <w:rPr/>
        <w:t>陕西省采购招标有限责任公司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陕西历史博物馆</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陕西省采购招标有限责任公司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b/>
          <w:sz w:val="24"/>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w:t>
      </w:r>
    </w:p>
    <w:p>
      <w:pPr>
        <w:pStyle w:val="null3"/>
        <w:ind w:firstLine="480"/>
      </w:pPr>
      <w:r>
        <w:rPr/>
        <w:t>除招标文件中另有规定外，本项目均采用国家法定的计量单位。</w:t>
      </w:r>
    </w:p>
    <w:p>
      <w:pPr>
        <w:pStyle w:val="null3"/>
        <w:outlineLvl w:val="3"/>
      </w:pPr>
      <w:r>
        <w:rPr>
          <w:b/>
          <w:sz w:val="24"/>
        </w:rPr>
        <w:t>2.4.3投标货币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2.6.5履约验收方案</w:t>
      </w:r>
    </w:p>
    <w:p>
      <w:pPr>
        <w:pStyle w:val="null3"/>
      </w:pPr>
      <w:r>
        <w:rPr/>
        <w:t>采购包1：</w:t>
      </w:r>
    </w:p>
    <w:p>
      <w:pPr>
        <w:pStyle w:val="null3"/>
      </w:pPr>
      <w:r>
        <w:rPr/>
        <w:t>详见合同</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b/>
          <w:sz w:val="24"/>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陕西省采购招标有限责任公司</w:t>
      </w:r>
      <w:r>
        <w:rPr/>
        <w:t xml:space="preserve"> 负责答复；供应商对除采购需求外的采购文件的询问、质疑由</w:t>
      </w:r>
      <w:r>
        <w:rPr/>
        <w:t>陕西省采购招标有限责任公司</w:t>
      </w:r>
      <w:r>
        <w:rPr/>
        <w:t xml:space="preserve"> 负责答复；供应商对采购过程、采购结果的询问、质疑由 </w:t>
      </w:r>
      <w:r>
        <w:rPr/>
        <w:t>陕西省采购招标有限责任公司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联系人：综合办公室</w:t>
      </w:r>
    </w:p>
    <w:p>
      <w:pPr>
        <w:pStyle w:val="null3"/>
      </w:pPr>
      <w:r>
        <w:rPr/>
        <w:t>联系电话：029-85235014</w:t>
      </w:r>
    </w:p>
    <w:p>
      <w:pPr>
        <w:pStyle w:val="null3"/>
      </w:pPr>
      <w:r>
        <w:rPr/>
        <w:t>地址：陕西省采购招标有限责任公司</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r>
        <w:rPr/>
        <w:t>为保证安全，陕西历史博物馆秦汉馆购买一批安检机、安检门、液体探测仪、手持金属探测器、千兆交换机等安全仪器，</w:t>
      </w:r>
    </w:p>
    <w:p>
      <w:pPr>
        <w:pStyle w:val="null3"/>
        <w:outlineLvl w:val="2"/>
      </w:pPr>
      <w:r>
        <w:rPr>
          <w:b/>
          <w:sz w:val="28"/>
        </w:rPr>
        <w:t>3.2采购内容</w:t>
      </w:r>
    </w:p>
    <w:p>
      <w:pPr>
        <w:pStyle w:val="null3"/>
      </w:pPr>
      <w:r>
        <w:rPr/>
        <w:t>采购包1：</w:t>
      </w:r>
    </w:p>
    <w:p>
      <w:pPr>
        <w:pStyle w:val="null3"/>
      </w:pPr>
      <w:r>
        <w:rPr/>
        <w:t>采购包预算金额（元）: 1,079,500.00</w:t>
      </w:r>
    </w:p>
    <w:p>
      <w:pPr>
        <w:pStyle w:val="null3"/>
      </w:pPr>
      <w:r>
        <w:rPr/>
        <w:t>采购包最高限价（元）: 1,079,500.00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安检机</w:t>
            </w:r>
          </w:p>
        </w:tc>
        <w:tc>
          <w:tcPr>
            <w:tcW w:type="dxa" w:w="831"/>
          </w:tcPr>
          <w:p>
            <w:pPr>
              <w:pStyle w:val="null3"/>
              <w:jc w:val="right"/>
            </w:pPr>
            <w:r>
              <w:rPr/>
              <w:t>1.00</w:t>
            </w:r>
          </w:p>
        </w:tc>
        <w:tc>
          <w:tcPr>
            <w:tcW w:type="dxa" w:w="831"/>
          </w:tcPr>
          <w:p>
            <w:pPr>
              <w:pStyle w:val="null3"/>
              <w:jc w:val="right"/>
            </w:pPr>
            <w:r>
              <w:rPr/>
              <w:t>1,079,500.00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标的名称：安检机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color w:val="000000"/>
                      <w:sz w:val="24"/>
                    </w:rPr>
                    <w:t>序号</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color w:val="000000"/>
                      <w:sz w:val="24"/>
                    </w:rPr>
                    <w:t>名称</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color w:val="000000"/>
                      <w:sz w:val="24"/>
                    </w:rPr>
                    <w:t>技术要求</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color w:val="000000"/>
                      <w:sz w:val="24"/>
                    </w:rPr>
                    <w:t>单位</w:t>
                  </w:r>
                </w:p>
              </w:tc>
              <w:tc>
                <w:tcPr>
                  <w:tcW w:type="dxa" w:w="51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b/>
                      <w:color w:val="000000"/>
                      <w:sz w:val="24"/>
                    </w:rPr>
                    <w:t>数量</w:t>
                  </w:r>
                </w:p>
              </w:tc>
            </w:tr>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安检机（核心产品）</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1. 通道尺寸：≥650mm×500mm（宽×高），外形尺寸：≤2130mm*990mm*1360mm（长×宽×高）</w:t>
                  </w:r>
                </w:p>
                <w:p>
                  <w:pPr>
                    <w:pStyle w:val="null3"/>
                    <w:jc w:val="both"/>
                  </w:pPr>
                  <w:r>
                    <w:rPr>
                      <w:rFonts w:ascii="仿宋" w:hAnsi="仿宋" w:cs="仿宋" w:eastAsia="仿宋"/>
                      <w:sz w:val="24"/>
                    </w:rPr>
                    <w:t>2. 传送带：高度≤700mm，承载能力应大于等于290kg</w:t>
                  </w:r>
                </w:p>
                <w:p>
                  <w:pPr>
                    <w:pStyle w:val="null3"/>
                    <w:jc w:val="both"/>
                  </w:pPr>
                  <w:r>
                    <w:rPr>
                      <w:rFonts w:ascii="仿宋" w:hAnsi="仿宋" w:cs="仿宋" w:eastAsia="仿宋"/>
                      <w:sz w:val="24"/>
                    </w:rPr>
                    <w:t>3. 设备应采用双源多能量X射线检查技术，应具备有机物分辨、灰度分辨、混合物分辨、无机物分辨、材料分辨、有效材料分辨等功能；电源：220VAC(±10%)  50±3Hz；管电压： 160kV；管电流：1.2mA（可调）</w:t>
                  </w:r>
                </w:p>
                <w:p>
                  <w:pPr>
                    <w:pStyle w:val="null3"/>
                    <w:jc w:val="both"/>
                  </w:pPr>
                  <w:r>
                    <w:rPr>
                      <w:rFonts w:ascii="仿宋" w:hAnsi="仿宋" w:cs="仿宋" w:eastAsia="仿宋"/>
                      <w:sz w:val="24"/>
                    </w:rPr>
                    <w:t>4. 图像回拉：设备可按图像生成顺序连续回调当前用户的历史过检图像，无图像数量限制</w:t>
                  </w:r>
                </w:p>
                <w:p>
                  <w:pPr>
                    <w:pStyle w:val="null3"/>
                    <w:jc w:val="both"/>
                  </w:pPr>
                  <w:r>
                    <w:rPr>
                      <w:rFonts w:ascii="仿宋" w:hAnsi="仿宋" w:cs="仿宋" w:eastAsia="仿宋"/>
                      <w:sz w:val="24"/>
                    </w:rPr>
                    <w:t>5. 缩放功能：设备应能对过包图像选中区域进行放大256倍</w:t>
                  </w:r>
                </w:p>
                <w:p>
                  <w:pPr>
                    <w:pStyle w:val="null3"/>
                    <w:jc w:val="both"/>
                  </w:pPr>
                  <w:r>
                    <w:rPr>
                      <w:rFonts w:ascii="仿宋" w:hAnsi="仿宋" w:cs="仿宋" w:eastAsia="仿宋"/>
                      <w:sz w:val="24"/>
                    </w:rPr>
                    <w:t>6. 周围剂量当量率：设备在0.3m/s速度下正常工作时，在距设备的任何可达表面0.1m处（包括设备的入口、出口处）周围剂量当量率≤0.5μSv/h；工作人员位置的周围剂量当量率应≤0.05μSv/h</w:t>
                  </w:r>
                </w:p>
                <w:p>
                  <w:pPr>
                    <w:pStyle w:val="null3"/>
                    <w:jc w:val="both"/>
                  </w:pPr>
                  <w:r>
                    <w:rPr>
                      <w:rFonts w:ascii="仿宋" w:hAnsi="仿宋" w:cs="仿宋" w:eastAsia="仿宋"/>
                      <w:sz w:val="24"/>
                    </w:rPr>
                    <w:t xml:space="preserve">7. </w:t>
                  </w:r>
                  <w:r>
                    <w:rPr>
                      <w:rFonts w:ascii="仿宋" w:hAnsi="仿宋" w:cs="仿宋" w:eastAsia="仿宋"/>
                      <w:sz w:val="24"/>
                    </w:rPr>
                    <w:t>▲</w:t>
                  </w:r>
                  <w:r>
                    <w:rPr>
                      <w:rFonts w:ascii="仿宋" w:hAnsi="仿宋" w:cs="仿宋" w:eastAsia="仿宋"/>
                      <w:sz w:val="24"/>
                    </w:rPr>
                    <w:t>单次检查剂量：设备在</w:t>
                  </w:r>
                  <w:r>
                    <w:rPr>
                      <w:rFonts w:ascii="仿宋" w:hAnsi="仿宋" w:cs="仿宋" w:eastAsia="仿宋"/>
                      <w:sz w:val="24"/>
                    </w:rPr>
                    <w:t>0.2m/s、0.3m/s、0.4m/s三速度下正常工作时，单次检查剂量均应＜5μGy</w:t>
                  </w:r>
                  <w:r>
                    <w:rPr>
                      <w:rFonts w:ascii="仿宋" w:hAnsi="仿宋" w:cs="仿宋" w:eastAsia="仿宋"/>
                      <w:sz w:val="24"/>
                    </w:rPr>
                    <w:t>。</w:t>
                  </w:r>
                </w:p>
                <w:p>
                  <w:pPr>
                    <w:pStyle w:val="null3"/>
                    <w:jc w:val="both"/>
                  </w:pPr>
                  <w:r>
                    <w:rPr>
                      <w:rFonts w:ascii="仿宋" w:hAnsi="仿宋" w:cs="仿宋" w:eastAsia="仿宋"/>
                      <w:sz w:val="24"/>
                    </w:rPr>
                    <w:t>8. 线分辨力：Φ0.0787mm（AWG40）；空间分辨力：0.8mm；穿透力：≥46mm厚钢板</w:t>
                  </w:r>
                </w:p>
                <w:p>
                  <w:pPr>
                    <w:pStyle w:val="null3"/>
                    <w:jc w:val="both"/>
                  </w:pPr>
                  <w:r>
                    <w:rPr>
                      <w:rFonts w:ascii="仿宋" w:hAnsi="仿宋" w:cs="仿宋" w:eastAsia="仿宋"/>
                      <w:sz w:val="24"/>
                    </w:rPr>
                    <w:t xml:space="preserve">9. </w:t>
                  </w:r>
                  <w:r>
                    <w:rPr>
                      <w:rFonts w:ascii="仿宋" w:hAnsi="仿宋" w:cs="仿宋" w:eastAsia="仿宋"/>
                      <w:sz w:val="24"/>
                    </w:rPr>
                    <w:t>▲</w:t>
                  </w:r>
                  <w:r>
                    <w:rPr>
                      <w:rFonts w:ascii="仿宋" w:hAnsi="仿宋" w:cs="仿宋" w:eastAsia="仿宋"/>
                      <w:sz w:val="24"/>
                    </w:rPr>
                    <w:t>对已生成的单包裹图像进行疑似危险品识别，从</w:t>
                  </w:r>
                  <w:r>
                    <w:rPr>
                      <w:rFonts w:ascii="仿宋" w:hAnsi="仿宋" w:cs="仿宋" w:eastAsia="仿宋"/>
                      <w:sz w:val="24"/>
                    </w:rPr>
                    <w:t>X射线扫描结束生成扫描图像开始计时，至显示出识别结果结束计时，单次识别时间应小于等于80ms</w:t>
                  </w:r>
                </w:p>
                <w:p>
                  <w:pPr>
                    <w:pStyle w:val="null3"/>
                    <w:jc w:val="both"/>
                  </w:pPr>
                  <w:r>
                    <w:rPr>
                      <w:rFonts w:ascii="仿宋" w:hAnsi="仿宋" w:cs="仿宋" w:eastAsia="仿宋"/>
                      <w:sz w:val="24"/>
                    </w:rPr>
                    <w:t xml:space="preserve">10. </w:t>
                  </w:r>
                  <w:r>
                    <w:rPr>
                      <w:rFonts w:ascii="仿宋" w:hAnsi="仿宋" w:cs="仿宋" w:eastAsia="仿宋"/>
                      <w:sz w:val="24"/>
                    </w:rPr>
                    <w:t>▲</w:t>
                  </w:r>
                  <w:r>
                    <w:rPr>
                      <w:rFonts w:ascii="仿宋" w:hAnsi="仿宋" w:cs="仿宋" w:eastAsia="仿宋"/>
                      <w:sz w:val="24"/>
                    </w:rPr>
                    <w:t>同屏显示：设备通道出入口的监控摄像机拍摄的图像与过包</w:t>
                  </w:r>
                  <w:r>
                    <w:rPr>
                      <w:rFonts w:ascii="仿宋" w:hAnsi="仿宋" w:cs="仿宋" w:eastAsia="仿宋"/>
                      <w:sz w:val="24"/>
                    </w:rPr>
                    <w:t>X射线图像可同屏显示，并支持一键切换至全屏X射线过包画面</w:t>
                  </w:r>
                </w:p>
                <w:p>
                  <w:pPr>
                    <w:pStyle w:val="null3"/>
                    <w:jc w:val="both"/>
                  </w:pPr>
                  <w:r>
                    <w:rPr>
                      <w:rFonts w:ascii="仿宋" w:hAnsi="仿宋" w:cs="仿宋" w:eastAsia="仿宋"/>
                      <w:sz w:val="24"/>
                    </w:rPr>
                    <w:t>11. 超薄物体检测功能：当被测物过薄而无法遮挡光障时，人工按下操作台上的相应功能键，设备能检测出厚度小于等于0.01mm的标准塞尺</w:t>
                  </w:r>
                </w:p>
                <w:p>
                  <w:pPr>
                    <w:pStyle w:val="null3"/>
                    <w:jc w:val="both"/>
                  </w:pPr>
                  <w:r>
                    <w:rPr>
                      <w:rFonts w:ascii="仿宋" w:hAnsi="仿宋" w:cs="仿宋" w:eastAsia="仿宋"/>
                      <w:sz w:val="24"/>
                    </w:rPr>
                    <w:t>12. 设备的输送速度能在0.2m/s～0.4m/s之间任意可调。应能通过专用键盘实现输送速度切换，无需通过系统菜单或配置文件进行设置</w:t>
                  </w:r>
                </w:p>
                <w:p>
                  <w:pPr>
                    <w:pStyle w:val="null3"/>
                    <w:jc w:val="both"/>
                  </w:pPr>
                  <w:r>
                    <w:rPr>
                      <w:rFonts w:ascii="仿宋" w:hAnsi="仿宋" w:cs="仿宋" w:eastAsia="仿宋"/>
                      <w:sz w:val="24"/>
                    </w:rPr>
                    <w:t>13. 用户登录功能：设备应具有用户注册、冻结、编辑和删除功能，同时具备密码、指纹和人脸录入及编辑功能，并具有具有密码登录、指纹登录和人脸识别登录的功能</w:t>
                  </w:r>
                </w:p>
                <w:p>
                  <w:pPr>
                    <w:pStyle w:val="null3"/>
                    <w:jc w:val="both"/>
                  </w:pPr>
                  <w:r>
                    <w:rPr>
                      <w:rFonts w:ascii="仿宋" w:hAnsi="仿宋" w:cs="仿宋" w:eastAsia="仿宋"/>
                      <w:sz w:val="24"/>
                    </w:rPr>
                    <w:t>14. 在岗/离岗监控功能：设备应具有操作人员在岗/离岗监控功能，当操作人员离岗时间超过设定的阈值时，应能发出声音报警提示，且离岗时间阈值可自定义设置</w:t>
                  </w:r>
                </w:p>
                <w:p>
                  <w:pPr>
                    <w:pStyle w:val="null3"/>
                    <w:jc w:val="both"/>
                  </w:pPr>
                  <w:r>
                    <w:rPr>
                      <w:rFonts w:ascii="仿宋" w:hAnsi="仿宋" w:cs="仿宋" w:eastAsia="仿宋"/>
                      <w:sz w:val="24"/>
                    </w:rPr>
                    <w:t xml:space="preserve">15. </w:t>
                  </w:r>
                  <w:r>
                    <w:rPr>
                      <w:rFonts w:ascii="仿宋" w:hAnsi="仿宋" w:cs="仿宋" w:eastAsia="仿宋"/>
                      <w:sz w:val="24"/>
                    </w:rPr>
                    <w:t>▲</w:t>
                  </w:r>
                  <w:r>
                    <w:rPr>
                      <w:rFonts w:ascii="仿宋" w:hAnsi="仿宋" w:cs="仿宋" w:eastAsia="仿宋"/>
                      <w:sz w:val="24"/>
                    </w:rPr>
                    <w:t>当传输通道内发生液体倾洒时，设备应具有特定导水装置，可将液体疏导至安检机外部并自动排出</w:t>
                  </w:r>
                </w:p>
                <w:p>
                  <w:pPr>
                    <w:pStyle w:val="null3"/>
                    <w:jc w:val="both"/>
                  </w:pPr>
                  <w:r>
                    <w:rPr>
                      <w:rFonts w:ascii="仿宋" w:hAnsi="仿宋" w:cs="仿宋" w:eastAsia="仿宋"/>
                      <w:sz w:val="24"/>
                    </w:rPr>
                    <w:t xml:space="preserve">16. </w:t>
                  </w:r>
                  <w:r>
                    <w:rPr>
                      <w:rFonts w:ascii="仿宋" w:hAnsi="仿宋" w:cs="仿宋" w:eastAsia="仿宋"/>
                      <w:sz w:val="24"/>
                    </w:rPr>
                    <w:t>▲</w:t>
                  </w:r>
                  <w:r>
                    <w:rPr>
                      <w:rFonts w:ascii="仿宋" w:hAnsi="仿宋" w:cs="仿宋" w:eastAsia="仿宋"/>
                      <w:sz w:val="24"/>
                    </w:rPr>
                    <w:t>设备应能将</w:t>
                  </w:r>
                  <w:r>
                    <w:rPr>
                      <w:rFonts w:ascii="仿宋" w:hAnsi="仿宋" w:cs="仿宋" w:eastAsia="仿宋"/>
                      <w:sz w:val="24"/>
                    </w:rPr>
                    <w:t>X光机入口处的人脸和包裹照片与该包裹的X射线图像关联保存；应支持通道内相机拍摄的可见光图片和X光图片进行1:1绑定，准确率应大于等于99%</w:t>
                  </w:r>
                </w:p>
                <w:p>
                  <w:pPr>
                    <w:pStyle w:val="null3"/>
                    <w:jc w:val="both"/>
                  </w:pPr>
                  <w:r>
                    <w:rPr>
                      <w:rFonts w:ascii="仿宋" w:hAnsi="仿宋" w:cs="仿宋" w:eastAsia="仿宋"/>
                      <w:sz w:val="24"/>
                    </w:rPr>
                    <w:t>17. 设备异常故障报警功能：设备应具有异常报警提醒功能，报警应能以图标形式在过包界面进行提示</w:t>
                  </w:r>
                </w:p>
                <w:p>
                  <w:pPr>
                    <w:pStyle w:val="null3"/>
                    <w:jc w:val="both"/>
                  </w:pPr>
                  <w:r>
                    <w:rPr>
                      <w:rFonts w:ascii="仿宋" w:hAnsi="仿宋" w:cs="仿宋" w:eastAsia="仿宋"/>
                      <w:sz w:val="24"/>
                    </w:rPr>
                    <w:t>18.当设备出现系统死机或意外故障重启后，应能在3分钟内恢复其正常工作状态，且故障前的日志记录了过包图片等信息不丢失</w:t>
                  </w:r>
                </w:p>
                <w:p>
                  <w:pPr>
                    <w:pStyle w:val="null3"/>
                    <w:jc w:val="both"/>
                  </w:pPr>
                  <w:r>
                    <w:rPr>
                      <w:rFonts w:ascii="仿宋" w:hAnsi="仿宋" w:cs="仿宋" w:eastAsia="仿宋"/>
                      <w:sz w:val="24"/>
                    </w:rPr>
                    <w:t xml:space="preserve">19. </w:t>
                  </w:r>
                  <w:r>
                    <w:rPr>
                      <w:rFonts w:ascii="仿宋" w:hAnsi="仿宋" w:cs="仿宋" w:eastAsia="仿宋"/>
                      <w:sz w:val="24"/>
                    </w:rPr>
                    <w:t>▲</w:t>
                  </w:r>
                  <w:r>
                    <w:rPr>
                      <w:rFonts w:ascii="仿宋" w:hAnsi="仿宋" w:cs="仿宋" w:eastAsia="仿宋"/>
                      <w:sz w:val="24"/>
                    </w:rPr>
                    <w:t>疑似危险品识别功能：应可对以下可疑物品进行识别并以红色方框框选，发出文字和语音提示：塑料瓶装酒精（</w:t>
                  </w:r>
                  <w:r>
                    <w:rPr>
                      <w:rFonts w:ascii="仿宋" w:hAnsi="仿宋" w:cs="仿宋" w:eastAsia="仿宋"/>
                      <w:sz w:val="24"/>
                    </w:rPr>
                    <w:t>550mL农夫山泉）、塑料瓶装煤油（550mL农夫山泉）、充电宝、打火机、斜口钳、鞭炮等</w:t>
                  </w:r>
                </w:p>
                <w:p>
                  <w:pPr>
                    <w:pStyle w:val="null3"/>
                    <w:jc w:val="both"/>
                  </w:pPr>
                  <w:r>
                    <w:rPr>
                      <w:rFonts w:ascii="仿宋" w:hAnsi="仿宋" w:cs="仿宋" w:eastAsia="仿宋"/>
                      <w:sz w:val="24"/>
                    </w:rPr>
                    <w:t>20.语音广播：设备可通过控制台设置多组语音播报内容及时间，在设定时间段内循环播报或在预设时间播报</w:t>
                  </w:r>
                </w:p>
                <w:p>
                  <w:pPr>
                    <w:pStyle w:val="null3"/>
                    <w:jc w:val="both"/>
                  </w:pPr>
                  <w:r>
                    <w:rPr>
                      <w:rFonts w:ascii="仿宋" w:hAnsi="仿宋" w:cs="仿宋" w:eastAsia="仿宋"/>
                      <w:sz w:val="24"/>
                    </w:rPr>
                    <w:t>21.设备应支持配备4TB硬盘，并支持接入4块 SATA3.0类型硬盘，最大扩展为64TB</w:t>
                  </w:r>
                </w:p>
                <w:p>
                  <w:pPr>
                    <w:pStyle w:val="null3"/>
                    <w:jc w:val="both"/>
                  </w:pPr>
                  <w:r>
                    <w:rPr>
                      <w:rFonts w:ascii="仿宋" w:hAnsi="仿宋" w:cs="仿宋" w:eastAsia="仿宋"/>
                      <w:sz w:val="24"/>
                    </w:rPr>
                    <w:t>22.</w:t>
                  </w:r>
                  <w:r>
                    <w:rPr>
                      <w:rFonts w:ascii="仿宋" w:hAnsi="仿宋" w:cs="仿宋" w:eastAsia="仿宋"/>
                      <w:sz w:val="24"/>
                    </w:rPr>
                    <w:t>▲</w:t>
                  </w:r>
                  <w:r>
                    <w:rPr>
                      <w:rFonts w:ascii="仿宋" w:hAnsi="仿宋" w:cs="仿宋" w:eastAsia="仿宋"/>
                      <w:sz w:val="24"/>
                    </w:rPr>
                    <w:t>设备应具有易燃液体和危害性液体检测识别功能。当传送带上放置以下塑料瓶装液体时（包括但不限于），设备应能以方框框出并文字提示危害性液体名称</w:t>
                  </w:r>
                  <w:r>
                    <w:rPr>
                      <w:rFonts w:ascii="仿宋" w:hAnsi="仿宋" w:cs="仿宋" w:eastAsia="仿宋"/>
                      <w:sz w:val="24"/>
                    </w:rPr>
                    <w:t>: 500mL 塑料瓶装煤油、500mL 塑料瓶装柴油、500mL 塑料瓶装液体胶水、500mL塑料瓶装盐酸化学试剂(0.996 mol/L)等</w:t>
                  </w:r>
                </w:p>
                <w:p>
                  <w:pPr>
                    <w:pStyle w:val="null3"/>
                    <w:jc w:val="both"/>
                  </w:pPr>
                  <w:r>
                    <w:rPr>
                      <w:rFonts w:ascii="仿宋" w:hAnsi="仿宋" w:cs="仿宋" w:eastAsia="仿宋"/>
                      <w:sz w:val="24"/>
                    </w:rPr>
                    <w:t>23.</w:t>
                  </w:r>
                  <w:r>
                    <w:rPr>
                      <w:rFonts w:ascii="仿宋" w:hAnsi="仿宋" w:cs="仿宋" w:eastAsia="仿宋"/>
                      <w:sz w:val="24"/>
                    </w:rPr>
                    <w:t>▲</w:t>
                  </w:r>
                  <w:r>
                    <w:rPr>
                      <w:rFonts w:ascii="仿宋" w:hAnsi="仿宋" w:cs="仿宋" w:eastAsia="仿宋"/>
                      <w:sz w:val="24"/>
                    </w:rPr>
                    <w:t>设备应具有安全液体检测功能。当行放置以下塑料瓶装的安全液体时（包括但不限于），设备应能以方框框出并文字提示</w:t>
                  </w:r>
                  <w:r>
                    <w:rPr>
                      <w:rFonts w:ascii="仿宋" w:hAnsi="仿宋" w:cs="仿宋" w:eastAsia="仿宋"/>
                      <w:sz w:val="24"/>
                    </w:rPr>
                    <w:t>“安全液体”：1、550mL塑料瓶装可口可乐(满瓶装)、550mL塑料瓶装牛奶(满瓶装)、 550mL塑料瓶装矿泉水(满瓶装)、 550mL塑料瓶装洗发水(满瓶装)、550m塑料瓶可口可乐(半瓶装)等</w:t>
                  </w:r>
                </w:p>
                <w:p>
                  <w:pPr>
                    <w:pStyle w:val="null3"/>
                    <w:jc w:val="both"/>
                  </w:pPr>
                  <w:r>
                    <w:rPr>
                      <w:rFonts w:ascii="仿宋" w:hAnsi="仿宋" w:cs="仿宋" w:eastAsia="仿宋"/>
                      <w:sz w:val="24"/>
                    </w:rPr>
                    <w:t>24.</w:t>
                  </w:r>
                  <w:r>
                    <w:rPr>
                      <w:rFonts w:ascii="仿宋" w:hAnsi="仿宋" w:cs="仿宋" w:eastAsia="仿宋"/>
                      <w:sz w:val="24"/>
                    </w:rPr>
                    <w:t>▲</w:t>
                  </w:r>
                  <w:r>
                    <w:rPr>
                      <w:rFonts w:ascii="仿宋" w:hAnsi="仿宋" w:cs="仿宋" w:eastAsia="仿宋"/>
                      <w:sz w:val="24"/>
                    </w:rPr>
                    <w:t>在无书本、衣服等常规行李干扰物，设备对危险液体单一角度</w:t>
                  </w:r>
                  <w:r>
                    <w:rPr>
                      <w:rFonts w:ascii="仿宋" w:hAnsi="仿宋" w:cs="仿宋" w:eastAsia="仿宋"/>
                      <w:sz w:val="24"/>
                    </w:rPr>
                    <w:t>(平面俯视)的冗余误报率应小于或等于 1%。</w:t>
                  </w:r>
                </w:p>
                <w:p>
                  <w:pPr>
                    <w:pStyle w:val="null3"/>
                    <w:jc w:val="both"/>
                  </w:pPr>
                  <w:r>
                    <w:rPr>
                      <w:rFonts w:ascii="仿宋" w:hAnsi="仿宋" w:cs="仿宋" w:eastAsia="仿宋"/>
                      <w:b/>
                      <w:sz w:val="24"/>
                      <w:u w:val="single"/>
                    </w:rPr>
                    <w:t>（加</w:t>
                  </w:r>
                  <w:r>
                    <w:rPr>
                      <w:rFonts w:ascii="仿宋" w:hAnsi="仿宋" w:cs="仿宋" w:eastAsia="仿宋"/>
                      <w:b/>
                      <w:sz w:val="24"/>
                      <w:u w:val="single"/>
                    </w:rPr>
                    <w:t>▲</w:t>
                  </w:r>
                  <w:r>
                    <w:rPr>
                      <w:rFonts w:ascii="仿宋" w:hAnsi="仿宋" w:cs="仿宋" w:eastAsia="仿宋"/>
                      <w:b/>
                      <w:sz w:val="24"/>
                      <w:u w:val="single"/>
                    </w:rPr>
                    <w:t>项需提供产品公安部检测报告复印件并加盖厂商公章或投标专用章）</w:t>
                  </w:r>
                </w:p>
                <w:p>
                  <w:pPr>
                    <w:pStyle w:val="null3"/>
                    <w:jc w:val="left"/>
                  </w:pP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安检门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 w:hAnsi="仿宋" w:cs="仿宋" w:eastAsia="仿宋"/>
                      <w:sz w:val="24"/>
                    </w:rPr>
                    <w:t>应符合《</w:t>
                  </w:r>
                  <w:r>
                    <w:rPr>
                      <w:rFonts w:ascii="仿宋" w:hAnsi="仿宋" w:cs="仿宋" w:eastAsia="仿宋"/>
                      <w:sz w:val="24"/>
                    </w:rPr>
                    <w:t>GB 15210-2018 通过式金属探测门通用技术规范》；金属门应能对达到或超过限定量的金属进行报警，不应该出现漏报警</w:t>
                  </w:r>
                </w:p>
                <w:p>
                  <w:pPr>
                    <w:pStyle w:val="null3"/>
                    <w:numPr>
                      <w:ilvl w:val="0"/>
                      <w:numId w:val="1"/>
                    </w:numPr>
                    <w:jc w:val="both"/>
                  </w:pPr>
                  <w:r>
                    <w:rPr>
                      <w:rFonts w:ascii="仿宋" w:hAnsi="仿宋" w:cs="仿宋" w:eastAsia="仿宋"/>
                      <w:sz w:val="24"/>
                    </w:rPr>
                    <w:t>门体显示：采用至少</w:t>
                  </w:r>
                  <w:r>
                    <w:rPr>
                      <w:rFonts w:ascii="仿宋" w:hAnsi="仿宋" w:cs="仿宋" w:eastAsia="仿宋"/>
                      <w:sz w:val="24"/>
                    </w:rPr>
                    <w:t>7寸液晶屏显示，可展示客流和报警数据</w:t>
                  </w:r>
                </w:p>
                <w:p>
                  <w:pPr>
                    <w:pStyle w:val="null3"/>
                    <w:numPr>
                      <w:ilvl w:val="0"/>
                      <w:numId w:val="1"/>
                    </w:numPr>
                    <w:jc w:val="both"/>
                  </w:pPr>
                  <w:r>
                    <w:rPr>
                      <w:rFonts w:ascii="仿宋" w:hAnsi="仿宋" w:cs="仿宋" w:eastAsia="仿宋"/>
                      <w:sz w:val="24"/>
                    </w:rPr>
                    <w:t>通行速度：应不小于</w:t>
                  </w:r>
                  <w:r>
                    <w:rPr>
                      <w:rFonts w:ascii="仿宋" w:hAnsi="仿宋" w:cs="仿宋" w:eastAsia="仿宋"/>
                      <w:sz w:val="24"/>
                    </w:rPr>
                    <w:t>0.4m/s～1.8m/s。当人在规定的通行速度范围内穿过时，应报警测试物正确响应并报警，总探测率应≥90%</w:t>
                  </w:r>
                </w:p>
                <w:p>
                  <w:pPr>
                    <w:pStyle w:val="null3"/>
                    <w:numPr>
                      <w:ilvl w:val="0"/>
                      <w:numId w:val="1"/>
                    </w:numPr>
                    <w:jc w:val="both"/>
                  </w:pPr>
                  <w:r>
                    <w:rPr>
                      <w:rFonts w:ascii="仿宋" w:hAnsi="仿宋" w:cs="仿宋" w:eastAsia="仿宋"/>
                      <w:sz w:val="24"/>
                    </w:rPr>
                    <w:t>报警响应时间：进入探测区后</w:t>
                  </w:r>
                  <w:r>
                    <w:rPr>
                      <w:rFonts w:ascii="仿宋" w:hAnsi="仿宋" w:cs="仿宋" w:eastAsia="仿宋"/>
                      <w:sz w:val="24"/>
                    </w:rPr>
                    <w:t>1s，金属门应能发出报警提示，且离开探测区后报警指示延续应小于等于1s</w:t>
                  </w:r>
                </w:p>
                <w:p>
                  <w:pPr>
                    <w:pStyle w:val="null3"/>
                    <w:numPr>
                      <w:ilvl w:val="0"/>
                      <w:numId w:val="1"/>
                    </w:numPr>
                    <w:jc w:val="both"/>
                  </w:pPr>
                  <w:r>
                    <w:rPr>
                      <w:rFonts w:ascii="仿宋" w:hAnsi="仿宋" w:cs="仿宋" w:eastAsia="仿宋"/>
                      <w:sz w:val="24"/>
                    </w:rPr>
                    <w:t>应可在</w:t>
                  </w:r>
                  <w:r>
                    <w:rPr>
                      <w:rFonts w:ascii="仿宋" w:hAnsi="仿宋" w:cs="仿宋" w:eastAsia="仿宋"/>
                      <w:sz w:val="24"/>
                    </w:rPr>
                    <w:t>1、6、12、18、11、22、33共7种区位模式间切换；可一键设置灵敏度，灵敏度等级为0-9999级</w:t>
                  </w:r>
                </w:p>
                <w:p>
                  <w:pPr>
                    <w:pStyle w:val="null3"/>
                    <w:numPr>
                      <w:ilvl w:val="0"/>
                      <w:numId w:val="1"/>
                    </w:numPr>
                    <w:jc w:val="both"/>
                  </w:pPr>
                  <w:r>
                    <w:rPr>
                      <w:rFonts w:ascii="仿宋" w:hAnsi="仿宋" w:cs="仿宋" w:eastAsia="仿宋"/>
                      <w:sz w:val="24"/>
                    </w:rPr>
                    <w:t>系统前后两侧都有</w:t>
                  </w:r>
                  <w:r>
                    <w:rPr>
                      <w:rFonts w:ascii="仿宋" w:hAnsi="仿宋" w:cs="仿宋" w:eastAsia="仿宋"/>
                      <w:sz w:val="24"/>
                    </w:rPr>
                    <w:t>LED灯条，可显示人体藏匿违禁品的高度，在门板左右均可通过LED灯条显示对应报警区域；当有金属物进入检测区域时，该区域对应的指示灯将点亮；当多个区域有报警物时，对应的区域都应显示报警；"</w:t>
                  </w:r>
                </w:p>
                <w:p>
                  <w:pPr>
                    <w:pStyle w:val="null3"/>
                    <w:numPr>
                      <w:ilvl w:val="0"/>
                      <w:numId w:val="1"/>
                    </w:numPr>
                    <w:jc w:val="both"/>
                  </w:pPr>
                  <w:r>
                    <w:rPr>
                      <w:rFonts w:ascii="仿宋" w:hAnsi="仿宋" w:cs="仿宋" w:eastAsia="仿宋"/>
                      <w:sz w:val="24"/>
                    </w:rPr>
                    <w:t>计数功能：具有计数统计功能，能可靠地记录有效受检人数（双向通行）和发生过报警的人次</w:t>
                  </w:r>
                </w:p>
                <w:p>
                  <w:pPr>
                    <w:pStyle w:val="null3"/>
                    <w:numPr>
                      <w:ilvl w:val="0"/>
                      <w:numId w:val="1"/>
                    </w:numPr>
                    <w:jc w:val="both"/>
                  </w:pPr>
                  <w:r>
                    <w:rPr>
                      <w:rFonts w:ascii="仿宋" w:hAnsi="仿宋" w:cs="仿宋" w:eastAsia="仿宋"/>
                      <w:sz w:val="24"/>
                    </w:rPr>
                    <w:t>报警声音：</w:t>
                  </w:r>
                  <w:r>
                    <w:rPr>
                      <w:rFonts w:ascii="仿宋" w:hAnsi="仿宋" w:cs="仿宋" w:eastAsia="仿宋"/>
                      <w:sz w:val="24"/>
                    </w:rPr>
                    <w:t>a)应与非报警声有区别。b)应能调节音调，以便能明确区分两台相邻探测门的报警。c)应能从静音到最大声强分档调节，最大声强不应低于95dB</w:t>
                  </w:r>
                </w:p>
                <w:p>
                  <w:pPr>
                    <w:pStyle w:val="null3"/>
                    <w:numPr>
                      <w:ilvl w:val="0"/>
                      <w:numId w:val="1"/>
                    </w:numPr>
                    <w:jc w:val="both"/>
                  </w:pPr>
                  <w:r>
                    <w:rPr>
                      <w:rFonts w:ascii="仿宋" w:hAnsi="仿宋" w:cs="仿宋" w:eastAsia="仿宋"/>
                      <w:sz w:val="24"/>
                    </w:rPr>
                    <w:t>飞物报警功能：将</w:t>
                  </w:r>
                  <w:r>
                    <w:rPr>
                      <w:rFonts w:ascii="仿宋" w:hAnsi="仿宋" w:cs="仿宋" w:eastAsia="仿宋"/>
                      <w:sz w:val="24"/>
                    </w:rPr>
                    <w:t>1元硬币以不大于1m/s 速度抛过探测区域时，安检门应给出报警指示，漏报率不大于2%；</w:t>
                  </w:r>
                </w:p>
                <w:p>
                  <w:pPr>
                    <w:pStyle w:val="null3"/>
                    <w:numPr>
                      <w:ilvl w:val="0"/>
                      <w:numId w:val="1"/>
                    </w:numPr>
                    <w:jc w:val="both"/>
                  </w:pPr>
                  <w:r>
                    <w:rPr>
                      <w:rFonts w:ascii="仿宋" w:hAnsi="仿宋" w:cs="仿宋" w:eastAsia="仿宋"/>
                      <w:sz w:val="24"/>
                    </w:rPr>
                    <w:t>▲</w:t>
                  </w:r>
                  <w:r>
                    <w:rPr>
                      <w:rFonts w:ascii="仿宋" w:hAnsi="仿宋" w:cs="仿宋" w:eastAsia="仿宋"/>
                      <w:sz w:val="24"/>
                    </w:rPr>
                    <w:t>探测区内磁感应强度</w:t>
                  </w:r>
                  <w:r>
                    <w:rPr>
                      <w:rFonts w:ascii="仿宋" w:hAnsi="仿宋" w:cs="仿宋" w:eastAsia="仿宋"/>
                      <w:sz w:val="24"/>
                    </w:rPr>
                    <w:t>:在探测区左右边界各方内150mm 形成的区域中，任意一点的磁感应强度都不应超过30uT</w:t>
                  </w:r>
                  <w:r>
                    <w:rPr>
                      <w:rFonts w:ascii="仿宋" w:hAnsi="仿宋" w:cs="仿宋" w:eastAsia="仿宋"/>
                      <w:sz w:val="24"/>
                    </w:rPr>
                    <w:t>。</w:t>
                  </w:r>
                </w:p>
                <w:p>
                  <w:pPr>
                    <w:pStyle w:val="null3"/>
                    <w:numPr>
                      <w:ilvl w:val="0"/>
                      <w:numId w:val="1"/>
                    </w:numPr>
                    <w:jc w:val="both"/>
                  </w:pPr>
                  <w:r>
                    <w:rPr>
                      <w:rFonts w:ascii="仿宋" w:hAnsi="仿宋" w:cs="仿宋" w:eastAsia="仿宋"/>
                      <w:sz w:val="24"/>
                    </w:rPr>
                    <w:t>实时金属数值显示功能：样机切换到调试界面时，每个人通过安检门时，可显示出人身上的金属物品对应到每个防区的数值，也可以实时显示当前环境下的每个防区的环境干扰数值</w:t>
                  </w:r>
                </w:p>
                <w:p>
                  <w:pPr>
                    <w:pStyle w:val="null3"/>
                    <w:numPr>
                      <w:ilvl w:val="0"/>
                      <w:numId w:val="1"/>
                    </w:numPr>
                    <w:jc w:val="both"/>
                  </w:pPr>
                  <w:r>
                    <w:rPr>
                      <w:rFonts w:ascii="仿宋" w:hAnsi="仿宋" w:cs="仿宋" w:eastAsia="仿宋"/>
                      <w:sz w:val="24"/>
                    </w:rPr>
                    <w:t>显示屏实时显示信息功能：样机显示屏上可实时显示设备的红外状态、网络连接状态、机箱与门板的连接状态、金属信号强度、系统时间</w:t>
                  </w:r>
                </w:p>
                <w:p>
                  <w:pPr>
                    <w:pStyle w:val="null3"/>
                    <w:numPr>
                      <w:ilvl w:val="0"/>
                      <w:numId w:val="1"/>
                    </w:numPr>
                    <w:jc w:val="both"/>
                  </w:pPr>
                  <w:r>
                    <w:rPr>
                      <w:rFonts w:ascii="仿宋" w:hAnsi="仿宋" w:cs="仿宋" w:eastAsia="仿宋"/>
                      <w:sz w:val="24"/>
                    </w:rPr>
                    <w:t>功耗＜</w:t>
                  </w:r>
                  <w:r>
                    <w:rPr>
                      <w:rFonts w:ascii="仿宋" w:hAnsi="仿宋" w:cs="仿宋" w:eastAsia="仿宋"/>
                      <w:sz w:val="24"/>
                    </w:rPr>
                    <w:t>30W；工作温度/湿度：-10℃─55℃；95%，无冷凝；电源输入：187V～242V，50/60Hz</w:t>
                  </w:r>
                </w:p>
                <w:p>
                  <w:pPr>
                    <w:pStyle w:val="null3"/>
                    <w:numPr>
                      <w:ilvl w:val="0"/>
                      <w:numId w:val="1"/>
                    </w:numPr>
                    <w:jc w:val="both"/>
                  </w:pPr>
                  <w:r>
                    <w:rPr>
                      <w:rFonts w:ascii="仿宋" w:hAnsi="仿宋" w:cs="仿宋" w:eastAsia="仿宋"/>
                      <w:sz w:val="24"/>
                    </w:rPr>
                    <w:t>多位置供电功能：样机的机箱顶部、左右门板均有电源和网络接口</w:t>
                  </w:r>
                </w:p>
                <w:p>
                  <w:pPr>
                    <w:pStyle w:val="null3"/>
                    <w:numPr>
                      <w:ilvl w:val="0"/>
                      <w:numId w:val="1"/>
                    </w:numPr>
                    <w:jc w:val="both"/>
                  </w:pPr>
                  <w:r>
                    <w:rPr>
                      <w:rFonts w:ascii="仿宋" w:hAnsi="仿宋" w:cs="仿宋" w:eastAsia="仿宋"/>
                      <w:sz w:val="24"/>
                    </w:rPr>
                    <w:t>▲</w:t>
                  </w:r>
                  <w:r>
                    <w:rPr>
                      <w:rFonts w:ascii="仿宋" w:hAnsi="仿宋" w:cs="仿宋" w:eastAsia="仿宋"/>
                      <w:sz w:val="24"/>
                    </w:rPr>
                    <w:t>断电继续工作：当外部电源断电时，可支持自动切换到备用电源，备用电源连续供电时间</w:t>
                  </w:r>
                  <w:r>
                    <w:rPr>
                      <w:rFonts w:ascii="仿宋" w:hAnsi="仿宋" w:cs="仿宋" w:eastAsia="仿宋"/>
                      <w:sz w:val="24"/>
                    </w:rPr>
                    <w:t>≥60h</w:t>
                  </w:r>
                </w:p>
                <w:p>
                  <w:pPr>
                    <w:pStyle w:val="null3"/>
                    <w:numPr>
                      <w:ilvl w:val="0"/>
                      <w:numId w:val="1"/>
                    </w:numPr>
                    <w:jc w:val="both"/>
                  </w:pPr>
                  <w:r>
                    <w:rPr>
                      <w:rFonts w:ascii="仿宋" w:hAnsi="仿宋" w:cs="仿宋" w:eastAsia="仿宋"/>
                      <w:sz w:val="24"/>
                    </w:rPr>
                    <w:t>▲</w:t>
                  </w:r>
                  <w:r>
                    <w:rPr>
                      <w:rFonts w:ascii="仿宋" w:hAnsi="仿宋" w:cs="仿宋" w:eastAsia="仿宋"/>
                      <w:sz w:val="24"/>
                    </w:rPr>
                    <w:t>联动功能：样机门板底部左右电源面板共支持不少于</w:t>
                  </w:r>
                  <w:r>
                    <w:rPr>
                      <w:rFonts w:ascii="仿宋" w:hAnsi="仿宋" w:cs="仿宋" w:eastAsia="仿宋"/>
                      <w:sz w:val="24"/>
                    </w:rPr>
                    <w:t>3路报警输出接口，每路报警输出可设置持续事件、常开常闭状态及关联通行方向（可设置正向、反向、双向）</w:t>
                  </w:r>
                </w:p>
                <w:p>
                  <w:pPr>
                    <w:pStyle w:val="null3"/>
                    <w:numPr>
                      <w:ilvl w:val="0"/>
                      <w:numId w:val="1"/>
                    </w:numPr>
                    <w:jc w:val="both"/>
                  </w:pPr>
                  <w:r>
                    <w:rPr>
                      <w:rFonts w:ascii="仿宋" w:hAnsi="仿宋" w:cs="仿宋" w:eastAsia="仿宋"/>
                      <w:sz w:val="24"/>
                    </w:rPr>
                    <w:t>▲</w:t>
                  </w:r>
                  <w:r>
                    <w:rPr>
                      <w:rFonts w:ascii="仿宋" w:hAnsi="仿宋" w:cs="仿宋" w:eastAsia="仿宋"/>
                      <w:sz w:val="24"/>
                    </w:rPr>
                    <w:t>数据报表功能：安检系统应能存储每天通过的人数、金属告警数、金属告警率至远程服务器，在远程服务器可以选择以表单形式或者图表形式展示；并支持按时间、位置、告警等级查询历史信息，历史信息中可展示时间、告警等级、位置、报警区位及信号强度、人脸抓拍图及录像、并以安检门图例的形式显示报警区位，同时支持历史信息的数据报表导出，而且存储数据不小于</w:t>
                  </w:r>
                  <w:r>
                    <w:rPr>
                      <w:rFonts w:ascii="仿宋" w:hAnsi="仿宋" w:cs="仿宋" w:eastAsia="仿宋"/>
                      <w:sz w:val="24"/>
                    </w:rPr>
                    <w:t>5000000条</w:t>
                  </w:r>
                </w:p>
                <w:p>
                  <w:pPr>
                    <w:pStyle w:val="null3"/>
                    <w:numPr>
                      <w:ilvl w:val="0"/>
                      <w:numId w:val="1"/>
                    </w:numPr>
                    <w:jc w:val="both"/>
                  </w:pPr>
                  <w:r>
                    <w:rPr>
                      <w:rFonts w:ascii="仿宋" w:hAnsi="仿宋" w:cs="仿宋" w:eastAsia="仿宋"/>
                      <w:sz w:val="24"/>
                    </w:rPr>
                    <w:t>远程控制：设备应具备远程参数调整、远程诊断及报警相关数据存储功能；当远程控制因故中断时，金属门应能自动恢复本地控制。</w:t>
                  </w:r>
                </w:p>
                <w:p>
                  <w:pPr>
                    <w:pStyle w:val="null3"/>
                    <w:numPr>
                      <w:ilvl w:val="0"/>
                      <w:numId w:val="1"/>
                    </w:numPr>
                    <w:jc w:val="both"/>
                  </w:pPr>
                  <w:r>
                    <w:rPr>
                      <w:rFonts w:ascii="仿宋" w:hAnsi="仿宋" w:cs="仿宋" w:eastAsia="仿宋"/>
                      <w:b/>
                      <w:sz w:val="24"/>
                      <w:u w:val="single"/>
                    </w:rPr>
                    <w:t>（加</w:t>
                  </w:r>
                  <w:r>
                    <w:rPr>
                      <w:rFonts w:ascii="仿宋" w:hAnsi="仿宋" w:cs="仿宋" w:eastAsia="仿宋"/>
                      <w:b/>
                      <w:sz w:val="24"/>
                      <w:u w:val="single"/>
                    </w:rPr>
                    <w:t>▲</w:t>
                  </w:r>
                  <w:r>
                    <w:rPr>
                      <w:rFonts w:ascii="仿宋" w:hAnsi="仿宋" w:cs="仿宋" w:eastAsia="仿宋"/>
                      <w:b/>
                      <w:sz w:val="24"/>
                      <w:u w:val="single"/>
                    </w:rPr>
                    <w:t>项需提供产品公安部检测报告复印件并加盖厂商公章或投标专用章）</w:t>
                  </w:r>
                </w:p>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液体探测仪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 w:hAnsi="仿宋" w:cs="仿宋" w:eastAsia="仿宋"/>
                      <w:sz w:val="24"/>
                    </w:rPr>
                    <w:t>尺寸：</w:t>
                  </w:r>
                  <w:r>
                    <w:rPr>
                      <w:rFonts w:ascii="仿宋" w:hAnsi="仿宋" w:cs="仿宋" w:eastAsia="仿宋"/>
                      <w:sz w:val="24"/>
                    </w:rPr>
                    <w:t>≤410mm(长）×340mm(宽）×200mm(高）；仪器重量：≤4kg</w:t>
                  </w:r>
                </w:p>
                <w:p>
                  <w:pPr>
                    <w:pStyle w:val="null3"/>
                    <w:ind w:right="105"/>
                    <w:jc w:val="both"/>
                  </w:pPr>
                  <w:r>
                    <w:rPr>
                      <w:rFonts w:ascii="仿宋" w:hAnsi="仿宋" w:cs="仿宋" w:eastAsia="仿宋"/>
                      <w:sz w:val="24"/>
                    </w:rPr>
                    <w:t>仪器支持对非金属容器和金属材质的容器进行检测。且可同时检测，互不影响；仪器应使用非接触式检测，不需打开容器的条件下实现液态物品检查。</w:t>
                  </w:r>
                </w:p>
                <w:p>
                  <w:pPr>
                    <w:pStyle w:val="null3"/>
                    <w:ind w:right="105"/>
                    <w:jc w:val="both"/>
                  </w:pPr>
                  <w:r>
                    <w:rPr>
                      <w:rFonts w:ascii="仿宋" w:hAnsi="仿宋" w:cs="仿宋" w:eastAsia="仿宋"/>
                      <w:sz w:val="24"/>
                    </w:rPr>
                    <w:t>▲</w:t>
                  </w:r>
                  <w:r>
                    <w:rPr>
                      <w:rFonts w:ascii="仿宋" w:hAnsi="仿宋" w:cs="仿宋" w:eastAsia="仿宋"/>
                      <w:sz w:val="24"/>
                    </w:rPr>
                    <w:t>报警指示：仪器能够提供声光、液晶显示屏（不小于</w:t>
                  </w:r>
                  <w:r>
                    <w:rPr>
                      <w:rFonts w:ascii="仿宋" w:hAnsi="仿宋" w:cs="仿宋" w:eastAsia="仿宋"/>
                      <w:sz w:val="24"/>
                    </w:rPr>
                    <w:t>10寸触摸液晶显示屏）文字或图案等报警提示方式，报警声音应能单独关闭。</w:t>
                  </w:r>
                </w:p>
                <w:p>
                  <w:pPr>
                    <w:pStyle w:val="null3"/>
                    <w:ind w:right="105"/>
                    <w:jc w:val="both"/>
                  </w:pPr>
                  <w:r>
                    <w:rPr>
                      <w:rFonts w:ascii="仿宋" w:hAnsi="仿宋" w:cs="仿宋" w:eastAsia="仿宋"/>
                      <w:sz w:val="24"/>
                    </w:rPr>
                    <w:t>▲</w:t>
                  </w:r>
                  <w:r>
                    <w:rPr>
                      <w:rFonts w:ascii="仿宋" w:hAnsi="仿宋" w:cs="仿宋" w:eastAsia="仿宋"/>
                      <w:sz w:val="24"/>
                    </w:rPr>
                    <w:t>数据存储：仪器的检测数据储存量应不小于</w:t>
                  </w:r>
                  <w:r>
                    <w:rPr>
                      <w:rFonts w:ascii="仿宋" w:hAnsi="仿宋" w:cs="仿宋" w:eastAsia="仿宋"/>
                      <w:sz w:val="24"/>
                    </w:rPr>
                    <w:t>100000条，且支持内存卡扩充；能够对检测结果进行查看，并能够通过USB或WIFI将数据导出。</w:t>
                  </w:r>
                </w:p>
                <w:p>
                  <w:pPr>
                    <w:pStyle w:val="null3"/>
                    <w:ind w:right="105"/>
                    <w:jc w:val="both"/>
                  </w:pPr>
                  <w:r>
                    <w:rPr>
                      <w:rFonts w:ascii="仿宋" w:hAnsi="仿宋" w:cs="仿宋" w:eastAsia="仿宋"/>
                      <w:sz w:val="24"/>
                    </w:rPr>
                    <w:t>应能对以下材质及规格容器内液体进行检测：</w:t>
                  </w:r>
                </w:p>
                <w:p>
                  <w:pPr>
                    <w:pStyle w:val="null3"/>
                    <w:ind w:left="420" w:right="105"/>
                    <w:jc w:val="both"/>
                  </w:pPr>
                  <w:r>
                    <w:rPr>
                      <w:rFonts w:ascii="仿宋" w:hAnsi="仿宋" w:cs="仿宋" w:eastAsia="仿宋"/>
                      <w:sz w:val="24"/>
                    </w:rPr>
                    <w:t>塑料</w:t>
                  </w:r>
                  <w:r>
                    <w:rPr>
                      <w:rFonts w:ascii="仿宋" w:hAnsi="仿宋" w:cs="仿宋" w:eastAsia="仿宋"/>
                      <w:sz w:val="24"/>
                    </w:rPr>
                    <w:t>/玻璃/陶瓷：高度：不小于3cm，最大高度不限；直径：3cm≤直径≤20cm；壁厚：玻璃/陶瓷：≤5mm；塑料：≤3.5mm</w:t>
                  </w:r>
                </w:p>
                <w:p>
                  <w:pPr>
                    <w:pStyle w:val="null3"/>
                    <w:ind w:left="420" w:right="105"/>
                    <w:jc w:val="both"/>
                  </w:pPr>
                  <w:r>
                    <w:rPr>
                      <w:rFonts w:ascii="仿宋" w:hAnsi="仿宋" w:cs="仿宋" w:eastAsia="仿宋"/>
                      <w:sz w:val="24"/>
                    </w:rPr>
                    <w:t>铝罐</w:t>
                  </w:r>
                  <w:r>
                    <w:rPr>
                      <w:rFonts w:ascii="仿宋" w:hAnsi="仿宋" w:cs="仿宋" w:eastAsia="仿宋"/>
                      <w:sz w:val="24"/>
                    </w:rPr>
                    <w:t>/铁罐：高度：不小于3cm，最大高度不限；直径：3cm≤直径≤20cm；壁厚：≤0.3mm</w:t>
                  </w:r>
                </w:p>
                <w:p>
                  <w:pPr>
                    <w:pStyle w:val="null3"/>
                    <w:ind w:right="105"/>
                    <w:jc w:val="both"/>
                  </w:pPr>
                  <w:r>
                    <w:rPr>
                      <w:rFonts w:ascii="仿宋" w:hAnsi="仿宋" w:cs="仿宋" w:eastAsia="仿宋"/>
                      <w:sz w:val="24"/>
                    </w:rPr>
                    <w:t>应具备操作人员身份认证功能，并能通过密码验证限制设备被非授权人员操作。</w:t>
                  </w:r>
                </w:p>
                <w:p>
                  <w:pPr>
                    <w:pStyle w:val="null3"/>
                    <w:ind w:right="105"/>
                    <w:jc w:val="both"/>
                  </w:pPr>
                  <w:r>
                    <w:rPr>
                      <w:rFonts w:ascii="仿宋" w:hAnsi="仿宋" w:cs="仿宋" w:eastAsia="仿宋"/>
                      <w:sz w:val="24"/>
                    </w:rPr>
                    <w:t>▲</w:t>
                  </w:r>
                  <w:r>
                    <w:rPr>
                      <w:rFonts w:ascii="仿宋" w:hAnsi="仿宋" w:cs="仿宋" w:eastAsia="仿宋"/>
                      <w:sz w:val="24"/>
                    </w:rPr>
                    <w:t>启动时间应</w:t>
                  </w:r>
                  <w:r>
                    <w:rPr>
                      <w:rFonts w:ascii="仿宋" w:hAnsi="仿宋" w:cs="仿宋" w:eastAsia="仿宋"/>
                      <w:sz w:val="24"/>
                    </w:rPr>
                    <w:t>≤2s；自校验时间应≤1.5S</w:t>
                  </w:r>
                </w:p>
                <w:p>
                  <w:pPr>
                    <w:pStyle w:val="null3"/>
                    <w:ind w:right="105"/>
                    <w:jc w:val="both"/>
                  </w:pPr>
                  <w:r>
                    <w:rPr>
                      <w:rFonts w:ascii="仿宋" w:hAnsi="仿宋" w:cs="仿宋" w:eastAsia="仿宋"/>
                      <w:sz w:val="24"/>
                    </w:rPr>
                    <w:t>▲</w:t>
                  </w:r>
                  <w:r>
                    <w:rPr>
                      <w:rFonts w:ascii="仿宋" w:hAnsi="仿宋" w:cs="仿宋" w:eastAsia="仿宋"/>
                      <w:sz w:val="24"/>
                    </w:rPr>
                    <w:t>对非金属容器内液体的检测时间应小于等于</w:t>
                  </w:r>
                  <w:r>
                    <w:rPr>
                      <w:rFonts w:ascii="仿宋" w:hAnsi="仿宋" w:cs="仿宋" w:eastAsia="仿宋"/>
                      <w:sz w:val="24"/>
                    </w:rPr>
                    <w:t>1秒；对金属容器内液体的检测时间应小于等于4秒。</w:t>
                  </w:r>
                </w:p>
                <w:p>
                  <w:pPr>
                    <w:pStyle w:val="null3"/>
                    <w:ind w:right="105"/>
                    <w:jc w:val="both"/>
                  </w:pPr>
                  <w:r>
                    <w:rPr>
                      <w:rFonts w:ascii="仿宋" w:hAnsi="仿宋" w:cs="仿宋" w:eastAsia="仿宋"/>
                      <w:sz w:val="24"/>
                    </w:rPr>
                    <w:t>▲</w:t>
                  </w:r>
                  <w:r>
                    <w:rPr>
                      <w:rFonts w:ascii="仿宋" w:hAnsi="仿宋" w:cs="仿宋" w:eastAsia="仿宋"/>
                      <w:sz w:val="24"/>
                    </w:rPr>
                    <w:t>应能对符合材质及壁厚要求的容器内的以下易燃易爆液体检测并报警：</w:t>
                  </w:r>
                </w:p>
                <w:p>
                  <w:pPr>
                    <w:pStyle w:val="null3"/>
                    <w:ind w:left="420" w:right="105"/>
                    <w:jc w:val="both"/>
                  </w:pPr>
                  <w:r>
                    <w:rPr>
                      <w:rFonts w:ascii="仿宋" w:hAnsi="仿宋" w:cs="仿宋" w:eastAsia="仿宋"/>
                      <w:sz w:val="24"/>
                    </w:rPr>
                    <w:t>1、乙醚  2、异丙醚  3、甲醇  3、苯  4、氯苯  5、硝基苯  6、丙酮   6、溴苯  7、40%氢氧化钠水溶液  8、煤油等140种以上液体</w:t>
                  </w:r>
                </w:p>
                <w:p>
                  <w:pPr>
                    <w:pStyle w:val="null3"/>
                    <w:ind w:right="105"/>
                    <w:jc w:val="both"/>
                  </w:pPr>
                  <w:r>
                    <w:rPr>
                      <w:rFonts w:ascii="仿宋" w:hAnsi="仿宋" w:cs="仿宋" w:eastAsia="仿宋"/>
                      <w:sz w:val="24"/>
                    </w:rPr>
                    <w:t>报警复位功能。在发生报警后应能手动或自动复位，以便进行下一次报警。</w:t>
                  </w:r>
                </w:p>
                <w:p>
                  <w:pPr>
                    <w:pStyle w:val="null3"/>
                    <w:ind w:right="105"/>
                    <w:jc w:val="both"/>
                  </w:pPr>
                  <w:r>
                    <w:rPr>
                      <w:rFonts w:ascii="仿宋" w:hAnsi="仿宋" w:cs="仿宋" w:eastAsia="仿宋"/>
                      <w:sz w:val="24"/>
                    </w:rPr>
                    <w:t>自动计数功能，并对接受检测的每一件液态物品及报警液态物品分别进行计数，且金属检测和非金属检测分开计数。</w:t>
                  </w:r>
                </w:p>
                <w:p>
                  <w:pPr>
                    <w:pStyle w:val="null3"/>
                    <w:ind w:right="105"/>
                    <w:jc w:val="both"/>
                  </w:pPr>
                  <w:r>
                    <w:rPr>
                      <w:rFonts w:ascii="仿宋" w:hAnsi="仿宋" w:cs="仿宋" w:eastAsia="仿宋"/>
                      <w:sz w:val="24"/>
                    </w:rPr>
                    <w:t>仪器的报警音量应能设置：在最大报警音量条件下，距仪器表面</w:t>
                  </w:r>
                  <w:r>
                    <w:rPr>
                      <w:rFonts w:ascii="仿宋" w:hAnsi="仿宋" w:cs="仿宋" w:eastAsia="仿宋"/>
                      <w:sz w:val="24"/>
                    </w:rPr>
                    <w:t>0.5m处的报警声级应大于等于75dB(A)。</w:t>
                  </w:r>
                </w:p>
                <w:p>
                  <w:pPr>
                    <w:pStyle w:val="null3"/>
                    <w:ind w:right="105"/>
                    <w:jc w:val="both"/>
                  </w:pPr>
                  <w:r>
                    <w:rPr>
                      <w:rFonts w:ascii="仿宋" w:hAnsi="仿宋" w:cs="仿宋" w:eastAsia="仿宋"/>
                      <w:sz w:val="24"/>
                    </w:rPr>
                    <w:t>▲</w:t>
                  </w:r>
                  <w:r>
                    <w:rPr>
                      <w:rFonts w:ascii="仿宋" w:hAnsi="仿宋" w:cs="仿宋" w:eastAsia="仿宋"/>
                      <w:sz w:val="24"/>
                    </w:rPr>
                    <w:t>对纯水的误报率应</w:t>
                  </w:r>
                  <w:r>
                    <w:rPr>
                      <w:rFonts w:ascii="仿宋" w:hAnsi="仿宋" w:cs="仿宋" w:eastAsia="仿宋"/>
                      <w:sz w:val="24"/>
                    </w:rPr>
                    <w:t>≤1%。</w:t>
                  </w:r>
                </w:p>
                <w:p>
                  <w:pPr>
                    <w:pStyle w:val="null3"/>
                    <w:ind w:right="105"/>
                    <w:jc w:val="both"/>
                  </w:pPr>
                  <w:r>
                    <w:rPr>
                      <w:rFonts w:ascii="仿宋" w:hAnsi="仿宋" w:cs="仿宋" w:eastAsia="仿宋"/>
                      <w:sz w:val="24"/>
                    </w:rPr>
                    <w:t>▲</w:t>
                  </w:r>
                  <w:r>
                    <w:rPr>
                      <w:rFonts w:ascii="仿宋" w:hAnsi="仿宋" w:cs="仿宋" w:eastAsia="仿宋"/>
                      <w:sz w:val="24"/>
                    </w:rPr>
                    <w:t>应支持自建库功能，而新增样品数据，将样品数据加入易腐蚀或易燃类中</w:t>
                  </w:r>
                  <w:r>
                    <w:rPr>
                      <w:rFonts w:ascii="仿宋" w:hAnsi="仿宋" w:cs="仿宋" w:eastAsia="仿宋"/>
                      <w:sz w:val="24"/>
                    </w:rPr>
                    <w:t>,并可通过外接终端对数据库进行升级。</w:t>
                  </w:r>
                </w:p>
                <w:p>
                  <w:pPr>
                    <w:pStyle w:val="null3"/>
                    <w:ind w:right="105"/>
                    <w:jc w:val="both"/>
                  </w:pPr>
                  <w:r>
                    <w:rPr>
                      <w:rFonts w:ascii="仿宋" w:hAnsi="仿宋" w:cs="仿宋" w:eastAsia="仿宋"/>
                      <w:sz w:val="24"/>
                    </w:rPr>
                    <w:t>▲</w:t>
                  </w:r>
                  <w:r>
                    <w:rPr>
                      <w:rFonts w:ascii="仿宋" w:hAnsi="仿宋" w:cs="仿宋" w:eastAsia="仿宋"/>
                      <w:sz w:val="24"/>
                    </w:rPr>
                    <w:t>应支持通过</w:t>
                  </w:r>
                  <w:r>
                    <w:rPr>
                      <w:rFonts w:ascii="仿宋" w:hAnsi="仿宋" w:cs="仿宋" w:eastAsia="仿宋"/>
                      <w:sz w:val="24"/>
                    </w:rPr>
                    <w:t>USB外接打印机打印凭条标签，可打印检测记录信息，包括检测时间、是否报警、检测类型。</w:t>
                  </w:r>
                </w:p>
                <w:p>
                  <w:pPr>
                    <w:pStyle w:val="null3"/>
                    <w:ind w:right="105"/>
                    <w:jc w:val="both"/>
                  </w:pPr>
                  <w:r>
                    <w:rPr>
                      <w:rFonts w:ascii="仿宋" w:hAnsi="仿宋" w:cs="仿宋" w:eastAsia="仿宋"/>
                      <w:sz w:val="24"/>
                      <w:u w:val="single"/>
                    </w:rPr>
                    <w:t>（加</w:t>
                  </w:r>
                  <w:r>
                    <w:rPr>
                      <w:rFonts w:ascii="仿宋" w:hAnsi="仿宋" w:cs="仿宋" w:eastAsia="仿宋"/>
                      <w:sz w:val="24"/>
                      <w:u w:val="single"/>
                    </w:rPr>
                    <w:t>▲</w:t>
                  </w:r>
                  <w:r>
                    <w:rPr>
                      <w:rFonts w:ascii="仿宋" w:hAnsi="仿宋" w:cs="仿宋" w:eastAsia="仿宋"/>
                      <w:sz w:val="24"/>
                      <w:u w:val="single"/>
                    </w:rPr>
                    <w:t>项需提供产品公安部检测报告复印件并加盖厂商公章或投标专用章）</w:t>
                  </w:r>
                </w:p>
                <w:p>
                  <w:pPr>
                    <w:pStyle w:val="null3"/>
                    <w:jc w:val="left"/>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4</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4</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手持金属探测器</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标配充电电池</w:t>
                  </w:r>
                </w:p>
                <w:p>
                  <w:pPr>
                    <w:pStyle w:val="null3"/>
                    <w:jc w:val="both"/>
                  </w:pPr>
                  <w:r>
                    <w:rPr>
                      <w:rFonts w:ascii="仿宋" w:hAnsi="仿宋" w:cs="仿宋" w:eastAsia="仿宋"/>
                      <w:sz w:val="24"/>
                    </w:rPr>
                    <w:t>2.</w:t>
                  </w:r>
                  <w:r>
                    <w:rPr>
                      <w:rFonts w:ascii="仿宋" w:hAnsi="仿宋" w:cs="仿宋" w:eastAsia="仿宋"/>
                      <w:sz w:val="24"/>
                    </w:rPr>
                    <w:t>工作频率：约</w:t>
                  </w:r>
                  <w:r>
                    <w:rPr>
                      <w:rFonts w:ascii="仿宋" w:hAnsi="仿宋" w:cs="仿宋" w:eastAsia="仿宋"/>
                      <w:sz w:val="24"/>
                    </w:rPr>
                    <w:t>25KHz</w:t>
                  </w:r>
                </w:p>
                <w:p>
                  <w:pPr>
                    <w:pStyle w:val="null3"/>
                    <w:jc w:val="both"/>
                  </w:pPr>
                  <w:r>
                    <w:rPr>
                      <w:rFonts w:ascii="仿宋" w:hAnsi="仿宋" w:cs="仿宋" w:eastAsia="仿宋"/>
                      <w:sz w:val="24"/>
                    </w:rPr>
                    <w:t>3.</w:t>
                  </w:r>
                  <w:r>
                    <w:rPr>
                      <w:rFonts w:ascii="仿宋" w:hAnsi="仿宋" w:cs="仿宋" w:eastAsia="仿宋"/>
                      <w:sz w:val="24"/>
                    </w:rPr>
                    <w:t>电压：</w:t>
                  </w:r>
                  <w:r>
                    <w:rPr>
                      <w:rFonts w:ascii="仿宋" w:hAnsi="仿宋" w:cs="仿宋" w:eastAsia="仿宋"/>
                      <w:sz w:val="24"/>
                    </w:rPr>
                    <w:t>9V电池或者充电电池</w:t>
                  </w:r>
                </w:p>
                <w:p>
                  <w:pPr>
                    <w:pStyle w:val="null3"/>
                    <w:jc w:val="both"/>
                  </w:pPr>
                  <w:r>
                    <w:rPr>
                      <w:rFonts w:ascii="仿宋" w:hAnsi="仿宋" w:cs="仿宋" w:eastAsia="仿宋"/>
                      <w:sz w:val="24"/>
                    </w:rPr>
                    <w:t>4.</w:t>
                  </w:r>
                  <w:r>
                    <w:rPr>
                      <w:rFonts w:ascii="仿宋" w:hAnsi="仿宋" w:cs="仿宋" w:eastAsia="仿宋"/>
                      <w:sz w:val="24"/>
                    </w:rPr>
                    <w:t>通用电流：小于</w:t>
                  </w:r>
                  <w:r>
                    <w:rPr>
                      <w:rFonts w:ascii="仿宋" w:hAnsi="仿宋" w:cs="仿宋" w:eastAsia="仿宋"/>
                      <w:sz w:val="24"/>
                    </w:rPr>
                    <w:t>50mA</w:t>
                  </w:r>
                </w:p>
                <w:p>
                  <w:pPr>
                    <w:pStyle w:val="null3"/>
                    <w:jc w:val="both"/>
                  </w:pPr>
                  <w:r>
                    <w:rPr>
                      <w:rFonts w:ascii="仿宋" w:hAnsi="仿宋" w:cs="仿宋" w:eastAsia="仿宋"/>
                      <w:sz w:val="24"/>
                    </w:rPr>
                    <w:t>5.</w:t>
                  </w:r>
                  <w:r>
                    <w:rPr>
                      <w:rFonts w:ascii="仿宋" w:hAnsi="仿宋" w:cs="仿宋" w:eastAsia="仿宋"/>
                      <w:sz w:val="24"/>
                    </w:rPr>
                    <w:t>功率：约</w:t>
                  </w:r>
                  <w:r>
                    <w:rPr>
                      <w:rFonts w:ascii="仿宋" w:hAnsi="仿宋" w:cs="仿宋" w:eastAsia="仿宋"/>
                      <w:sz w:val="24"/>
                    </w:rPr>
                    <w:t>270mW</w:t>
                  </w:r>
                </w:p>
                <w:p>
                  <w:pPr>
                    <w:pStyle w:val="null3"/>
                    <w:jc w:val="both"/>
                  </w:pPr>
                  <w:r>
                    <w:rPr>
                      <w:rFonts w:ascii="仿宋" w:hAnsi="仿宋" w:cs="仿宋" w:eastAsia="仿宋"/>
                      <w:sz w:val="24"/>
                    </w:rPr>
                    <w:t>6.</w:t>
                  </w:r>
                  <w:r>
                    <w:rPr>
                      <w:rFonts w:ascii="仿宋" w:hAnsi="仿宋" w:cs="仿宋" w:eastAsia="仿宋"/>
                      <w:sz w:val="24"/>
                    </w:rPr>
                    <w:t>设备净重</w:t>
                  </w:r>
                  <w:r>
                    <w:rPr>
                      <w:rFonts w:ascii="仿宋" w:hAnsi="仿宋" w:cs="仿宋" w:eastAsia="仿宋"/>
                      <w:sz w:val="24"/>
                    </w:rPr>
                    <w:t>≤400g（不含电池）</w:t>
                  </w:r>
                </w:p>
                <w:p>
                  <w:pPr>
                    <w:pStyle w:val="null3"/>
                    <w:jc w:val="both"/>
                  </w:pPr>
                  <w:r>
                    <w:rPr>
                      <w:rFonts w:ascii="仿宋" w:hAnsi="仿宋" w:cs="仿宋" w:eastAsia="仿宋"/>
                      <w:sz w:val="24"/>
                    </w:rPr>
                    <w:t>7.</w:t>
                  </w:r>
                  <w:r>
                    <w:rPr>
                      <w:rFonts w:ascii="仿宋" w:hAnsi="仿宋" w:cs="仿宋" w:eastAsia="仿宋"/>
                      <w:sz w:val="24"/>
                    </w:rPr>
                    <w:t>设备使用温度范围</w:t>
                  </w:r>
                  <w:r>
                    <w:rPr>
                      <w:rFonts w:ascii="仿宋" w:hAnsi="仿宋" w:cs="仿宋" w:eastAsia="仿宋"/>
                      <w:sz w:val="24"/>
                    </w:rPr>
                    <w:t>-20℃ ~+55℃</w:t>
                  </w:r>
                </w:p>
                <w:p>
                  <w:pPr>
                    <w:pStyle w:val="null3"/>
                    <w:jc w:val="left"/>
                  </w:pPr>
                  <w:r>
                    <w:rPr>
                      <w:rFonts w:ascii="仿宋" w:hAnsi="仿宋" w:cs="仿宋" w:eastAsia="仿宋"/>
                      <w:sz w:val="24"/>
                    </w:rPr>
                    <w:t>8.</w:t>
                  </w:r>
                  <w:r>
                    <w:rPr>
                      <w:rFonts w:ascii="仿宋" w:hAnsi="仿宋" w:cs="仿宋" w:eastAsia="仿宋"/>
                      <w:sz w:val="24"/>
                    </w:rPr>
                    <w:t>两种报警模式可选：</w:t>
                  </w:r>
                  <w:r>
                    <w:rPr>
                      <w:rFonts w:ascii="仿宋" w:hAnsi="仿宋" w:cs="仿宋" w:eastAsia="仿宋"/>
                      <w:sz w:val="24"/>
                    </w:rPr>
                    <w:t>LED声光报警或振动报警</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台</w:t>
                  </w:r>
                </w:p>
              </w:tc>
              <w:tc>
                <w:tcPr>
                  <w:tcW w:type="dxa" w:w="5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16</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5</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千兆交换机</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全网管三层交换机，机架式，</w:t>
                  </w:r>
                  <w:r>
                    <w:rPr>
                      <w:rFonts w:ascii="仿宋" w:hAnsi="仿宋" w:cs="仿宋" w:eastAsia="仿宋"/>
                      <w:color w:val="000000"/>
                      <w:sz w:val="24"/>
                    </w:rPr>
                    <w:t>24个千兆电口，4个千兆光口，交换容量：336Gbps/3.36Tbps，包转发率：51Mpps/126Mpps，1U高度，19英寸宽，工作温度：0℃～45℃，满负荷功耗24W；支持RIP/OSPF/VRRP，IPv6，VLAN，流量控制，ACL，QoS，端口镜像，环网RRPP/ERPS、支持SNMP V1/V2c/V3网管。</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6</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color w:val="000000"/>
                      <w:sz w:val="24"/>
                    </w:rPr>
                    <w:t>线缆辅材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color w:val="000000"/>
                      <w:sz w:val="24"/>
                    </w:rPr>
                    <w:t>1</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color w:val="000000"/>
                      <w:sz w:val="24"/>
                    </w:rPr>
                    <w:t>备注：</w:t>
                  </w:r>
                </w:p>
                <w:p>
                  <w:pPr>
                    <w:pStyle w:val="null3"/>
                    <w:jc w:val="both"/>
                  </w:pPr>
                  <w:r>
                    <w:rPr>
                      <w:rFonts w:ascii="仿宋" w:hAnsi="仿宋" w:cs="仿宋" w:eastAsia="仿宋"/>
                      <w:color w:val="000000"/>
                      <w:sz w:val="24"/>
                    </w:rPr>
                    <w:t>1、</w:t>
                  </w:r>
                  <w:r>
                    <w:rPr>
                      <w:rFonts w:ascii="仿宋" w:hAnsi="仿宋" w:cs="仿宋" w:eastAsia="仿宋"/>
                      <w:color w:val="000000"/>
                      <w:sz w:val="24"/>
                    </w:rPr>
                    <w:t>技术参数为可偏离参数，</w:t>
                  </w:r>
                  <w:r>
                    <w:rPr>
                      <w:rFonts w:ascii="仿宋" w:hAnsi="仿宋" w:cs="仿宋" w:eastAsia="仿宋"/>
                      <w:color w:val="000000"/>
                      <w:sz w:val="24"/>
                    </w:rPr>
                    <w:t>▲</w:t>
                  </w:r>
                  <w:r>
                    <w:rPr>
                      <w:rFonts w:ascii="仿宋" w:hAnsi="仿宋" w:cs="仿宋" w:eastAsia="仿宋"/>
                      <w:color w:val="000000"/>
                      <w:sz w:val="24"/>
                    </w:rPr>
                    <w:t>参数每负偏离一项扣</w:t>
                  </w:r>
                  <w:r>
                    <w:rPr>
                      <w:rFonts w:ascii="仿宋" w:hAnsi="仿宋" w:cs="仿宋" w:eastAsia="仿宋"/>
                      <w:color w:val="000000"/>
                      <w:sz w:val="24"/>
                    </w:rPr>
                    <w:t>2分，其余参数每负偏离一项扣0.2分</w:t>
                  </w:r>
                </w:p>
                <w:p>
                  <w:pPr>
                    <w:pStyle w:val="null3"/>
                  </w:pPr>
                  <w:r>
                    <w:rPr>
                      <w:rFonts w:ascii="仿宋" w:hAnsi="仿宋" w:cs="仿宋" w:eastAsia="仿宋"/>
                      <w:sz w:val="21"/>
                    </w:rPr>
                    <w:t>2、全部产品提供不少于三年的质保服务</w:t>
                  </w:r>
                </w:p>
              </w:tc>
            </w:tr>
          </w:tbl>
          <w:p/>
        </w:tc>
      </w:tr>
    </w:tbl>
    <w:p>
      <w:pPr>
        <w:pStyle w:val="null3"/>
        <w:outlineLvl w:val="2"/>
      </w:pPr>
      <w:r>
        <w:rPr>
          <w:b/>
          <w:sz w:val="28"/>
        </w:rPr>
        <w:t>3.4商务要求</w:t>
      </w:r>
    </w:p>
    <w:p>
      <w:pPr>
        <w:pStyle w:val="null3"/>
        <w:outlineLvl w:val="3"/>
      </w:pPr>
      <w:r>
        <w:rPr>
          <w:b/>
          <w:sz w:val="24"/>
        </w:rPr>
        <w:t xml:space="preserve"> 3.4.1交货时间</w:t>
      </w:r>
    </w:p>
    <w:p>
      <w:pPr>
        <w:pStyle w:val="null3"/>
      </w:pPr>
      <w:r>
        <w:rPr/>
        <w:t>采购包1：</w:t>
      </w:r>
    </w:p>
    <w:p>
      <w:pPr>
        <w:pStyle w:val="null3"/>
      </w:pPr>
      <w:r>
        <w:rPr/>
        <w:t>自合同签订之日起5日完成</w:t>
      </w:r>
    </w:p>
    <w:p>
      <w:pPr>
        <w:pStyle w:val="null3"/>
        <w:outlineLvl w:val="3"/>
      </w:pPr>
      <w:r>
        <w:rPr>
          <w:b/>
          <w:sz w:val="24"/>
        </w:rPr>
        <w:t>3.4.2交货地点</w:t>
      </w:r>
    </w:p>
    <w:p>
      <w:pPr>
        <w:pStyle w:val="null3"/>
      </w:pPr>
      <w:r>
        <w:rPr/>
        <w:t>采购包1：</w:t>
      </w:r>
    </w:p>
    <w:p>
      <w:pPr>
        <w:pStyle w:val="null3"/>
      </w:pPr>
      <w:r>
        <w:rPr/>
        <w:t>陕西历史博物馆秦汉馆</w:t>
      </w:r>
    </w:p>
    <w:p>
      <w:pPr>
        <w:pStyle w:val="null3"/>
        <w:outlineLvl w:val="3"/>
      </w:pPr>
      <w:r>
        <w:rPr>
          <w:b/>
          <w:sz w:val="24"/>
        </w:rPr>
        <w:t>3.4.3支付方式</w:t>
      </w:r>
    </w:p>
    <w:p>
      <w:pPr>
        <w:pStyle w:val="null3"/>
      </w:pPr>
      <w:r>
        <w:rPr/>
        <w:t>采购包1：</w:t>
      </w:r>
    </w:p>
    <w:p>
      <w:pPr>
        <w:pStyle w:val="null3"/>
      </w:pPr>
      <w:r>
        <w:rPr/>
        <w:t>分期付款</w:t>
      </w:r>
    </w:p>
    <w:p>
      <w:pPr>
        <w:pStyle w:val="null3"/>
        <w:outlineLvl w:val="3"/>
      </w:pPr>
      <w:r>
        <w:rPr>
          <w:b/>
          <w:sz w:val="24"/>
        </w:rPr>
        <w:t>3.4.4支付约定</w:t>
      </w:r>
    </w:p>
    <w:p>
      <w:pPr>
        <w:pStyle w:val="null3"/>
      </w:pPr>
      <w:r>
        <w:rPr/>
        <w:t>采购包1：</w:t>
      </w:r>
      <w:r>
        <w:rPr/>
        <w:t xml:space="preserve"> 付款条件说明： </w:t>
      </w:r>
      <w:r>
        <w:rPr/>
        <w:t>签订合同后</w:t>
      </w:r>
      <w:r>
        <w:rPr/>
        <w:t xml:space="preserve"> ，达到付款条件起 </w:t>
      </w:r>
      <w:r>
        <w:rPr/>
        <w:t>10</w:t>
      </w:r>
      <w:r>
        <w:rPr/>
        <w:t xml:space="preserve"> 日内，支付合同总金额的 </w:t>
      </w:r>
      <w:r>
        <w:rPr/>
        <w:t>60.00</w:t>
      </w:r>
      <w:r>
        <w:rPr/>
        <w:t>%。</w:t>
      </w:r>
    </w:p>
    <w:p>
      <w:pPr>
        <w:pStyle w:val="null3"/>
      </w:pPr>
      <w:r>
        <w:rPr/>
        <w:t>采购包1：</w:t>
      </w:r>
      <w:r>
        <w:rPr/>
        <w:t xml:space="preserve"> 付款条件说明： </w:t>
      </w:r>
      <w:r>
        <w:rPr/>
        <w:t>完成项目所有安装后正常运行</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设备安全运行3个月后</w:t>
      </w:r>
      <w:r>
        <w:rPr/>
        <w:t xml:space="preserve"> ，达到付款条件起 </w:t>
      </w:r>
      <w:r>
        <w:rPr/>
        <w:t>10</w:t>
      </w:r>
      <w:r>
        <w:rPr/>
        <w:t xml:space="preserve"> 日内，支付合同总金额的 </w:t>
      </w:r>
      <w:r>
        <w:rPr/>
        <w:t>10.00</w:t>
      </w:r>
      <w:r>
        <w:rPr/>
        <w:t>%。</w:t>
      </w:r>
    </w:p>
    <w:p>
      <w:pPr>
        <w:pStyle w:val="null3"/>
        <w:outlineLvl w:val="3"/>
      </w:pPr>
      <w:r>
        <w:rPr>
          <w:b/>
          <w:sz w:val="24"/>
        </w:rPr>
        <w:t>3.4.5验收标准和方法</w:t>
      </w:r>
    </w:p>
    <w:p>
      <w:pPr>
        <w:pStyle w:val="null3"/>
      </w:pPr>
      <w:r>
        <w:rPr/>
        <w:t>采购包1：</w:t>
      </w:r>
    </w:p>
    <w:p>
      <w:pPr>
        <w:pStyle w:val="null3"/>
      </w:pPr>
      <w:r>
        <w:rPr/>
        <w:t>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详见文件</w:t>
      </w:r>
    </w:p>
    <w:p>
      <w:pPr>
        <w:pStyle w:val="null3"/>
        <w:outlineLvl w:val="3"/>
      </w:pPr>
      <w:r>
        <w:rPr>
          <w:b/>
          <w:sz w:val="24"/>
        </w:rPr>
        <w:t>3.4.8违约责任与解决争议的方法</w:t>
      </w:r>
    </w:p>
    <w:p>
      <w:pPr>
        <w:pStyle w:val="null3"/>
      </w:pPr>
      <w:r>
        <w:rPr/>
        <w:t>采购包1：</w:t>
      </w:r>
    </w:p>
    <w:p>
      <w:pPr>
        <w:pStyle w:val="null3"/>
      </w:pPr>
      <w:r>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jc w:val="left"/>
        <w:outlineLvl w:val="2"/>
      </w:pPr>
      <w:r>
        <w:rPr>
          <w:b/>
          <w:sz w:val="28"/>
        </w:rPr>
        <w:t>3.5其他要求</w:t>
      </w:r>
    </w:p>
    <w:p>
      <w:pPr>
        <w:pStyle w:val="null3"/>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b/>
          <w:sz w:val="28"/>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 供应商的企业法人营业执照副本复印件 2. 投标人提供2022年度或2023年度的财务报告或2023年度至今基本开户行出具的资信证明 3. 投标人提供2023年度至今任意3个月依法缴纳税收和社会保障资金的证明材料复印件 4. 具备履行合同所必需的设备和专业技术能力的承诺原件 5.供应商参加政府采购活动前3年内在经营活动中没有重大违法记录的书面声明原件 6.法律、行政法规规定的其他条件。</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投标人提供2022年度或2023年度的财务报告或2023年度至今基本开户行出具的资信证明</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其他材料 残疾人福利性单位声明函 标的清单 投标文件封面 监狱企业的证明文件 保证金支付凭证或担保函 项目方案 拒贿赂承诺书</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供应商需在项目电子化交易系统中按要求完成承诺</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其他材料 投标函 残疾人福利性单位声明函 标的清单 投标文件封面 监狱企业的证明文件 保证金支付凭证或担保函 项目方案 拒贿赂承诺书</w:t>
            </w:r>
          </w:p>
        </w:tc>
      </w:tr>
    </w:tbl>
    <w:p>
      <w:pPr>
        <w:pStyle w:val="null3"/>
        <w:outlineLvl w:val="2"/>
      </w:pPr>
      <w:r>
        <w:rPr>
          <w:b/>
          <w:sz w:val="28"/>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信用中国</w:t>
            </w:r>
          </w:p>
        </w:tc>
        <w:tc>
          <w:tcPr>
            <w:tcW w:type="dxa" w:w="3322"/>
          </w:tcPr>
          <w:p>
            <w:pPr>
              <w:pStyle w:val="null3"/>
            </w:pPr>
            <w:r>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2</w:t>
            </w:r>
          </w:p>
        </w:tc>
        <w:tc>
          <w:tcPr>
            <w:tcW w:type="dxa" w:w="2492"/>
          </w:tcPr>
          <w:p>
            <w:pPr>
              <w:pStyle w:val="null3"/>
            </w:pPr>
            <w:r>
              <w:rPr/>
              <w:t>评审授权书</w:t>
            </w:r>
          </w:p>
        </w:tc>
        <w:tc>
          <w:tcPr>
            <w:tcW w:type="dxa" w:w="3322"/>
          </w:tcPr>
          <w:p>
            <w:pPr>
              <w:pStyle w:val="null3"/>
            </w:pPr>
            <w:r>
              <w:rPr/>
              <w:t>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bl>
    <w:p>
      <w:pPr>
        <w:pStyle w:val="null3"/>
        <w:outlineLvl w:val="2"/>
      </w:pPr>
      <w:r>
        <w:rPr>
          <w:b/>
          <w:sz w:val="28"/>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 评标方法</w:t>
      </w:r>
    </w:p>
    <w:p>
      <w:pPr>
        <w:pStyle w:val="null3"/>
      </w:pPr>
      <w:r>
        <w:rPr/>
        <w:t>采购包1：综合评分法</w:t>
      </w:r>
    </w:p>
    <w:p>
      <w:pPr>
        <w:pStyle w:val="null3"/>
        <w:outlineLvl w:val="2"/>
      </w:pPr>
      <w:r>
        <w:rPr>
          <w:b/>
          <w:sz w:val="28"/>
        </w:rPr>
        <w:t>5.4评标程序</w:t>
      </w:r>
    </w:p>
    <w:p>
      <w:pPr>
        <w:pStyle w:val="null3"/>
        <w:outlineLvl w:val="3"/>
      </w:pPr>
      <w:r>
        <w:rPr>
          <w:b/>
          <w:sz w:val="24"/>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签署、盖章</w:t>
            </w:r>
          </w:p>
        </w:tc>
        <w:tc>
          <w:tcPr>
            <w:tcW w:type="dxa" w:w="3322"/>
          </w:tcPr>
          <w:p>
            <w:pPr>
              <w:pStyle w:val="null3"/>
            </w:pPr>
            <w:r>
              <w:rPr/>
              <w:t>投标文件按照招标文件要求签署、盖章的</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投标人投标报价唯一且未超出采购预算或最高限价的。</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3</w:t>
            </w:r>
          </w:p>
        </w:tc>
        <w:tc>
          <w:tcPr>
            <w:tcW w:type="dxa" w:w="2492"/>
          </w:tcPr>
          <w:p>
            <w:pPr>
              <w:pStyle w:val="null3"/>
            </w:pPr>
            <w:r>
              <w:rPr/>
              <w:t>报价合理性</w:t>
            </w:r>
          </w:p>
        </w:tc>
        <w:tc>
          <w:tcPr>
            <w:tcW w:type="dxa" w:w="3322"/>
          </w:tcPr>
          <w:p>
            <w:pPr>
              <w:pStyle w:val="null3"/>
            </w:pPr>
            <w:r>
              <w:rPr/>
              <w:t>投标人的报价没有出现明显低于其他通过符合性审查投标人的报价，有可能影响服务质量或者不能诚信履约的，且投标人不能证明其报价合理性的情况。</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4</w:t>
            </w:r>
          </w:p>
        </w:tc>
        <w:tc>
          <w:tcPr>
            <w:tcW w:type="dxa" w:w="2492"/>
          </w:tcPr>
          <w:p>
            <w:pPr>
              <w:pStyle w:val="null3"/>
            </w:pPr>
            <w:r>
              <w:rPr/>
              <w:t>投标内容</w:t>
            </w:r>
          </w:p>
        </w:tc>
        <w:tc>
          <w:tcPr>
            <w:tcW w:type="dxa" w:w="3322"/>
          </w:tcPr>
          <w:p>
            <w:pPr>
              <w:pStyle w:val="null3"/>
            </w:pPr>
            <w:r>
              <w:rPr/>
              <w:t>投标内容没有出现漏项或与要求不符或投标内容的技术指标达不到招标文件要求，造成采购档次降低或影响服务实质性内容的情况。</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5</w:t>
            </w:r>
          </w:p>
        </w:tc>
        <w:tc>
          <w:tcPr>
            <w:tcW w:type="dxa" w:w="2492"/>
          </w:tcPr>
          <w:p>
            <w:pPr>
              <w:pStyle w:val="null3"/>
            </w:pPr>
            <w:r>
              <w:rPr/>
              <w:t>付款方式</w:t>
            </w:r>
          </w:p>
        </w:tc>
        <w:tc>
          <w:tcPr>
            <w:tcW w:type="dxa" w:w="3322"/>
          </w:tcPr>
          <w:p>
            <w:pPr>
              <w:pStyle w:val="null3"/>
            </w:pPr>
            <w:r>
              <w:rPr/>
              <w:t>付款方式不允许偏离，投标人必须完全响应。</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6</w:t>
            </w:r>
          </w:p>
        </w:tc>
        <w:tc>
          <w:tcPr>
            <w:tcW w:type="dxa" w:w="2492"/>
          </w:tcPr>
          <w:p>
            <w:pPr>
              <w:pStyle w:val="null3"/>
            </w:pPr>
            <w:r>
              <w:rPr/>
              <w:t>投标有效期</w:t>
            </w:r>
          </w:p>
        </w:tc>
        <w:tc>
          <w:tcPr>
            <w:tcW w:type="dxa" w:w="3322"/>
          </w:tcPr>
          <w:p>
            <w:pPr>
              <w:pStyle w:val="null3"/>
            </w:pPr>
            <w:r>
              <w:rPr/>
              <w:t>符合招标文件的要求。</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r>
        <w:tc>
          <w:tcPr>
            <w:tcW w:type="dxa" w:w="831"/>
          </w:tcPr>
          <w:p>
            <w:pPr>
              <w:pStyle w:val="null3"/>
            </w:pPr>
            <w:r>
              <w:rPr/>
              <w:t>7</w:t>
            </w:r>
          </w:p>
        </w:tc>
        <w:tc>
          <w:tcPr>
            <w:tcW w:type="dxa" w:w="2492"/>
          </w:tcPr>
          <w:p>
            <w:pPr>
              <w:pStyle w:val="null3"/>
            </w:pPr>
            <w:r>
              <w:rPr/>
              <w:t>不正当竞争预防措施（实质性要求）</w:t>
            </w:r>
          </w:p>
        </w:tc>
        <w:tc>
          <w:tcPr>
            <w:tcW w:type="dxa" w:w="3322"/>
          </w:tcPr>
          <w:p>
            <w:pPr>
              <w:pStyle w:val="null3"/>
            </w:pPr>
            <w:r>
              <w:rPr/>
              <w:t>存在其它不符合法律法规或招标文件规定的投标无效条款。</w:t>
            </w:r>
          </w:p>
        </w:tc>
        <w:tc>
          <w:tcPr>
            <w:tcW w:type="dxa" w:w="1661"/>
          </w:tcPr>
          <w:p>
            <w:pPr>
              <w:pStyle w:val="null3"/>
            </w:pPr>
            <w:r>
              <w:rPr/>
              <w:t>开标一览表 分项报价表 中小企业声明函 投标承诺书 商务应答表 资格文件 投标人应提交的相关资格证明材料 技术商务偏离表 产品技术参数表 投标函 其他材料 残疾人福利性单位声明函 标的清单 投标文件封面 监狱企业的证明文件 保证金支付凭证或担保函 项目方案 拒贿赂承诺书</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b/>
          <w:sz w:val="24"/>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依据投标响应产品的相关技术资料（包括但不限于第三方检测报告、加盖公章的产品彩页、加盖公章的官网截图等）等有关内容对产品技术指标进行评审。投标产品技术参数清晰、明确，满足招标文件要求得22分，▲参数每负偏离一项扣2分，其余参数每负偏离一项扣0.2分，扣完为止。（描述不清，缺漏项、理解偏差项等视同负偏离）</w:t>
            </w:r>
          </w:p>
        </w:tc>
        <w:tc>
          <w:tcPr>
            <w:tcW w:type="dxa" w:w="831"/>
          </w:tcPr>
          <w:p>
            <w:pPr>
              <w:pStyle w:val="null3"/>
              <w:jc w:val="right"/>
            </w:pPr>
            <w:r>
              <w:rPr/>
              <w:t>22.00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技术资料及配置</w:t>
            </w:r>
          </w:p>
        </w:tc>
        <w:tc>
          <w:tcPr>
            <w:tcW w:type="dxa" w:w="2492"/>
          </w:tcPr>
          <w:p>
            <w:pPr>
              <w:pStyle w:val="null3"/>
            </w:pPr>
            <w:r>
              <w:rPr/>
              <w:t>投标产品配置及功能配置对招标文件要求进行响应，投标产品技术资料齐全，真实、表述一致，得5分，技术资料有所缺失，无法完全证明其技术参数，得3分，无技术资料得0分。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体系认证</w:t>
            </w:r>
          </w:p>
        </w:tc>
        <w:tc>
          <w:tcPr>
            <w:tcW w:type="dxa" w:w="2492"/>
          </w:tcPr>
          <w:p>
            <w:pPr>
              <w:pStyle w:val="null3"/>
            </w:pPr>
            <w:r>
              <w:rPr/>
              <w:t>所投安检设备生产厂家具有ISO9001质量管理体系认证、ISO14001环境管理体系认证、ISO45001职业健康安全管理体系认证、提供一项得1分，满分3分。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技术方案</w:t>
            </w:r>
          </w:p>
        </w:tc>
        <w:tc>
          <w:tcPr>
            <w:tcW w:type="dxa" w:w="2492"/>
          </w:tcPr>
          <w:p>
            <w:pPr>
              <w:pStyle w:val="null3"/>
            </w:pPr>
            <w:r>
              <w:rPr/>
              <w:t>根据投标人总体技术方案，项目范围及技术内容完整清晰，整体程序设置得当，具体方法科学合理，得5分，技术内容完整，有整体程序得3分，有所缺失得1分，无得0分。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运输、供货方案</w:t>
            </w:r>
          </w:p>
        </w:tc>
        <w:tc>
          <w:tcPr>
            <w:tcW w:type="dxa" w:w="2492"/>
          </w:tcPr>
          <w:p>
            <w:pPr>
              <w:pStyle w:val="null3"/>
            </w:pPr>
            <w:r>
              <w:rPr/>
              <w:t>根据投标人产品运输、供货配送等方案措施，方案合理、具体、可行，能够满足项目需求，得5分，方案有所缺陷得3分，有所缺失得1分，无得0分。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安装、验收方案</w:t>
            </w:r>
          </w:p>
        </w:tc>
        <w:tc>
          <w:tcPr>
            <w:tcW w:type="dxa" w:w="2492"/>
          </w:tcPr>
          <w:p>
            <w:pPr>
              <w:pStyle w:val="null3"/>
            </w:pPr>
            <w:r>
              <w:rPr/>
              <w:t>根据投标人针对本项目提供的具体可行的安装、验收服务方案及保证按期供货，安装、验收、试运行期间的调试等服务方案，方案详细，可行性、针对性强及保证按期供货，得5分，方案较详细，具备可行性和针对性，得3分，有所缺陷得1分，无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人员配备方案</w:t>
            </w:r>
          </w:p>
        </w:tc>
        <w:tc>
          <w:tcPr>
            <w:tcW w:type="dxa" w:w="2492"/>
          </w:tcPr>
          <w:p>
            <w:pPr>
              <w:pStyle w:val="null3"/>
            </w:pPr>
            <w:r>
              <w:rPr/>
              <w:t>根据投标人项目组人员配备情况，项目组织机构健全，人员经验丰富、配备合理，各岗位人员工作职责清晰，责任明确，得5分，较为合理得3分，有所缺陷得1分，无得0分。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售后培训一</w:t>
            </w:r>
          </w:p>
        </w:tc>
        <w:tc>
          <w:tcPr>
            <w:tcW w:type="dxa" w:w="2492"/>
          </w:tcPr>
          <w:p>
            <w:pPr>
              <w:pStyle w:val="null3"/>
            </w:pPr>
            <w:r>
              <w:rPr/>
              <w:t>投标人针对本项目的售后服务方案，方案至少应包含售后服务承诺、维修方案，方案完善、服务项目齐全、充分考虑了货物维护、售后时间、售后响应、保养、定期维护计划等，针对性及适用性强的，得5分；方案较完善、较详细，有相应的针对性及适用性，得3分；方案欠完善、不详细，针对性及适用性一般，得1分，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售后培训二</w:t>
            </w:r>
          </w:p>
        </w:tc>
        <w:tc>
          <w:tcPr>
            <w:tcW w:type="dxa" w:w="2492"/>
          </w:tcPr>
          <w:p>
            <w:pPr>
              <w:pStyle w:val="null3"/>
            </w:pPr>
            <w:r>
              <w:rPr/>
              <w:t>投标人具有可行的技术培训措施，提供具体可行的培训计划和培训大纲，培训招标人指定的技术人员和管理人员，培训内容应包括所提供产品的技术性能、操作维护方法、安装调试、排除故障等各个方面，保证招标人能熟练操作维护和正常使用。方案详细、合理性强、可操作性强，得5分；方案较为详细、合理性较好、可操作性较好，得3分；方案合理性一般、可操作性一般，得1分，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vMerge/>
          </w:tcPr>
          <w:p/>
        </w:tc>
        <w:tc>
          <w:tcPr>
            <w:tcW w:type="dxa" w:w="1661"/>
          </w:tcPr>
          <w:p>
            <w:pPr>
              <w:pStyle w:val="null3"/>
            </w:pPr>
            <w:r>
              <w:rPr/>
              <w:t>业绩</w:t>
            </w:r>
          </w:p>
        </w:tc>
        <w:tc>
          <w:tcPr>
            <w:tcW w:type="dxa" w:w="2492"/>
          </w:tcPr>
          <w:p>
            <w:pPr>
              <w:pStyle w:val="null3"/>
            </w:pPr>
            <w:r>
              <w:rPr/>
              <w:t>提供2020年1月1日以来设备厂家或投标人类似项目的业绩，提供一项业绩计2分。最高10分。提供合同复印件，时间以合同签订时间为准。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产品技术参数表</w:t>
            </w:r>
          </w:p>
          <w:p>
            <w:pPr>
              <w:pStyle w:val="null3"/>
            </w:pPr>
            <w:r>
              <w:rPr/>
              <w:t>商务应答表</w:t>
            </w:r>
          </w:p>
          <w:p>
            <w:pPr>
              <w:pStyle w:val="null3"/>
            </w:pPr>
            <w:r>
              <w:rPr/>
              <w:t>开标一览表</w:t>
            </w:r>
          </w:p>
          <w:p>
            <w:pPr>
              <w:pStyle w:val="null3"/>
            </w:pPr>
            <w:r>
              <w:rPr/>
              <w:t>标的清单</w:t>
            </w:r>
          </w:p>
          <w:p>
            <w:pPr>
              <w:pStyle w:val="null3"/>
            </w:pPr>
            <w:r>
              <w:rPr/>
              <w:t>投标承诺书</w:t>
            </w:r>
          </w:p>
          <w:p>
            <w:pPr>
              <w:pStyle w:val="null3"/>
            </w:pPr>
            <w:r>
              <w:rPr/>
              <w:t>其他材料</w:t>
            </w:r>
          </w:p>
          <w:p>
            <w:pPr>
              <w:pStyle w:val="null3"/>
            </w:pPr>
            <w:r>
              <w:rPr/>
              <w:t>保证金支付凭证或担保函</w:t>
            </w:r>
          </w:p>
          <w:p>
            <w:pPr>
              <w:pStyle w:val="null3"/>
            </w:pPr>
            <w:r>
              <w:rPr/>
              <w:t>项目方案</w:t>
            </w:r>
          </w:p>
          <w:p>
            <w:pPr>
              <w:pStyle w:val="null3"/>
            </w:pPr>
            <w:r>
              <w:rPr/>
              <w:t>拒贿赂承诺书</w:t>
            </w:r>
          </w:p>
          <w:p>
            <w:pPr>
              <w:pStyle w:val="null3"/>
            </w:pPr>
            <w:r>
              <w:rPr/>
              <w:t>分项报价表</w:t>
            </w:r>
          </w:p>
          <w:p>
            <w:pPr>
              <w:pStyle w:val="null3"/>
            </w:pPr>
            <w:r>
              <w:rPr/>
              <w:t>资格文件</w:t>
            </w:r>
          </w:p>
          <w:p>
            <w:pPr>
              <w:pStyle w:val="null3"/>
            </w:pPr>
            <w:r>
              <w:rPr/>
              <w:t>技术商务偏离表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有效投标人最低报价为基准价得30分，其他各投标人的报价得分按下列公式计算：（基准价/投标报价）×30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详见附件：投标承诺书</w:t>
      </w:r>
    </w:p>
    <w:p>
      <w:pPr>
        <w:pStyle w:val="null3"/>
        <w:ind w:firstLine="960"/>
      </w:pPr>
      <w:r>
        <w:rPr/>
        <w:t>详见附件：其他材料</w:t>
      </w:r>
    </w:p>
    <w:p>
      <w:pPr>
        <w:pStyle w:val="null3"/>
        <w:ind w:firstLine="960"/>
      </w:pPr>
      <w:r>
        <w:rPr/>
        <w:t>详见附件：保证金支付凭证或担保函</w:t>
      </w:r>
    </w:p>
    <w:p>
      <w:pPr>
        <w:pStyle w:val="null3"/>
        <w:ind w:firstLine="960"/>
      </w:pPr>
      <w:r>
        <w:rPr/>
        <w:t>详见附件：项目方案</w:t>
      </w:r>
    </w:p>
    <w:p>
      <w:pPr>
        <w:pStyle w:val="null3"/>
        <w:ind w:firstLine="960"/>
      </w:pPr>
      <w:r>
        <w:rPr/>
        <w:t>详见附件：拒贿赂承诺书</w:t>
      </w:r>
    </w:p>
    <w:p>
      <w:pPr>
        <w:pStyle w:val="null3"/>
        <w:ind w:firstLine="960"/>
      </w:pPr>
      <w:r>
        <w:rPr/>
        <w:t>详见附件：分项报价表</w:t>
      </w:r>
    </w:p>
    <w:p>
      <w:pPr>
        <w:pStyle w:val="null3"/>
        <w:ind w:firstLine="960"/>
      </w:pPr>
      <w:r>
        <w:rPr/>
        <w:t>详见附件：资格文件</w:t>
      </w:r>
    </w:p>
    <w:p>
      <w:pPr>
        <w:pStyle w:val="null3"/>
        <w:ind w:firstLine="960"/>
      </w:pPr>
      <w:r>
        <w:rPr/>
        <w:t>详见附件：技术商务偏离表</w:t>
      </w:r>
    </w:p>
    <w:p>
      <w:pPr>
        <w:pStyle w:val="null3"/>
      </w:pPr>
      <w:r>
        <w:rPr/>
        <w:t xml:space="preserve"> </w:t>
        <w:br/>
        <w:br w:type="page"/>
      </w:r>
    </w:p>
    <w:p>
      <w:pPr>
        <w:pStyle w:val="null3"/>
        <w:jc w:val="center"/>
        <w:outlineLvl w:val="1"/>
      </w:pPr>
      <w:r>
        <w:rPr>
          <w:b/>
          <w:sz w:val="36"/>
        </w:rPr>
        <w:t>第七章 拟签订合同文本</w:t>
      </w:r>
    </w:p>
    <w:p>
      <w:pPr>
        <w:pStyle w:val="null3"/>
      </w:pPr>
      <w:r>
        <w:rPr/>
        <w:t>详见附件：合同模板0638.docx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