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陕西省生态环境执法无人机过程监控系统运维服务</w:t>
      </w:r>
    </w:p>
    <w:p>
      <w:pPr>
        <w:pStyle w:val="null3"/>
        <w:jc w:val="center"/>
        <w:outlineLvl w:val="2"/>
      </w:pPr>
      <w:r>
        <w:rPr>
          <w:b/>
          <w:sz w:val="28"/>
        </w:rPr>
        <w:t>采购项目编号：</w:t>
      </w:r>
      <w:r>
        <w:rPr>
          <w:b/>
          <w:sz w:val="28"/>
        </w:rPr>
        <w:t>SXZCZ-2024-LY0516</w:t>
      </w:r>
      <w:r>
        <w:br/>
      </w:r>
      <w:r>
        <w:br/>
      </w:r>
      <w:r>
        <w:br/>
      </w:r>
    </w:p>
    <w:p>
      <w:pPr>
        <w:pStyle w:val="null3"/>
        <w:jc w:val="center"/>
        <w:outlineLvl w:val="2"/>
      </w:pPr>
      <w:r>
        <w:rPr>
          <w:b/>
          <w:sz w:val="28"/>
        </w:rPr>
        <w:t>陕西省生态环境执法总队</w:t>
      </w:r>
    </w:p>
    <w:p>
      <w:pPr>
        <w:pStyle w:val="null3"/>
        <w:jc w:val="center"/>
        <w:outlineLvl w:val="2"/>
      </w:pPr>
      <w:r>
        <w:rPr>
          <w:b/>
          <w:sz w:val="28"/>
        </w:rPr>
        <w:t>陕西中采招项目管理有限公司</w:t>
      </w:r>
      <w:r>
        <w:rPr>
          <w:b/>
          <w:sz w:val="28"/>
        </w:rPr>
        <w:t>共同编制</w:t>
      </w:r>
    </w:p>
    <w:p>
      <w:pPr>
        <w:pStyle w:val="null3"/>
        <w:jc w:val="center"/>
        <w:outlineLvl w:val="2"/>
      </w:pPr>
      <w:r>
        <w:rPr>
          <w:b/>
          <w:sz w:val="28"/>
        </w:rPr>
        <w:t>2024年05月17日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陕西中采招项目管理有限公司</w:t>
      </w:r>
      <w:r>
        <w:rPr/>
        <w:t>（以下简称“代理机构”）受</w:t>
      </w:r>
      <w:r>
        <w:rPr/>
        <w:t>陕西省生态环境执法总队</w:t>
      </w:r>
      <w:r>
        <w:rPr/>
        <w:t>委托，拟对</w:t>
      </w:r>
      <w:r>
        <w:rPr/>
        <w:t>陕西省生态环境执法无人机过程监控系统运维服务</w:t>
      </w:r>
      <w:r>
        <w:rPr/>
        <w:t>采用竞争性磋商采购方式进行采购，兹邀请供应商参加本项目的竞争性磋商。</w:t>
      </w:r>
    </w:p>
    <w:p>
      <w:pPr>
        <w:pStyle w:val="null3"/>
        <w:outlineLvl w:val="2"/>
      </w:pPr>
      <w:r>
        <w:rPr>
          <w:b/>
          <w:sz w:val="28"/>
        </w:rPr>
        <w:t>一、项目编号：</w:t>
      </w:r>
      <w:r>
        <w:rPr>
          <w:b/>
          <w:sz w:val="28"/>
        </w:rPr>
        <w:t>SXZCZ-2024-LY0516</w:t>
      </w:r>
    </w:p>
    <w:p>
      <w:pPr>
        <w:pStyle w:val="null3"/>
        <w:outlineLvl w:val="2"/>
      </w:pPr>
      <w:r>
        <w:rPr>
          <w:b/>
          <w:sz w:val="28"/>
        </w:rPr>
        <w:t>二、项目名称：</w:t>
      </w:r>
      <w:r>
        <w:rPr>
          <w:b/>
          <w:sz w:val="28"/>
        </w:rPr>
        <w:t>陕西省生态环境执法无人机过程监控系统运维服务</w:t>
      </w:r>
    </w:p>
    <w:p>
      <w:pPr>
        <w:pStyle w:val="null3"/>
        <w:outlineLvl w:val="2"/>
      </w:pPr>
      <w:r>
        <w:rPr>
          <w:b/>
          <w:sz w:val="28"/>
        </w:rPr>
        <w:t>三、磋商项目简介</w:t>
      </w:r>
    </w:p>
    <w:p>
      <w:pPr>
        <w:pStyle w:val="null3"/>
        <w:ind w:firstLine="480"/>
      </w:pPr>
      <w:r>
        <w:rPr/>
        <w:t>实施陕西省生态环境执法无人机过程监控系统年度运维，并依托该系统借助第三方无人机服务的方式，完成全省范围内环境污染问题无人机执法飞行暗查及日常巡查任务，形成无人机执法巡查飞行报告。</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采购包1（陕西省生态环境执法无人机过程监控系统运维服务）：属于专门面向中小企业采购。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1、营业执照：具有独立承担民事责任能力的企业法人或其他组织或注册地在中国境内的外资企业 , 提供合法有效的（三证合一）统一社会信用代码的营业执照；</w:t>
      </w:r>
    </w:p>
    <w:p>
      <w:pPr>
        <w:pStyle w:val="null3"/>
      </w:pPr>
      <w:r>
        <w:rPr/>
        <w:t>2、法人授权：供应商应授权合法的人员参加磋商响应全过程，其中法定代表人直接磋商响应的， 须提交法定代表人身份证明书。法定代表人授权他人参加磋商响应的，须出具法定代表人授权委托书</w:t>
      </w:r>
    </w:p>
    <w:p>
      <w:pPr>
        <w:pStyle w:val="null3"/>
      </w:pPr>
      <w:r>
        <w:rPr/>
        <w:t>3、税收缴纳证明：供应商须提供磋商截止时间一年内任意1个月的缴税证明（注：依法免税或零申报 的供应商应提供相关文件证明）</w:t>
      </w:r>
    </w:p>
    <w:p>
      <w:pPr>
        <w:pStyle w:val="null3"/>
      </w:pPr>
      <w:r>
        <w:rPr/>
        <w:t>4、社会保障资金缴纳证明：供应商须提供磋商截止时间一年内任意1个月的社会保险缴纳证明（注：依法不需要缴纳社会保障资金的供应商应提供相关文件证明</w:t>
      </w:r>
    </w:p>
    <w:p>
      <w:pPr>
        <w:pStyle w:val="null3"/>
      </w:pPr>
      <w:r>
        <w:rPr/>
        <w:t>5、财务状况报告：提供经审计的2022年度或2023年度的财务报告或提交磋商响应文件截止时间前六个月内其基本账户开户银行出具的资信证明；其他组织和自然人提供银行出具的资信证明或财务报表</w:t>
      </w:r>
    </w:p>
    <w:p>
      <w:pPr>
        <w:pStyle w:val="null3"/>
      </w:pPr>
      <w:r>
        <w:rPr/>
        <w:t>6、履约能力声明：供应商须提供具有履行合同所必需的设备和专业技术能力的承诺函</w:t>
      </w:r>
    </w:p>
    <w:p>
      <w:pPr>
        <w:pStyle w:val="null3"/>
      </w:pPr>
      <w:r>
        <w:rPr/>
        <w:t>7、信用记录声明：供应商应具备良好的商业信誉，提供参加政府采购活动前3年内在经营活动中没有 重大违法记录的书面声明</w:t>
      </w:r>
    </w:p>
    <w:p>
      <w:pPr>
        <w:pStyle w:val="null3"/>
      </w:pPr>
      <w:r>
        <w:rPr/>
        <w:t>8、信用中国：未在“信用中国” 网站（www.creditchina.gov. cn）和“ 中国政府采购网”（ccgp .gov.cn）列入 失信被执行人、重大税收违法案件当事人名单、政府采购严重违法 失信行为记录名单。（提供网页截图）</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陕西省生态环境执法总队</w:t>
      </w:r>
    </w:p>
    <w:p>
      <w:pPr>
        <w:pStyle w:val="null3"/>
      </w:pPr>
      <w:r>
        <w:rPr/>
        <w:t xml:space="preserve"> 地址： </w:t>
      </w:r>
      <w:r>
        <w:rPr/>
        <w:t>西安市西影路106号陕西环保综合办公大楼11楼</w:t>
      </w:r>
    </w:p>
    <w:p>
      <w:pPr>
        <w:pStyle w:val="null3"/>
      </w:pPr>
      <w:r>
        <w:rPr/>
        <w:t xml:space="preserve"> 邮编： </w:t>
      </w:r>
      <w:r>
        <w:rPr/>
        <w:t>710054</w:t>
      </w:r>
    </w:p>
    <w:p>
      <w:pPr>
        <w:pStyle w:val="null3"/>
      </w:pPr>
      <w:r>
        <w:rPr/>
        <w:t xml:space="preserve"> 联系人： </w:t>
      </w:r>
      <w:r>
        <w:rPr/>
        <w:t>陈卓</w:t>
      </w:r>
    </w:p>
    <w:p>
      <w:pPr>
        <w:pStyle w:val="null3"/>
      </w:pPr>
      <w:r>
        <w:rPr/>
        <w:t xml:space="preserve"> 联系电话： </w:t>
      </w:r>
      <w:r>
        <w:rPr/>
        <w:t>15353726320</w:t>
      </w:r>
    </w:p>
    <w:p>
      <w:pPr>
        <w:pStyle w:val="null3"/>
        <w:outlineLvl w:val="3"/>
      </w:pPr>
      <w:r>
        <w:rPr>
          <w:b/>
          <w:sz w:val="24"/>
        </w:rPr>
        <w:t>代理机构：</w:t>
      </w:r>
      <w:r>
        <w:rPr>
          <w:b/>
          <w:sz w:val="24"/>
        </w:rPr>
        <w:t>陕西中采招项目管理有限公司</w:t>
      </w:r>
    </w:p>
    <w:p>
      <w:pPr>
        <w:pStyle w:val="null3"/>
      </w:pPr>
      <w:r>
        <w:rPr/>
        <w:t xml:space="preserve"> 地址： </w:t>
      </w:r>
      <w:r>
        <w:rPr/>
        <w:t>陕西省西安市未央区凤城四路中登广场B座7楼706室</w:t>
      </w:r>
    </w:p>
    <w:p>
      <w:pPr>
        <w:pStyle w:val="null3"/>
      </w:pPr>
      <w:r>
        <w:rPr/>
        <w:t xml:space="preserve"> 邮编： </w:t>
      </w:r>
      <w:r>
        <w:rPr/>
        <w:t>710000</w:t>
      </w:r>
    </w:p>
    <w:p>
      <w:pPr>
        <w:pStyle w:val="null3"/>
      </w:pPr>
      <w:r>
        <w:rPr/>
        <w:t xml:space="preserve"> 联系人： </w:t>
      </w:r>
      <w:r>
        <w:rPr/>
        <w:t>吕叶</w:t>
      </w:r>
    </w:p>
    <w:p>
      <w:pPr>
        <w:pStyle w:val="null3"/>
      </w:pPr>
      <w:r>
        <w:rPr/>
        <w:t xml:space="preserve"> 联系电话： </w:t>
      </w:r>
      <w:r>
        <w:rPr/>
        <w:t>029-86254684</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采购包1：2,180,000.00元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代理服务费收费标准：1、参照国家计委计价格[2002]1980号及发改办价格[2003]857号通知规定，由成交供应商支付采购代理服务费。 2、支付方式：成交供应商应在领取通知书的同时， 向陕西中采招项目管理有限公司交纳本项目采购代理服务费，代理服务收费按差额定率累进法计算。成交服务费不足5000元的按最低收费标准5000收取3、名称：陕西中采招项目管理有 限公司 开户行：中信银行股份有限公司陕西自贸试验区西安科技路 账号：8111 7010 1240 0643 572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陕西省生态环境执法总队</w:t>
      </w:r>
      <w:r>
        <w:rPr/>
        <w:t>和</w:t>
      </w:r>
      <w:r>
        <w:rPr/>
        <w:t>陕西中采招项目管理有限公司</w:t>
      </w:r>
      <w:r>
        <w:rPr/>
        <w:t>享有。对磋商文件中供应商参加本次政府采购活动应当具备的条件，磋商项目技术、服务、商务及其他要求，评审细则及标准由</w:t>
      </w:r>
      <w:r>
        <w:rPr/>
        <w:t>陕西省生态环境执法总队</w:t>
      </w:r>
      <w:r>
        <w:rPr/>
        <w:t>负责解释。除上述磋商文件内容，其他内容由</w:t>
      </w:r>
      <w:r>
        <w:rPr/>
        <w:t>陕西中采招项目管理有限公司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陕西省生态环境执法总队</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陕西中采招项目管理有限公司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合同文本，磋商文件，磋商响应文件，国内相应的标准、规范。</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陕西中采招项目管理有限公司</w:t>
      </w:r>
      <w:r>
        <w:rPr/>
        <w:t xml:space="preserve"> 负责答复；供应商对除采购需求外的采购文件的询问、质疑由</w:t>
      </w:r>
      <w:r>
        <w:rPr/>
        <w:t>陕西中采招项目管理有限公司</w:t>
      </w:r>
      <w:r>
        <w:rPr/>
        <w:t xml:space="preserve"> 负责答复；供应商对采购过程、采购结果的询问、质疑由 </w:t>
      </w:r>
      <w:r>
        <w:rPr/>
        <w:t>陕西中采招项目管理有限公司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联系人：吕叶</w:t>
      </w:r>
    </w:p>
    <w:p>
      <w:pPr>
        <w:pStyle w:val="null3"/>
      </w:pPr>
      <w:r>
        <w:rPr/>
        <w:t>联系电话：029-86254684</w:t>
      </w:r>
    </w:p>
    <w:p>
      <w:pPr>
        <w:pStyle w:val="null3"/>
      </w:pPr>
      <w:r>
        <w:rPr/>
        <w:t>地址：陕西省西安市未央区凤城四路中登广场B座7楼706室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实施陕西省生态环境执法无人机过程监控系统年度运维，并依托该系统借助第三方无人机服务的方式，完成全省范围内环境污染问题无人机执法飞行暗查及日常巡查任务，形成无人机执法巡查飞行报告。</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2,180,000.00</w:t>
      </w:r>
    </w:p>
    <w:p>
      <w:pPr>
        <w:pStyle w:val="null3"/>
      </w:pPr>
      <w:r>
        <w:rPr/>
        <w:t>采购包最高限价（元）: 2,180,000.00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陕西省生态环境执法无人机过程监控系统运维服务</w:t>
            </w:r>
          </w:p>
        </w:tc>
        <w:tc>
          <w:tcPr>
            <w:tcW w:type="dxa" w:w="831"/>
          </w:tcPr>
          <w:p>
            <w:pPr>
              <w:pStyle w:val="null3"/>
              <w:jc w:val="right"/>
            </w:pPr>
            <w:r>
              <w:rPr/>
              <w:t>1.00</w:t>
            </w:r>
          </w:p>
        </w:tc>
        <w:tc>
          <w:tcPr>
            <w:tcW w:type="dxa" w:w="831"/>
          </w:tcPr>
          <w:p>
            <w:pPr>
              <w:pStyle w:val="null3"/>
              <w:jc w:val="right"/>
            </w:pPr>
            <w:r>
              <w:rPr/>
              <w:t>2,180,000.00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标的名称：陕西省生态环境执法无人机过程监控系统运维服务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3360"/>
            </w:tblGrid>
            <w:tr>
              <w:tc>
                <w:tcPr>
                  <w:tcW w:type="dxa" w:w="336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arial, helvetica, sans-serif" w:hAnsi="arial, helvetica, sans-serif" w:cs="arial, helvetica, sans-serif" w:eastAsia="arial, helvetica, sans-serif"/>
                      <w:b/>
                      <w:color w:val="000000"/>
                      <w:sz w:val="21"/>
                    </w:rPr>
                    <w:t>1、采购内容</w:t>
                  </w:r>
                </w:p>
                <w:p>
                  <w:pPr>
                    <w:pStyle w:val="null3"/>
                    <w:jc w:val="left"/>
                  </w:pPr>
                  <w:r>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198"/>
                    <w:gridCol w:w="1649"/>
                    <w:gridCol w:w="656"/>
                    <w:gridCol w:w="382"/>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color w:val="000000"/>
                            <w:sz w:val="21"/>
                          </w:rPr>
                          <w:t>序</w:t>
                        </w:r>
                        <w:r>
                          <w:rPr>
                            <w:rFonts w:ascii="arial" w:hAnsi="arial" w:cs="arial" w:eastAsia="arial"/>
                            <w:color w:val="000000"/>
                            <w:sz w:val="21"/>
                          </w:rPr>
                          <w:t xml:space="preserve"> </w:t>
                        </w:r>
                        <w:r>
                          <w:rPr>
                            <w:rFonts w:ascii="arial, helvetica, sans-serif" w:hAnsi="arial, helvetica, sans-serif" w:cs="arial, helvetica, sans-serif" w:eastAsia="arial, helvetica, sans-serif"/>
                            <w:color w:val="000000"/>
                            <w:sz w:val="21"/>
                          </w:rPr>
                          <w:t>号</w:t>
                        </w:r>
                      </w:p>
                    </w:tc>
                    <w:tc>
                      <w:tcPr>
                        <w:tcW w:type="dxa" w:w="1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color w:val="000000"/>
                            <w:sz w:val="21"/>
                          </w:rPr>
                          <w:t>服务</w:t>
                        </w:r>
                        <w:r>
                          <w:rPr>
                            <w:rFonts w:ascii="arial, helvetica, sans-serif" w:hAnsi="arial, helvetica, sans-serif" w:cs="arial, helvetica, sans-serif" w:eastAsia="arial, helvetica, sans-serif"/>
                            <w:color w:val="000000"/>
                            <w:sz w:val="21"/>
                          </w:rPr>
                          <w:t>名称</w:t>
                        </w:r>
                      </w:p>
                    </w:tc>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color w:val="000000"/>
                            <w:sz w:val="21"/>
                          </w:rPr>
                          <w:t>数量</w:t>
                        </w:r>
                      </w:p>
                    </w:tc>
                    <w:tc>
                      <w:tcPr>
                        <w:tcW w:type="dxa" w:w="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color w:val="000000"/>
                            <w:sz w:val="21"/>
                          </w:rPr>
                          <w:t>单位</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color w:val="000000"/>
                            <w:sz w:val="21"/>
                          </w:rPr>
                          <w:t>1</w:t>
                        </w:r>
                      </w:p>
                    </w:tc>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color w:val="000000"/>
                            <w:sz w:val="21"/>
                          </w:rPr>
                          <w:t>陕西省生态环境执法无人机过程监控系统运行维护</w:t>
                        </w:r>
                      </w:p>
                    </w:tc>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color w:val="000000"/>
                            <w:sz w:val="21"/>
                          </w:rPr>
                          <w:t>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color w:val="000000"/>
                            <w:sz w:val="21"/>
                          </w:rPr>
                          <w:t>年</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color w:val="000000"/>
                            <w:sz w:val="21"/>
                          </w:rPr>
                          <w:t>2</w:t>
                        </w:r>
                      </w:p>
                    </w:tc>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color w:val="000000"/>
                            <w:sz w:val="21"/>
                          </w:rPr>
                          <w:t>多旋翼组</w:t>
                        </w:r>
                        <w:r>
                          <w:rPr>
                            <w:rFonts w:ascii="arial, helvetica, sans-serif" w:hAnsi="arial, helvetica, sans-serif" w:cs="arial, helvetica, sans-serif" w:eastAsia="arial, helvetica, sans-serif"/>
                            <w:color w:val="000000"/>
                            <w:sz w:val="21"/>
                          </w:rPr>
                          <w:t>1无人机执法飞行服务</w:t>
                        </w:r>
                      </w:p>
                    </w:tc>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color w:val="000000"/>
                            <w:sz w:val="21"/>
                          </w:rPr>
                          <w:t>133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color w:val="000000"/>
                            <w:sz w:val="21"/>
                          </w:rPr>
                          <w:t>架次</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color w:val="000000"/>
                            <w:sz w:val="21"/>
                          </w:rPr>
                          <w:t>3</w:t>
                        </w:r>
                      </w:p>
                    </w:tc>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color w:val="000000"/>
                            <w:sz w:val="21"/>
                          </w:rPr>
                          <w:t>多旋翼组</w:t>
                        </w:r>
                        <w:r>
                          <w:rPr>
                            <w:rFonts w:ascii="arial, helvetica, sans-serif" w:hAnsi="arial, helvetica, sans-serif" w:cs="arial, helvetica, sans-serif" w:eastAsia="arial, helvetica, sans-serif"/>
                            <w:color w:val="000000"/>
                            <w:sz w:val="21"/>
                          </w:rPr>
                          <w:t>2无人机执法飞行服务</w:t>
                        </w:r>
                      </w:p>
                    </w:tc>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color w:val="000000"/>
                            <w:sz w:val="21"/>
                          </w:rPr>
                          <w:t>133</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color w:val="000000"/>
                            <w:sz w:val="21"/>
                          </w:rPr>
                          <w:t>架次</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color w:val="000000"/>
                            <w:sz w:val="21"/>
                          </w:rPr>
                          <w:t>4</w:t>
                        </w:r>
                      </w:p>
                    </w:tc>
                    <w:tc>
                      <w:tcPr>
                        <w:tcW w:type="dxa" w:w="1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color w:val="000000"/>
                            <w:sz w:val="21"/>
                          </w:rPr>
                          <w:t>垂起固定翼无人机执法巡查服务</w:t>
                        </w:r>
                      </w:p>
                    </w:tc>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color w:val="000000"/>
                            <w:sz w:val="21"/>
                          </w:rPr>
                          <w:t>15</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color w:val="000000"/>
                            <w:sz w:val="21"/>
                          </w:rPr>
                          <w:t>架次</w:t>
                        </w:r>
                      </w:p>
                    </w:tc>
                  </w:tr>
                </w:tbl>
                <w:p>
                  <w:pPr>
                    <w:pStyle w:val="null3"/>
                    <w:jc w:val="left"/>
                  </w:pPr>
                  <w:r>
                    <w:rPr>
                      <w:rFonts w:ascii="arial, helvetica, sans-serif" w:hAnsi="arial, helvetica, sans-serif" w:cs="arial, helvetica, sans-serif" w:eastAsia="arial, helvetica, sans-serif"/>
                      <w:b/>
                      <w:color w:val="000000"/>
                      <w:sz w:val="21"/>
                    </w:rPr>
                    <w:t>2、服务内容</w:t>
                  </w:r>
                </w:p>
                <w:p>
                  <w:pPr>
                    <w:pStyle w:val="null3"/>
                    <w:jc w:val="left"/>
                  </w:pPr>
                  <w:r>
                    <w:rPr>
                      <w:rFonts w:ascii="arial, helvetica, sans-serif" w:hAnsi="arial, helvetica, sans-serif" w:cs="arial, helvetica, sans-serif" w:eastAsia="arial, helvetica, sans-serif"/>
                      <w:color w:val="000000"/>
                      <w:sz w:val="21"/>
                    </w:rPr>
                    <w:t>服务期内完成陕西省生态环境执法无人机过程监控系统运行维护任务，并依托该系统按照甲方调度安排和无人机执法飞行流程，使用多旋翼无人机、垂起固定翼无人机完成全省范围内环境污染问题无人机执法飞行暗查及日常巡查任务。具体服务内容如下：</w:t>
                  </w:r>
                </w:p>
                <w:p>
                  <w:pPr>
                    <w:pStyle w:val="null3"/>
                    <w:jc w:val="left"/>
                  </w:pPr>
                  <w:r>
                    <w:rPr>
                      <w:rFonts w:ascii="arial, helvetica, sans-serif" w:hAnsi="arial, helvetica, sans-serif" w:cs="arial, helvetica, sans-serif" w:eastAsia="arial, helvetica, sans-serif"/>
                      <w:color w:val="000000"/>
                      <w:sz w:val="21"/>
                    </w:rPr>
                    <w:t>2.1、陕西省生态环境执法无人机过程监控系统运行维护</w:t>
                  </w:r>
                </w:p>
                <w:p>
                  <w:pPr>
                    <w:pStyle w:val="null3"/>
                    <w:ind w:firstLine="210"/>
                    <w:jc w:val="left"/>
                  </w:pPr>
                  <w:r>
                    <w:rPr>
                      <w:rFonts w:ascii="arial, helvetica, sans-serif" w:hAnsi="arial, helvetica, sans-serif" w:cs="arial, helvetica, sans-serif" w:eastAsia="arial, helvetica, sans-serif"/>
                      <w:color w:val="000000"/>
                      <w:sz w:val="21"/>
                    </w:rPr>
                    <w:t>安排</w:t>
                  </w:r>
                  <w:r>
                    <w:rPr>
                      <w:rFonts w:ascii="arial, helvetica, sans-serif" w:hAnsi="arial, helvetica, sans-serif" w:cs="arial, helvetica, sans-serif" w:eastAsia="arial, helvetica, sans-serif"/>
                      <w:color w:val="000000"/>
                      <w:sz w:val="21"/>
                    </w:rPr>
                    <w:t>1名系统运维工程师1人常驻甲方单位，对陕西生态环境执法无人机过程监控系统进行运维，服务期限一年。</w:t>
                  </w:r>
                </w:p>
                <w:p>
                  <w:pPr>
                    <w:pStyle w:val="null3"/>
                    <w:jc w:val="left"/>
                  </w:pPr>
                  <w:r>
                    <w:rPr>
                      <w:rFonts w:ascii="arial, helvetica, sans-serif" w:hAnsi="arial, helvetica, sans-serif" w:cs="arial, helvetica, sans-serif" w:eastAsia="arial, helvetica, sans-serif"/>
                      <w:color w:val="000000"/>
                      <w:sz w:val="21"/>
                    </w:rPr>
                    <w:t>2.1.1、对系统平台软硬件进行日常维护，保障平台稳定运行；出现故障及时响应现场处理，响应时间为全天24小时。</w:t>
                  </w:r>
                </w:p>
                <w:p>
                  <w:pPr>
                    <w:pStyle w:val="null3"/>
                    <w:jc w:val="left"/>
                  </w:pPr>
                  <w:r>
                    <w:rPr>
                      <w:rFonts w:ascii="arial, helvetica, sans-serif" w:hAnsi="arial, helvetica, sans-serif" w:cs="arial, helvetica, sans-serif" w:eastAsia="arial, helvetica, sans-serif"/>
                      <w:color w:val="000000"/>
                      <w:sz w:val="21"/>
                    </w:rPr>
                    <w:t>2.1.2、定期对执法无人机进行网络联调，保障执法无人机执行飞行数据都能实时传输到平台，若出现网络故障，及时排工程师现场处理。</w:t>
                  </w:r>
                </w:p>
                <w:p>
                  <w:pPr>
                    <w:pStyle w:val="null3"/>
                    <w:jc w:val="left"/>
                  </w:pPr>
                  <w:r>
                    <w:rPr>
                      <w:rFonts w:ascii="arial, helvetica, sans-serif" w:hAnsi="arial, helvetica, sans-serif" w:cs="arial, helvetica, sans-serif" w:eastAsia="arial, helvetica, sans-serif"/>
                      <w:color w:val="000000"/>
                      <w:sz w:val="21"/>
                    </w:rPr>
                    <w:t>2.1.3、保障省市重要无人机执法飞行任务，协助指挥中心领导完成远程指挥调度。</w:t>
                  </w:r>
                </w:p>
                <w:p>
                  <w:pPr>
                    <w:pStyle w:val="null3"/>
                    <w:jc w:val="left"/>
                  </w:pPr>
                  <w:r>
                    <w:rPr>
                      <w:rFonts w:ascii="arial, helvetica, sans-serif" w:hAnsi="arial, helvetica, sans-serif" w:cs="arial, helvetica, sans-serif" w:eastAsia="arial, helvetica, sans-serif"/>
                      <w:color w:val="000000"/>
                      <w:sz w:val="21"/>
                    </w:rPr>
                    <w:t>2.1.4、保障执法无人机向陕西生态环境执法系统传输数据正常。</w:t>
                  </w:r>
                </w:p>
                <w:p>
                  <w:pPr>
                    <w:pStyle w:val="null3"/>
                    <w:jc w:val="left"/>
                  </w:pPr>
                  <w:r>
                    <w:rPr>
                      <w:rFonts w:ascii="arial, helvetica, sans-serif" w:hAnsi="arial, helvetica, sans-serif" w:cs="arial, helvetica, sans-serif" w:eastAsia="arial, helvetica, sans-serif"/>
                      <w:color w:val="000000"/>
                      <w:sz w:val="21"/>
                    </w:rPr>
                    <w:t>2.1.5、按照生态环境保护非现场执法实际工作需求，及时提交全面、准确的运行维护数据及相关技术报告；</w:t>
                  </w:r>
                </w:p>
                <w:p>
                  <w:pPr>
                    <w:pStyle w:val="null3"/>
                    <w:jc w:val="left"/>
                  </w:pPr>
                  <w:r>
                    <w:rPr>
                      <w:rFonts w:ascii="arial, helvetica, sans-serif" w:hAnsi="arial, helvetica, sans-serif" w:cs="arial, helvetica, sans-serif" w:eastAsia="arial, helvetica, sans-serif"/>
                      <w:color w:val="000000"/>
                      <w:sz w:val="21"/>
                    </w:rPr>
                    <w:t>2.1.6、做好相关数据的定期备份工作。提供日常的数据备份和系统运行检查，以确保系统的数据安全，在发生灾难后能及时恢复数据。</w:t>
                  </w:r>
                </w:p>
                <w:p>
                  <w:pPr>
                    <w:pStyle w:val="null3"/>
                    <w:jc w:val="left"/>
                  </w:pPr>
                  <w:r>
                    <w:rPr>
                      <w:rFonts w:ascii="arial, helvetica, sans-serif" w:hAnsi="arial, helvetica, sans-serif" w:cs="arial, helvetica, sans-serif" w:eastAsia="arial, helvetica, sans-serif"/>
                      <w:color w:val="000000"/>
                      <w:sz w:val="21"/>
                    </w:rPr>
                    <w:t>2.1.7、根据用户单位的需要，配合实施平台有关的迁移、调整、维护等。</w:t>
                  </w:r>
                </w:p>
                <w:p>
                  <w:pPr>
                    <w:pStyle w:val="null3"/>
                    <w:jc w:val="left"/>
                  </w:pPr>
                  <w:r>
                    <w:rPr>
                      <w:rFonts w:ascii="arial, helvetica, sans-serif" w:hAnsi="arial, helvetica, sans-serif" w:cs="arial, helvetica, sans-serif" w:eastAsia="arial, helvetica, sans-serif"/>
                      <w:color w:val="000000"/>
                      <w:sz w:val="21"/>
                    </w:rPr>
                    <w:t>2.1.8、提供系统使用相关技术咨询服务，对咨询事件进行解答，并记录；提供技术指导并进行疑难解答。</w:t>
                  </w:r>
                </w:p>
                <w:p>
                  <w:pPr>
                    <w:pStyle w:val="null3"/>
                    <w:jc w:val="left"/>
                  </w:pPr>
                  <w:r>
                    <w:rPr>
                      <w:rFonts w:ascii="arial, helvetica, sans-serif" w:hAnsi="arial, helvetica, sans-serif" w:cs="arial, helvetica, sans-serif" w:eastAsia="arial, helvetica, sans-serif"/>
                      <w:color w:val="000000"/>
                      <w:sz w:val="21"/>
                    </w:rPr>
                    <w:t>2.1.9、根据业务需求或因系统升级，适时组织无人机过程监控系统业务培训。</w:t>
                  </w:r>
                </w:p>
                <w:p>
                  <w:pPr>
                    <w:pStyle w:val="null3"/>
                    <w:jc w:val="left"/>
                  </w:pPr>
                  <w:r>
                    <w:rPr>
                      <w:rFonts w:ascii="arial, helvetica, sans-serif" w:hAnsi="arial, helvetica, sans-serif" w:cs="arial, helvetica, sans-serif" w:eastAsia="arial, helvetica, sans-serif"/>
                      <w:color w:val="000000"/>
                      <w:sz w:val="21"/>
                    </w:rPr>
                    <w:t>2.2、多旋翼组1无人机执法飞行服务</w:t>
                  </w:r>
                </w:p>
                <w:p>
                  <w:pPr>
                    <w:pStyle w:val="null3"/>
                    <w:jc w:val="left"/>
                  </w:pPr>
                  <w:r>
                    <w:rPr>
                      <w:rFonts w:ascii="arial, helvetica, sans-serif" w:hAnsi="arial, helvetica, sans-serif" w:cs="arial, helvetica, sans-serif" w:eastAsia="arial, helvetica, sans-serif"/>
                      <w:color w:val="000000"/>
                      <w:sz w:val="21"/>
                    </w:rPr>
                    <w:t>2.2.1、提供2名专业飞行技术人员组成飞行小组1，至少标配1台多旋翼无人机（挂载正射相机、带测温红外热成像相机、无人机气体检测仪），标配1辆多功能运输车，1台无人机正射影像处理工作站，服务期间按照甲方调度安排和无人机执法飞行流程陕西区域进行暗查及日常巡查。</w:t>
                  </w:r>
                </w:p>
                <w:p>
                  <w:pPr>
                    <w:pStyle w:val="null3"/>
                    <w:jc w:val="left"/>
                  </w:pPr>
                  <w:r>
                    <w:rPr>
                      <w:rFonts w:ascii="arial, helvetica, sans-serif" w:hAnsi="arial, helvetica, sans-serif" w:cs="arial, helvetica, sans-serif" w:eastAsia="arial, helvetica, sans-serif"/>
                      <w:color w:val="000000"/>
                      <w:sz w:val="21"/>
                    </w:rPr>
                    <w:t>2.2.2、无人机气体检测感知数据实时专网上传至陕西省生态环境执法无人机过程监控系统，正射影像航拍感知原始数据经无人机正射影像处理工作站现场处理后生成正射影像图上传至陕西省生态环境执法无人机过程监控系统，陕西省生态环境执法无人机过程监控系统根据无人机现场数据，经过解析处理分析，生成区域污染物浓度分布图，并根据正射影像图识别并标注疑似巡查的违法问题数据，形成无人机执法飞行报告，提交甲方。</w:t>
                  </w:r>
                </w:p>
                <w:p>
                  <w:pPr>
                    <w:pStyle w:val="null3"/>
                    <w:jc w:val="left"/>
                  </w:pPr>
                  <w:r>
                    <w:rPr>
                      <w:rFonts w:ascii="arial, helvetica, sans-serif" w:hAnsi="arial, helvetica, sans-serif" w:cs="arial, helvetica, sans-serif" w:eastAsia="arial, helvetica, sans-serif"/>
                      <w:color w:val="000000"/>
                      <w:sz w:val="21"/>
                    </w:rPr>
                    <w:t>2.3、多旋翼组2无人机执法飞行服务</w:t>
                  </w:r>
                </w:p>
                <w:p>
                  <w:pPr>
                    <w:pStyle w:val="null3"/>
                    <w:jc w:val="left"/>
                  </w:pPr>
                  <w:r>
                    <w:rPr>
                      <w:rFonts w:ascii="arial, helvetica, sans-serif" w:hAnsi="arial, helvetica, sans-serif" w:cs="arial, helvetica, sans-serif" w:eastAsia="arial, helvetica, sans-serif"/>
                      <w:color w:val="000000"/>
                      <w:sz w:val="21"/>
                    </w:rPr>
                    <w:t>2.3.1、提供2名专业飞行技术人员组成飞行小组2，至少标配1台多旋翼无人机（挂载正射相机、带测温红外热成像相机、无人机气体检测仪），标配1辆多功能运输车，1台无人机正射影像处理工作站，服务期间按照甲方调度安排和无人机执法飞行流程陕西区域进行涉水、土、气无人机执法巡查。</w:t>
                  </w:r>
                </w:p>
                <w:p>
                  <w:pPr>
                    <w:pStyle w:val="null3"/>
                    <w:jc w:val="left"/>
                  </w:pPr>
                  <w:r>
                    <w:rPr>
                      <w:rFonts w:ascii="arial, helvetica, sans-serif" w:hAnsi="arial, helvetica, sans-serif" w:cs="arial, helvetica, sans-serif" w:eastAsia="arial, helvetica, sans-serif"/>
                      <w:color w:val="000000"/>
                      <w:sz w:val="21"/>
                    </w:rPr>
                    <w:t>2.3.2、无人机气体检测感知数据实时专网上传至陕西省生态环境执法无人机过程监控系统，正射影像航拍感知原始数据经无人机正射影像处理工作站现场处理后生成正射影像图上传至陕西省生态环境执法无人机过程监控系统，陕西省生态环境执法无人机过程监控系统根据无人机现场数据，经过解析处理分析，生成区域污染物浓度分布图，并根据正射影像图识别并标注疑似巡查的违法问题数据，形成无人机执法飞行报告，提交甲方。</w:t>
                  </w:r>
                </w:p>
                <w:p>
                  <w:pPr>
                    <w:pStyle w:val="null3"/>
                    <w:jc w:val="left"/>
                  </w:pPr>
                  <w:r>
                    <w:rPr>
                      <w:rFonts w:ascii="arial, helvetica, sans-serif" w:hAnsi="arial, helvetica, sans-serif" w:cs="arial, helvetica, sans-serif" w:eastAsia="arial, helvetica, sans-serif"/>
                      <w:color w:val="000000"/>
                      <w:sz w:val="21"/>
                    </w:rPr>
                    <w:t>2.4、垂起固定翼无人机执法巡查服务</w:t>
                  </w:r>
                </w:p>
                <w:p>
                  <w:pPr>
                    <w:pStyle w:val="null3"/>
                    <w:jc w:val="left"/>
                  </w:pPr>
                  <w:r>
                    <w:rPr>
                      <w:rFonts w:ascii="arial, helvetica, sans-serif" w:hAnsi="arial, helvetica, sans-serif" w:cs="arial, helvetica, sans-serif" w:eastAsia="arial, helvetica, sans-serif"/>
                      <w:color w:val="000000"/>
                      <w:sz w:val="21"/>
                    </w:rPr>
                    <w:t>2.4.1、提供2名专业飞行技术人员组成一个飞行小组，使用1台垂起固定翼执法无人机（含正射像机、可见光云台相机、气体检测仪3个挂载），标配一辆多功能运输车，一台无人机正射影像处理工作站，服务期间按照甲方调度安排和无人机执法飞行流程陕西区域进行大范围区域无人机执法巡查。</w:t>
                  </w:r>
                </w:p>
                <w:p>
                  <w:pPr>
                    <w:pStyle w:val="null3"/>
                    <w:jc w:val="left"/>
                  </w:pPr>
                  <w:r>
                    <w:rPr>
                      <w:rFonts w:ascii="arial, helvetica, sans-serif" w:hAnsi="arial, helvetica, sans-serif" w:cs="arial, helvetica, sans-serif" w:eastAsia="arial, helvetica, sans-serif"/>
                      <w:color w:val="000000"/>
                      <w:sz w:val="21"/>
                    </w:rPr>
                    <w:t>2.4.2、无人机气体检测感知数据实时专网上传至陕西省生态环境执法无人机过程监控系统，正射影像航拍原始数据经无人机正射影像处理工作站现场处理后生成正射影像图上传至陕西省生态环境执法无人机过程监控系统，陕西省生态环境执法无人机过程监控系统根据无人机现场感知数据，经过解析处理分析，生成区域污染物浓度分布图，并根据正射影像图识别并标注疑似巡查的违法问题数据，形成无人机执法飞行报告，提交甲方。</w:t>
                  </w:r>
                </w:p>
                <w:p>
                  <w:pPr>
                    <w:pStyle w:val="null3"/>
                    <w:jc w:val="left"/>
                  </w:pPr>
                  <w:r>
                    <w:rPr>
                      <w:rFonts w:ascii="arial, helvetica, sans-serif" w:hAnsi="arial, helvetica, sans-serif" w:cs="arial, helvetica, sans-serif" w:eastAsia="arial, helvetica, sans-serif"/>
                      <w:b/>
                      <w:color w:val="000000"/>
                      <w:sz w:val="21"/>
                    </w:rPr>
                    <w:t>3、技术及服务要求</w:t>
                  </w:r>
                </w:p>
                <w:p>
                  <w:pPr>
                    <w:pStyle w:val="null3"/>
                    <w:jc w:val="left"/>
                  </w:pPr>
                  <w:r>
                    <w:rPr>
                      <w:rFonts w:ascii="arial, helvetica, sans-serif" w:hAnsi="arial, helvetica, sans-serif" w:cs="arial, helvetica, sans-serif" w:eastAsia="arial, helvetica, sans-serif"/>
                      <w:color w:val="000000"/>
                      <w:sz w:val="21"/>
                    </w:rPr>
                    <w:t>3.1、系统运维要求：熟悉陕西省生态环境执法无人机过程监控系统功能及架构，能按要求完成系统运行维护任务。</w:t>
                  </w:r>
                </w:p>
                <w:p>
                  <w:pPr>
                    <w:pStyle w:val="null3"/>
                    <w:jc w:val="left"/>
                  </w:pPr>
                  <w:r>
                    <w:rPr>
                      <w:rFonts w:ascii="arial, helvetica, sans-serif" w:hAnsi="arial, helvetica, sans-serif" w:cs="arial, helvetica, sans-serif" w:eastAsia="arial, helvetica, sans-serif"/>
                      <w:color w:val="000000"/>
                      <w:sz w:val="21"/>
                    </w:rPr>
                    <w:t>3.2、多旋翼无人机设备要求：多旋翼无人机，尺寸≥800×650×400 mm（长×宽×高）,空机重量≥6Kg,最大起飞重量≥9 kg，无人机正射影像原始照片清晰度≥4500 万像素，视频分辨率≥ 3800x2100@30fps，视频最大支持 200 倍变焦，红外镜头分辨率≥640X512@30fps。气体检测仪挂载能检测 PM2.5、PM10、SO₂、NO₂、臭氧、CO、VOCs 等环境污染因子数据。</w:t>
                  </w:r>
                </w:p>
                <w:p>
                  <w:pPr>
                    <w:pStyle w:val="null3"/>
                    <w:jc w:val="left"/>
                  </w:pPr>
                  <w:r>
                    <w:rPr>
                      <w:rFonts w:ascii="arial, helvetica, sans-serif" w:hAnsi="arial, helvetica, sans-serif" w:cs="arial, helvetica, sans-serif" w:eastAsia="arial, helvetica, sans-serif"/>
                      <w:color w:val="000000"/>
                      <w:sz w:val="21"/>
                    </w:rPr>
                    <w:t>3.3、垂起固定翼无人机要求 ：电动无人机，机翼长度≥3000mm, 机身长度≤1700mm；空机重量≥7kg、最大起飞重量≥13kg，最大续航时间≥120 分钟。挂载多种模块，机翼、尾翼可快速拆卸组装，提高任务效率。</w:t>
                  </w:r>
                </w:p>
                <w:p>
                  <w:pPr>
                    <w:pStyle w:val="null3"/>
                    <w:jc w:val="left"/>
                  </w:pPr>
                  <w:r>
                    <w:rPr>
                      <w:rFonts w:ascii="arial, helvetica, sans-serif" w:hAnsi="arial, helvetica, sans-serif" w:cs="arial, helvetica, sans-serif" w:eastAsia="arial, helvetica, sans-serif"/>
                      <w:color w:val="000000"/>
                      <w:sz w:val="21"/>
                    </w:rPr>
                    <w:t>3.4、运输车辆要求：配备多功能运输车，3座以上，具有足够空间，可同时运输多旋翼、固定翼无人机、正摄影像处理工作站，配备车载无人机电池保温箱，配备220V市电，可为无人机电池充电，车载无人机电池保温箱、正射影像处理工作站供电。</w:t>
                  </w:r>
                </w:p>
                <w:p>
                  <w:pPr>
                    <w:pStyle w:val="null3"/>
                    <w:jc w:val="left"/>
                  </w:pPr>
                  <w:r>
                    <w:rPr>
                      <w:rFonts w:ascii="arial, helvetica, sans-serif" w:hAnsi="arial, helvetica, sans-serif" w:cs="arial, helvetica, sans-serif" w:eastAsia="arial, helvetica, sans-serif"/>
                      <w:color w:val="000000"/>
                      <w:sz w:val="21"/>
                    </w:rPr>
                    <w:t>3.5、正摄影像处理工作站配置要求：台式工作站，处理器≥I9-12900K 3.19Ghz,内存≥32G,显存容量≥12G,硬盘容量≥24T</w:t>
                  </w:r>
                </w:p>
                <w:p>
                  <w:pPr>
                    <w:pStyle w:val="null3"/>
                    <w:jc w:val="left"/>
                  </w:pPr>
                  <w:r>
                    <w:rPr>
                      <w:rFonts w:ascii="arial, helvetica, sans-serif" w:hAnsi="arial, helvetica, sans-serif" w:cs="arial, helvetica, sans-serif" w:eastAsia="arial, helvetica, sans-serif"/>
                      <w:color w:val="000000"/>
                      <w:sz w:val="21"/>
                    </w:rPr>
                    <w:t>3.6、人员资质要求：运维工程师具有运维工程师类职业资格证书，软件开发人员具有软件开发或程序设计类职业资格证书，飞行小组成员至少2人须同时持有民航局颁发的多旋翼无人机超视距驾驶员飞行执照、垂起固定翼无人机超视距驾驶员飞行执照和中级及以上通信工程师职业证书。</w:t>
                  </w:r>
                </w:p>
              </w:tc>
            </w:tr>
          </w:tbl>
          <w:p/>
        </w:tc>
      </w:tr>
    </w:tbl>
    <w:p>
      <w:pPr>
        <w:pStyle w:val="null3"/>
        <w:outlineLvl w:val="2"/>
      </w:pPr>
      <w:r>
        <w:rPr>
          <w:b/>
          <w:sz w:val="28"/>
        </w:rPr>
        <w:t>3.2.3人员配置要求</w:t>
      </w:r>
    </w:p>
    <w:p>
      <w:pPr>
        <w:pStyle w:val="null3"/>
      </w:pPr>
      <w:r>
        <w:rPr/>
        <w:t>采购包1：</w:t>
      </w:r>
    </w:p>
    <w:p>
      <w:pPr>
        <w:pStyle w:val="null3"/>
      </w:pPr>
      <w:r>
        <w:rPr/>
        <w:t>有完善的项目实施团队，提供团队人员名单</w:t>
      </w:r>
    </w:p>
    <w:p>
      <w:pPr>
        <w:pStyle w:val="null3"/>
        <w:outlineLvl w:val="2"/>
      </w:pPr>
      <w:r>
        <w:rPr>
          <w:b/>
          <w:sz w:val="28"/>
        </w:rPr>
        <w:t>3.2.4设施设备要求</w:t>
      </w:r>
    </w:p>
    <w:p>
      <w:pPr>
        <w:pStyle w:val="null3"/>
      </w:pPr>
      <w:r>
        <w:rPr/>
        <w:t>采购包1：</w:t>
      </w:r>
    </w:p>
    <w:p>
      <w:pPr>
        <w:pStyle w:val="null3"/>
      </w:pPr>
      <w:r>
        <w:rPr/>
        <w:t>有完成本项目服务所需的设备，提供有设备清单</w:t>
      </w:r>
    </w:p>
    <w:p>
      <w:pPr>
        <w:pStyle w:val="null3"/>
        <w:outlineLvl w:val="2"/>
      </w:pPr>
      <w:r>
        <w:rPr>
          <w:b/>
          <w:sz w:val="28"/>
        </w:rPr>
        <w:t>3.2.5其他要求</w:t>
      </w:r>
    </w:p>
    <w:p>
      <w:pPr>
        <w:pStyle w:val="null3"/>
      </w:pPr>
      <w:r>
        <w:rPr/>
        <w:t>采购包1：</w:t>
      </w:r>
    </w:p>
    <w:p>
      <w:pPr>
        <w:pStyle w:val="null3"/>
      </w:pPr>
      <w:r>
        <w:rPr/>
        <w:t>系统运维服务期为2024年自12月2日至2025年12月1日， 执法飞行服务期限为自合同签订之日起至2025年3月15日</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合同签订之日起545天</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符合国家相关标准并满足磋商文件和磋商响应文件所承诺的相关内容。</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合同签订后，乙方向甲方开具相应额度增值税发票后</w:t>
      </w:r>
      <w:r>
        <w:rPr/>
        <w:t xml:space="preserve"> ，达到付款条件起 </w:t>
      </w:r>
      <w:r>
        <w:rPr/>
        <w:t>10</w:t>
      </w:r>
      <w:r>
        <w:rPr/>
        <w:t xml:space="preserve"> 日内，支付合同总金额的 </w:t>
      </w:r>
      <w:r>
        <w:rPr/>
        <w:t>75.00</w:t>
      </w:r>
      <w:r>
        <w:rPr/>
        <w:t>%。</w:t>
      </w:r>
    </w:p>
    <w:p>
      <w:pPr>
        <w:pStyle w:val="null3"/>
      </w:pPr>
      <w:r>
        <w:rPr/>
        <w:t>采购包1：</w:t>
      </w:r>
      <w:r>
        <w:rPr/>
        <w:t xml:space="preserve"> 付款条件说明： </w:t>
      </w:r>
      <w:r>
        <w:rPr/>
        <w:t>飞行服务任务完成过半，乙方向甲方提供保函（保函金额为合同款项的 5%，保函期不少于13个月），并开具剩余合同总价款的增值税发票。服务结束项目验收合格后，甲方退还乙方履约保函</w:t>
      </w:r>
      <w:r>
        <w:rPr/>
        <w:t xml:space="preserve"> ，达到付款条件起 </w:t>
      </w:r>
      <w:r>
        <w:rPr/>
        <w:t>15</w:t>
      </w:r>
      <w:r>
        <w:rPr/>
        <w:t xml:space="preserve"> 日内，支付合同总金额的 </w:t>
      </w:r>
      <w:r>
        <w:rPr/>
        <w:t>25.00</w:t>
      </w:r>
      <w:r>
        <w:rPr/>
        <w:t>%。</w:t>
      </w:r>
    </w:p>
    <w:p>
      <w:pPr>
        <w:pStyle w:val="null3"/>
        <w:outlineLvl w:val="3"/>
      </w:pPr>
      <w:r>
        <w:rPr>
          <w:b/>
          <w:sz w:val="24"/>
        </w:rPr>
        <w:t>3.3.6违约责任及解决争议的方法</w:t>
      </w:r>
    </w:p>
    <w:p>
      <w:pPr>
        <w:pStyle w:val="null3"/>
      </w:pPr>
      <w:r>
        <w:rPr/>
        <w:t>采购包1：</w:t>
      </w:r>
    </w:p>
    <w:p>
      <w:pPr>
        <w:pStyle w:val="null3"/>
      </w:pPr>
      <w:r>
        <w:rPr/>
        <w:t>双方应按照《中华人民共和国民法典》规定及合同条款约定进行处理。</w:t>
      </w:r>
    </w:p>
    <w:p>
      <w:pPr>
        <w:pStyle w:val="null3"/>
        <w:outlineLvl w:val="2"/>
      </w:pPr>
      <w:r>
        <w:rPr>
          <w:b/>
          <w:sz w:val="28"/>
        </w:rPr>
        <w:t>3.4其他要求</w:t>
      </w:r>
    </w:p>
    <w:p>
      <w:pPr>
        <w:pStyle w:val="null3"/>
      </w:pPr>
      <w:r>
        <w:rPr/>
        <w:t>/</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具有独立承担民事责任能力的企业法人或其他组织或注册地在中国境内的外资企业 , 提供合法有效的（三证合一）统一社会信用代码的营业执照；</w:t>
            </w:r>
          </w:p>
        </w:tc>
        <w:tc>
          <w:tcPr>
            <w:tcW w:type="dxa" w:w="1661"/>
          </w:tcPr>
          <w:p>
            <w:pPr>
              <w:pStyle w:val="null3"/>
            </w:pPr>
            <w:r>
              <w:rPr/>
              <w:t>供应商应提交的相关资格证明材料 供应商应提交的特殊资格资格证明材料</w:t>
            </w:r>
          </w:p>
        </w:tc>
      </w:tr>
      <w:tr>
        <w:tc>
          <w:tcPr>
            <w:tcW w:type="dxa" w:w="831"/>
          </w:tcPr>
          <w:p>
            <w:pPr>
              <w:pStyle w:val="null3"/>
            </w:pPr>
            <w:r>
              <w:rPr/>
              <w:t>2</w:t>
            </w:r>
          </w:p>
        </w:tc>
        <w:tc>
          <w:tcPr>
            <w:tcW w:type="dxa" w:w="2492"/>
          </w:tcPr>
          <w:p>
            <w:pPr>
              <w:pStyle w:val="null3"/>
            </w:pPr>
            <w:r>
              <w:rPr/>
              <w:t>法人授权</w:t>
            </w:r>
          </w:p>
        </w:tc>
        <w:tc>
          <w:tcPr>
            <w:tcW w:type="dxa" w:w="3322"/>
          </w:tcPr>
          <w:p>
            <w:pPr>
              <w:pStyle w:val="null3"/>
            </w:pPr>
            <w:r>
              <w:rPr/>
              <w:t>供应商应授权合法的人员参加磋商响应全过程，其中法定代表人直接磋商响应的， 须提交法定代表人身份证明书。法定代表人授权他人参加磋商响应的，须出具法定代表人授权委托书</w:t>
            </w:r>
          </w:p>
        </w:tc>
        <w:tc>
          <w:tcPr>
            <w:tcW w:type="dxa" w:w="1661"/>
          </w:tcPr>
          <w:p>
            <w:pPr>
              <w:pStyle w:val="null3"/>
            </w:pPr>
            <w:r>
              <w:rPr/>
              <w:t>供应商应提交的相关资格证明材料 供应商应提交的特殊资格资格证明材料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供应商须提供磋商截止时间一年内任意1个月的缴税证明（注：依法免税或零申报 的供应商应提供相关文件证明）</w:t>
            </w:r>
          </w:p>
        </w:tc>
        <w:tc>
          <w:tcPr>
            <w:tcW w:type="dxa" w:w="1661"/>
          </w:tcPr>
          <w:p>
            <w:pPr>
              <w:pStyle w:val="null3"/>
            </w:pPr>
            <w:r>
              <w:rPr/>
              <w:t>供应商应提交的相关资格证明材料 供应商应提交的特殊资格资格证明材料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供应商须提供磋商截止时间一年内任意1个月的社会保险缴纳证明（注：依法不需要缴纳社会保障资金的供应商应提供相关文件证明</w:t>
            </w:r>
          </w:p>
        </w:tc>
        <w:tc>
          <w:tcPr>
            <w:tcW w:type="dxa" w:w="1661"/>
          </w:tcPr>
          <w:p>
            <w:pPr>
              <w:pStyle w:val="null3"/>
            </w:pPr>
            <w:r>
              <w:rPr/>
              <w:t>供应商应提交的相关资格证明材料 供应商应提交的特殊资格资格证明材料</w:t>
            </w:r>
          </w:p>
        </w:tc>
      </w:tr>
      <w:tr>
        <w:tc>
          <w:tcPr>
            <w:tcW w:type="dxa" w:w="831"/>
          </w:tcPr>
          <w:p>
            <w:pPr>
              <w:pStyle w:val="null3"/>
            </w:pPr>
            <w:r>
              <w:rPr/>
              <w:t>5</w:t>
            </w:r>
          </w:p>
        </w:tc>
        <w:tc>
          <w:tcPr>
            <w:tcW w:type="dxa" w:w="2492"/>
          </w:tcPr>
          <w:p>
            <w:pPr>
              <w:pStyle w:val="null3"/>
            </w:pPr>
            <w:r>
              <w:rPr/>
              <w:t>财务状况报告</w:t>
            </w:r>
          </w:p>
        </w:tc>
        <w:tc>
          <w:tcPr>
            <w:tcW w:type="dxa" w:w="3322"/>
          </w:tcPr>
          <w:p>
            <w:pPr>
              <w:pStyle w:val="null3"/>
            </w:pPr>
            <w:r>
              <w:rPr/>
              <w:t>提供经审计的2022年度或2023年度的财务报告或提交磋商响应文件截止时间前六个月内其基本账户开户银行出具的资信证明；其他组织和自然人提供银行出具的资信证明或财务报表</w:t>
            </w:r>
          </w:p>
        </w:tc>
        <w:tc>
          <w:tcPr>
            <w:tcW w:type="dxa" w:w="1661"/>
          </w:tcPr>
          <w:p>
            <w:pPr>
              <w:pStyle w:val="null3"/>
            </w:pPr>
            <w:r>
              <w:rPr/>
              <w:t>供应商应提交的相关资格证明材料 供应商应提交的特殊资格资格证明材料</w:t>
            </w:r>
          </w:p>
        </w:tc>
      </w:tr>
      <w:tr>
        <w:tc>
          <w:tcPr>
            <w:tcW w:type="dxa" w:w="831"/>
          </w:tcPr>
          <w:p>
            <w:pPr>
              <w:pStyle w:val="null3"/>
            </w:pPr>
            <w:r>
              <w:rPr/>
              <w:t>6</w:t>
            </w:r>
          </w:p>
        </w:tc>
        <w:tc>
          <w:tcPr>
            <w:tcW w:type="dxa" w:w="2492"/>
          </w:tcPr>
          <w:p>
            <w:pPr>
              <w:pStyle w:val="null3"/>
            </w:pPr>
            <w:r>
              <w:rPr/>
              <w:t>履约能力声明</w:t>
            </w:r>
          </w:p>
        </w:tc>
        <w:tc>
          <w:tcPr>
            <w:tcW w:type="dxa" w:w="3322"/>
          </w:tcPr>
          <w:p>
            <w:pPr>
              <w:pStyle w:val="null3"/>
            </w:pPr>
            <w:r>
              <w:rPr/>
              <w:t>供应商须提供具有履行合同所必需的设备和专业技术能力的承诺函</w:t>
            </w:r>
          </w:p>
        </w:tc>
        <w:tc>
          <w:tcPr>
            <w:tcW w:type="dxa" w:w="1661"/>
          </w:tcPr>
          <w:p>
            <w:pPr>
              <w:pStyle w:val="null3"/>
            </w:pPr>
            <w:r>
              <w:rPr/>
              <w:t>供应商应提交的相关资格证明材料 供应商应提交的特殊资格资格证明材料</w:t>
            </w:r>
          </w:p>
        </w:tc>
      </w:tr>
      <w:tr>
        <w:tc>
          <w:tcPr>
            <w:tcW w:type="dxa" w:w="831"/>
          </w:tcPr>
          <w:p>
            <w:pPr>
              <w:pStyle w:val="null3"/>
            </w:pPr>
            <w:r>
              <w:rPr/>
              <w:t>7</w:t>
            </w:r>
          </w:p>
        </w:tc>
        <w:tc>
          <w:tcPr>
            <w:tcW w:type="dxa" w:w="2492"/>
          </w:tcPr>
          <w:p>
            <w:pPr>
              <w:pStyle w:val="null3"/>
            </w:pPr>
            <w:r>
              <w:rPr/>
              <w:t>信用记录声明</w:t>
            </w:r>
          </w:p>
        </w:tc>
        <w:tc>
          <w:tcPr>
            <w:tcW w:type="dxa" w:w="3322"/>
          </w:tcPr>
          <w:p>
            <w:pPr>
              <w:pStyle w:val="null3"/>
            </w:pPr>
            <w:r>
              <w:rPr/>
              <w:t>供应商应具备良好的商业信誉，提供参加政府采购活动前3年内在经营活动中没有 重大违法记录的书面声明</w:t>
            </w:r>
          </w:p>
        </w:tc>
        <w:tc>
          <w:tcPr>
            <w:tcW w:type="dxa" w:w="1661"/>
          </w:tcPr>
          <w:p>
            <w:pPr>
              <w:pStyle w:val="null3"/>
            </w:pPr>
            <w:r>
              <w:rPr/>
              <w:t>供应商应提交的相关资格证明材料 供应商应提交的特殊资格资格证明材料</w:t>
            </w:r>
          </w:p>
        </w:tc>
      </w:tr>
      <w:tr>
        <w:tc>
          <w:tcPr>
            <w:tcW w:type="dxa" w:w="831"/>
          </w:tcPr>
          <w:p>
            <w:pPr>
              <w:pStyle w:val="null3"/>
            </w:pPr>
            <w:r>
              <w:rPr/>
              <w:t>8</w:t>
            </w:r>
          </w:p>
        </w:tc>
        <w:tc>
          <w:tcPr>
            <w:tcW w:type="dxa" w:w="2492"/>
          </w:tcPr>
          <w:p>
            <w:pPr>
              <w:pStyle w:val="null3"/>
            </w:pPr>
            <w:r>
              <w:rPr/>
              <w:t>信用中国</w:t>
            </w:r>
          </w:p>
        </w:tc>
        <w:tc>
          <w:tcPr>
            <w:tcW w:type="dxa" w:w="3322"/>
          </w:tcPr>
          <w:p>
            <w:pPr>
              <w:pStyle w:val="null3"/>
            </w:pPr>
            <w:r>
              <w:rPr/>
              <w:t>未在“信用中国” 网站（www.creditchina.gov. cn）和“ 中国政府采购网”（ccgp .gov.cn）列入 失信被执行人、重大税收违法案件当事人名单、政府采购严重违法 失信行为记录名单。（提供网页截图）</w:t>
            </w:r>
          </w:p>
        </w:tc>
        <w:tc>
          <w:tcPr>
            <w:tcW w:type="dxa" w:w="1661"/>
          </w:tcPr>
          <w:p>
            <w:pPr>
              <w:pStyle w:val="null3"/>
            </w:pPr>
            <w:r>
              <w:rPr/>
              <w:t>供应商应提交的相关资格证明材料 供应商应提交的特殊资格资格证明材料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供应商名称和公章以及营业执照一致</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报价完整，无缺项。无选择性报价</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磋商响应文件的有效期</w:t>
            </w:r>
          </w:p>
        </w:tc>
        <w:tc>
          <w:tcPr>
            <w:tcW w:type="dxa" w:w="3322"/>
          </w:tcPr>
          <w:p>
            <w:pPr>
              <w:pStyle w:val="null3"/>
            </w:pPr>
            <w:r>
              <w:rPr/>
              <w:t>不少于90日</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服务期限</w:t>
            </w:r>
          </w:p>
        </w:tc>
        <w:tc>
          <w:tcPr>
            <w:tcW w:type="dxa" w:w="3322"/>
          </w:tcPr>
          <w:p>
            <w:pPr>
              <w:pStyle w:val="null3"/>
            </w:pPr>
            <w:r>
              <w:rPr/>
              <w:t>服务期限满足磋商文件要求</w:t>
            </w:r>
          </w:p>
        </w:tc>
        <w:tc>
          <w:tcPr>
            <w:tcW w:type="dxa" w:w="1661"/>
          </w:tcPr>
          <w:p>
            <w:pPr>
              <w:pStyle w:val="null3"/>
            </w:pPr>
            <w:r>
              <w:rPr/>
              <w:t>响应文件封面 服务内容及服务邀请应答表 商务应答表</w:t>
            </w:r>
          </w:p>
        </w:tc>
      </w:tr>
      <w:tr>
        <w:tc>
          <w:tcPr>
            <w:tcW w:type="dxa" w:w="831"/>
          </w:tcPr>
          <w:p>
            <w:pPr>
              <w:pStyle w:val="null3"/>
            </w:pPr>
            <w:r>
              <w:rPr/>
              <w:t>6</w:t>
            </w:r>
          </w:p>
        </w:tc>
        <w:tc>
          <w:tcPr>
            <w:tcW w:type="dxa" w:w="2492"/>
          </w:tcPr>
          <w:p>
            <w:pPr>
              <w:pStyle w:val="null3"/>
            </w:pPr>
            <w:r>
              <w:rPr/>
              <w:t>其他情形</w:t>
            </w:r>
          </w:p>
        </w:tc>
        <w:tc>
          <w:tcPr>
            <w:tcW w:type="dxa" w:w="3322"/>
          </w:tcPr>
          <w:p>
            <w:pPr>
              <w:pStyle w:val="null3"/>
            </w:pPr>
            <w:r>
              <w:rPr/>
              <w:t>无不符合法律、规章、规范性文件和磋商文规定的其他无效情形</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 供应商应提交的特殊资格资格证明材料</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总体服务方案</w:t>
            </w:r>
          </w:p>
        </w:tc>
        <w:tc>
          <w:tcPr>
            <w:tcW w:type="dxa" w:w="2492"/>
          </w:tcPr>
          <w:p>
            <w:pPr>
              <w:pStyle w:val="null3"/>
            </w:pPr>
            <w:r>
              <w:rPr/>
              <w:t>针对本项目提供总体技术服务方案，方案科学详细合理，满足采购需求： 1.方案科学合理完善，架构清晰，完全满足采购需求，计(8.1-11]分； 2.方案比较完善，架构比较清晰，比较满足采购要求，计(4.1-8]分； 3.方案基本完善，架构基本清晰，基本满足需求，计（0.1-4]分； 不提供不计分。</w:t>
            </w:r>
          </w:p>
        </w:tc>
        <w:tc>
          <w:tcPr>
            <w:tcW w:type="dxa" w:w="831"/>
          </w:tcPr>
          <w:p>
            <w:pPr>
              <w:pStyle w:val="null3"/>
              <w:jc w:val="right"/>
            </w:pPr>
            <w:r>
              <w:rPr/>
              <w:t>11.00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无人机设备及车辆</w:t>
            </w:r>
          </w:p>
        </w:tc>
        <w:tc>
          <w:tcPr>
            <w:tcW w:type="dxa" w:w="2492"/>
          </w:tcPr>
          <w:p>
            <w:pPr>
              <w:pStyle w:val="null3"/>
            </w:pPr>
            <w:r>
              <w:rPr/>
              <w:t>提供无人机购置发票或租赁协议，提供车辆购置发票、车辆行驶证、车辆保险等证明材料，确保拟投入本项目的车辆及设备能够满足采购需求： 1.拟投入项目的无人机及车辆齐全，证明材料完善，完全满足采购需求计(5.1-8] 分； 2.拟投入项目的无人机及车辆齐全，但证明材料不完善，比较满足采购需求计 (2.1-5]分； 3.无人机及车辆不齐全或无证明材料，计（0.1-2]分； 不提供不计分。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系统运行维护</w:t>
            </w:r>
          </w:p>
        </w:tc>
        <w:tc>
          <w:tcPr>
            <w:tcW w:type="dxa" w:w="2492"/>
          </w:tcPr>
          <w:p>
            <w:pPr>
              <w:pStyle w:val="null3"/>
            </w:pPr>
            <w:r>
              <w:rPr/>
              <w:t>熟悉陕西省生态环境执法无人机过程监控系统功能及架构，能提供详细的系统运行维护方案。1.系统运行维护方案详细，熟悉陕西省生态环境执法无人机过程监控系统功能及架构，计(5.1-10]分； 2.系统运行维护方案较详细，对陕西省生态环境执法无人机过程监控系统功能及架构较为了解，计(2.1-5]分； 3.系统运行维护方案浅显粗略，对陕西省生态环境执法无人机过程监控系统功能及架构了解较少，计（0.1-2]分； 不提供不计分。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空域及飞行流程</w:t>
            </w:r>
          </w:p>
        </w:tc>
        <w:tc>
          <w:tcPr>
            <w:tcW w:type="dxa" w:w="2492"/>
          </w:tcPr>
          <w:p>
            <w:pPr>
              <w:pStyle w:val="null3"/>
            </w:pPr>
            <w:r>
              <w:rPr/>
              <w:t>具有空域申请能力，熟悉生态环境执法无人机过程监控系统，能根据执法任务提出全面合理规范的飞行流程： 能提供至少一份2023年1月至今本公司的通用航空临时空域回执单（或空域批复文件），飞行流程全面科学合理、完全符合执法实际工作要求，计(6.1-9]分； 能提供至少一份2023年1月至今本公司的通用航空临时空域回执单（或空域批复文件），飞行流程比较全面科学合理、比较符合执法实际工作要求，计(3.1-6]分； 不能提供至少一份2023年1月至今本公司的空域批复回执单（或空域批复文件），流程片面、可操作性不强，计（0.1-3]分； 不提供不计分。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团队成员</w:t>
            </w:r>
          </w:p>
        </w:tc>
        <w:tc>
          <w:tcPr>
            <w:tcW w:type="dxa" w:w="2492"/>
          </w:tcPr>
          <w:p>
            <w:pPr>
              <w:pStyle w:val="null3"/>
            </w:pPr>
            <w:r>
              <w:rPr/>
              <w:t>拟投入本项目团队人员不少于9人。至少6名无人机飞行小组成员，2名数据接入分析处理员，1名运维工程师。6名飞行小组成员均要求持有中国民用航空局签发的民用无人驾驶航空器操控员执照，至少2人须同时持有超视距-多旋翼、超视距-垂直起降民用无人驾驶航空器操控员执照和中级及以上通信工程师资格证书。2名数据接入分析处理员须具有软件开发或程序设计类职业资格证书，1名运维工程师具有运维工程师类职业资格证书。项目团队成员均为本公司正式人员，提供社保证明。 1.拟投入本项目团队人员不少于9人，证书齐全，能提供本公司社保证明，完全满足计(7.1-10]； 2.拟投入本项目团队人员少于9人，证书齐全，能提供本公司社保证明；比较满足计(3.1-7]； 3.拟投入本项目团队人员不明确，人员无证书或提供不了本公司社保证明，计（0.1-3]分。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企业实力</w:t>
            </w:r>
          </w:p>
        </w:tc>
        <w:tc>
          <w:tcPr>
            <w:tcW w:type="dxa" w:w="2492"/>
          </w:tcPr>
          <w:p>
            <w:pPr>
              <w:pStyle w:val="null3"/>
            </w:pPr>
            <w:r>
              <w:rPr/>
              <w:t>提供包括但不限于：民用无人驾驶航空器运营合格证、国内互联网虚拟专网增值电信业务经营许可证、民用无人机企业服务能力乙级以上资质证书、无人机测绘企业服务乙级及以上资质证书，提供一个计2分，证书共计8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质量保障措施方案</w:t>
            </w:r>
          </w:p>
        </w:tc>
        <w:tc>
          <w:tcPr>
            <w:tcW w:type="dxa" w:w="2492"/>
          </w:tcPr>
          <w:p>
            <w:pPr>
              <w:pStyle w:val="null3"/>
            </w:pPr>
            <w:r>
              <w:rPr/>
              <w:t>有具体的质量保障措施及方案。 质量保障措施及方案清晰合理，针对性强，计(5.1-9]分； 质量保障措施及方案基本符合本项目需求，但细节不够完善、表述不够明确，计(2.1-5]分； 质量保障措施及方案浅显粗略，计（0.1-2]分； 不提供不计分。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应急措施方案</w:t>
            </w:r>
          </w:p>
        </w:tc>
        <w:tc>
          <w:tcPr>
            <w:tcW w:type="dxa" w:w="2492"/>
          </w:tcPr>
          <w:p>
            <w:pPr>
              <w:pStyle w:val="null3"/>
            </w:pPr>
            <w:r>
              <w:rPr/>
              <w:t>针对突发事件有应急预案，提供应急措施及承诺，根据方案的响应程度横向比较计分： 1.有明确的应急方案与措施计划及承诺，方案具体可行，计(5.1-8]分； 2.有比较明确的应急方案与措施计划及承诺，方案基本可行，计(2.1-5]分； 3.无明确的应急预案或措施计划不完善，计（0.1-2]分； 不提供不计分。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 后 培 训 方 案</w:t>
            </w:r>
          </w:p>
        </w:tc>
        <w:tc>
          <w:tcPr>
            <w:tcW w:type="dxa" w:w="2492"/>
          </w:tcPr>
          <w:p>
            <w:pPr>
              <w:pStyle w:val="null3"/>
            </w:pPr>
            <w:r>
              <w:rPr/>
              <w:t>有完善的服务保障体系及培训方案，提供培训方案、培训内容、培训计划、培训措施承诺： 1.有完善的售后服务体系，有具体可行的培训方案措施，计(4.1-7]分； 2.售后服务体系比较完善，有比较具体可行的培训方案措施，计(2.1-4]分； 3.无售后服务或无培训方案，或者售后服务措施承诺不利于进行，计（0.1-2]分； 不提供不计分。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 绩</w:t>
            </w:r>
          </w:p>
        </w:tc>
        <w:tc>
          <w:tcPr>
            <w:tcW w:type="dxa" w:w="2492"/>
          </w:tcPr>
          <w:p>
            <w:pPr>
              <w:pStyle w:val="null3"/>
            </w:pPr>
            <w:r>
              <w:rPr/>
              <w:t>提供 2021年5月至今同类项目业绩，以合同复印件加盖公章为准，每提供一份计2分，此项共计10分。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价格分统一采用低价优先法计算，即满足磋商文件要求且磋商价格最低的磋商报价为评标基准价，其价格分为满分。其他供应商的价格分统一按照下列公式计算： 价格分=(评标基准价／磋商报价)×报价分值 注：1、计算分数时四舍五入取小数点后两位；</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本项目授权磋商小组直接确认成交供应商，确认后代理机构在陕西省政府采购网上发布成交结果公告，同时向成交供应商发出成交通知书。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详见附件：供应商应提交的特殊资格资格证明材料</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详见附件：合同草案条款（仅供参考）.docx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