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能源金三角地区二氧化碳源汇基础数据与建模服务采购项目</w:t>
      </w:r>
    </w:p>
    <w:p>
      <w:pPr>
        <w:pStyle w:val="null3"/>
        <w:jc w:val="center"/>
        <w:outlineLvl w:val="2"/>
      </w:pPr>
      <w:r>
        <w:rPr>
          <w:sz w:val="28"/>
          <w:b/>
        </w:rPr>
        <w:t>采购项目编号：</w:t>
      </w:r>
      <w:r>
        <w:rPr>
          <w:sz w:val="28"/>
          <w:b/>
        </w:rPr>
        <w:t>JXRC-240510</w:t>
      </w:r>
      <w:r>
        <w:br/>
      </w:r>
      <w:r>
        <w:br/>
      </w:r>
      <w:r>
        <w:br/>
      </w:r>
    </w:p>
    <w:p>
      <w:pPr>
        <w:pStyle w:val="null3"/>
        <w:jc w:val="center"/>
        <w:outlineLvl w:val="2"/>
      </w:pPr>
      <w:r>
        <w:rPr>
          <w:sz w:val="28"/>
          <w:b/>
        </w:rPr>
        <w:t>西北大学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2024年05月17日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陕西嘉信瑞诚招标有限公司</w:t>
      </w:r>
      <w:r>
        <w:rPr/>
        <w:t>（以下简称“代理机构”）受</w:t>
      </w:r>
      <w:r>
        <w:rPr/>
        <w:t>西北大学</w:t>
      </w:r>
      <w:r>
        <w:rPr/>
        <w:t>委托，拟对</w:t>
      </w:r>
      <w:r>
        <w:rPr/>
        <w:t>能源金三角地区二氧化碳源汇基础数据与建模服务采购项目</w:t>
      </w:r>
      <w:r>
        <w:rPr/>
        <w:t>采用竞争性磋商采购方式进行采购，兹邀请供应商参加本项目的竞争性磋商。</w:t>
      </w:r>
    </w:p>
    <w:p>
      <w:pPr>
        <w:pStyle w:val="null3"/>
        <w:outlineLvl w:val="2"/>
      </w:pPr>
      <w:r>
        <w:rPr>
          <w:sz w:val="28"/>
          <w:b/>
        </w:rPr>
        <w:t>一、项目编号：</w:t>
      </w:r>
      <w:r>
        <w:rPr>
          <w:sz w:val="28"/>
          <w:b/>
        </w:rPr>
        <w:t>JXRC-240510</w:t>
      </w:r>
    </w:p>
    <w:p>
      <w:pPr>
        <w:pStyle w:val="null3"/>
        <w:outlineLvl w:val="2"/>
      </w:pPr>
      <w:r>
        <w:rPr>
          <w:sz w:val="28"/>
          <w:b/>
        </w:rPr>
        <w:t>二、项目名称：</w:t>
      </w:r>
      <w:r>
        <w:rPr>
          <w:sz w:val="28"/>
          <w:b/>
        </w:rPr>
        <w:t>能源金三角地区二氧化碳源汇基础数据与建模服务采购项目</w:t>
      </w:r>
    </w:p>
    <w:p>
      <w:pPr>
        <w:pStyle w:val="null3"/>
        <w:outlineLvl w:val="2"/>
      </w:pPr>
      <w:r>
        <w:rPr>
          <w:sz w:val="28"/>
          <w:b/>
        </w:rPr>
        <w:t>三、磋商项目简介</w:t>
      </w:r>
    </w:p>
    <w:p>
      <w:pPr>
        <w:pStyle w:val="null3"/>
        <w:ind w:firstLine="480"/>
      </w:pPr>
      <w:r>
        <w:rPr/>
        <w:t>碳排放数据是分析排放现状、趋势和进行源汇建模的基础数据，也是开展二氧化碳捕集、利用与封存（CCUS）可持续发展及CCUS项目推广应用的重要数据基础，因此开展碳排放数据库的采购对于我们开展各行业、各地区的CCUS可能性、可行性、推广应用性非常重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采购包1（能源金三角地区二氧化碳源汇基础数据与建模服务采购项目）：属于专门面向中小企业采购。</w:t>
      </w:r>
    </w:p>
    <w:p>
      <w:pPr>
        <w:pStyle w:val="null3"/>
        <w:ind w:firstLine="480"/>
      </w:pPr>
      <w:r>
        <w:rPr/>
        <w:t>（三）本项目的特定资格要求：</w:t>
      </w:r>
    </w:p>
    <w:p>
      <w:pPr>
        <w:pStyle w:val="null3"/>
      </w:pPr>
      <w:r>
        <w:rPr/>
        <w:t>采购包1：</w:t>
      </w:r>
    </w:p>
    <w:p>
      <w:pPr>
        <w:pStyle w:val="null3"/>
      </w:pPr>
      <w:r>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进行电子签章。</w:t>
      </w:r>
    </w:p>
    <w:p>
      <w:pPr>
        <w:pStyle w:val="null3"/>
      </w:pPr>
      <w:r>
        <w:rPr/>
        <w:t>2、供应商应授权合法的人员参加采购全过程：法定代表人/负责人直接参加的，须递交《法定代表人/负责人身份证明》和身份证；法定代表人/负责人授权代表参加的，须递交《法定代表人/负责人授权书》和被授权人身份证。进行电子签章。</w:t>
      </w:r>
    </w:p>
    <w:p>
      <w:pPr>
        <w:pStyle w:val="null3"/>
      </w:pPr>
      <w:r>
        <w:rPr/>
        <w:t>3、财务状况证明：法人提供会计师事务所出具的完整的2022年度或2023年度审计报告（成立时间至提交投标文件截止时间不足一年的可提供成立后任意时段的资产负债表)，或开标前6个月内（2023年11月1日后）其基本账户银行出具的资信证明，或信用担保机构出具的投标担保函（以上三种形式的资料提供任何一种即可)；其他组织和自然人提供银行出具的资信证明或财务报表；并进行电子签章。</w:t>
      </w:r>
    </w:p>
    <w:p>
      <w:pPr>
        <w:pStyle w:val="null3"/>
      </w:pPr>
      <w:r>
        <w:rPr/>
        <w:t>4、纳税证明：法人提供自2023年11月1日以来至少一个月的纳税证明或完税证明(增值税、企业所得税至少一种)，纳税证明或完税证明上应有代收机构或税务机关的公章或业务专用章；其他组织和自然人提供自2023年11月1日以来至少一个月缴纳税收的凭据；依法免税的投标人应提供相关文件证明。并进行电子签章。</w:t>
      </w:r>
    </w:p>
    <w:p>
      <w:pPr>
        <w:pStyle w:val="null3"/>
      </w:pPr>
      <w:r>
        <w:rPr/>
        <w:t>5、社保缴纳证明：提供自2023年11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t>6、参加本次政府采购活动前三年内，在经营活动中没有重大违法记录：投标人需在项目电子化交易系统中按要求填写《无重大违法记录声明》完成承诺并进行电子签章。</w:t>
      </w:r>
    </w:p>
    <w:p>
      <w:pPr>
        <w:pStyle w:val="null3"/>
      </w:pPr>
      <w:r>
        <w:rPr/>
        <w:t>7、履约能力证明：投标人需在项目电子化交易系统中按要求填写《具有履行合同所必需的设备和专业技术能力的承诺书》完成承诺并进行电子签章。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西安市长安区郭杜教育科技产业园学府大道1号</w:t>
      </w:r>
    </w:p>
    <w:p>
      <w:pPr>
        <w:pStyle w:val="null3"/>
      </w:pPr>
      <w:r>
        <w:rPr/>
        <w:t xml:space="preserve"> 邮编： </w:t>
      </w:r>
      <w:r>
        <w:rPr/>
        <w:t>710100</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陕西嘉信瑞诚招标有限公司</w:t>
      </w:r>
    </w:p>
    <w:p>
      <w:pPr>
        <w:pStyle w:val="null3"/>
      </w:pPr>
      <w:r>
        <w:rPr/>
        <w:t xml:space="preserve"> 地址： </w:t>
      </w:r>
      <w:r>
        <w:rPr/>
        <w:t>西安市南稍门十字东南角大话南门壹中心18层1806室</w:t>
      </w:r>
    </w:p>
    <w:p>
      <w:pPr>
        <w:pStyle w:val="null3"/>
      </w:pPr>
      <w:r>
        <w:rPr/>
        <w:t xml:space="preserve"> 邮编： </w:t>
      </w:r>
      <w:r>
        <w:rPr/>
        <w:t>710061</w:t>
      </w:r>
    </w:p>
    <w:p>
      <w:pPr>
        <w:pStyle w:val="null3"/>
      </w:pPr>
      <w:r>
        <w:rPr/>
        <w:t xml:space="preserve"> 联系人： </w:t>
      </w:r>
      <w:r>
        <w:rPr/>
        <w:t>曲慧、张海</w:t>
      </w:r>
    </w:p>
    <w:p>
      <w:pPr>
        <w:pStyle w:val="null3"/>
      </w:pPr>
      <w:r>
        <w:rPr/>
        <w:t xml:space="preserve"> 联系电话： </w:t>
      </w:r>
      <w:r>
        <w:rPr/>
        <w:t>029-81541692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采购包1保证金金额：6,000.00元</w:t>
            </w:r>
          </w:p>
          <w:p>
            <w:pPr>
              <w:pStyle w:val="null3"/>
            </w:pPr>
            <w:r>
              <w:rPr/>
              <w:t>缴交渠道：电子保函,转账、支票、汇票等（需通过实体账户、户名及开户行信息）</w:t>
            </w:r>
          </w:p>
          <w:p>
            <w:pPr>
              <w:pStyle w:val="null3"/>
            </w:pPr>
            <w:r>
              <w:rPr/>
              <w:t>开户名称：陕西嘉信瑞诚招标有限公司</w:t>
            </w:r>
          </w:p>
          <w:p>
            <w:pPr>
              <w:pStyle w:val="null3"/>
            </w:pPr>
            <w:r>
              <w:rPr/>
              <w:t>开户银行：民生银行西安分行营业部</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说明：合同签订前缴纳，履约保证金金额为成交金额的5%（服务类），待验收合格后凭验收单和缴款收据，履约保证金予以无息退还。 转账账号：西北大学 611301015018001145006 交通银行太白路支行 转账金额到账后，可持银行回执到西北大学换取收据。 待合同执行完毕、设备验收合格后凭验收单和缴款收据，合同履约保证金予以退还。 如遇下列情况之一者，合同履约保证金不予退还，作为对采购人的赔偿： （1）合同签订后不能按合同时限要求提供服务的；（2）所提供的服务与合同不符或验收不合格的；（3）不能按合同履约的。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陕西嘉信瑞诚招标有限公司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陕西嘉信瑞诚招标有限公司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35</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联系人：张海</w:t>
      </w:r>
    </w:p>
    <w:p>
      <w:pPr>
        <w:pStyle w:val="null3"/>
      </w:pPr>
      <w:r>
        <w:rPr/>
        <w:t>联系电话：029-81541692</w:t>
      </w:r>
    </w:p>
    <w:p>
      <w:pPr>
        <w:pStyle w:val="null3"/>
      </w:pPr>
      <w:r>
        <w:rPr/>
        <w:t>地址：西安市南稍门十字东南角大话南门壹中心1806室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在我国以煤为主的能源结构下，开展煤炭清洁高效利用是必由之路。燃煤低碳利用是世界潮流，发展二氧化碳捕集、利用与封存技术（CCUS）是实现二氧化碳减排的重要技术途径。对于燃煤发电厂，耦合CCUS技术几乎是电厂清洁化发展、绿色低碳转型的唯一选择。近年来近年来我们一直服务于国能锦界能源公司（建设了国内第二大的燃煤电厂燃烧后碳捕集装置），协助锦界公司开展全流程的碳捕集利用与封存示范项目，并为其提供CCUS项目的可持续发展路线图及规划。 本项目基于所承担的国能锦界能源公司《能源金三角地区CO2源汇匹配及CCUS产业集群研究》课题，需要采购和调研锦界周边重点排放企业温室气体排放核算数据，来完成CCUS项目源汇匹配建模及分析，同时需要采购重点行业温室气体排放因子，帮助我们研究团队开展碳排放核算和核查工作，培养团队内核查人员的专业技能。此外，需要采购和开展充分的市场调研，来反馈各行业生产环节降碳措施及潜力评价，并提供CO2利用的市场现状。以上这些研究不仅需要从具备核查资格的碳排放核查机构购置数据，还需要委托第三方开展充分的市场调研。 基于此，设立本次服务采购项目，主要开展能源金三角地区CO2源汇基础数据采购与建模分析服务。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二氧化碳源汇基础数据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标的名称：二氧化碳源汇基础数据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165" w:firstLine="290"/>
              <w:jc w:val="both"/>
            </w:pPr>
            <w:r>
              <w:rPr>
                <w:rFonts w:ascii="宋体" w:hAnsi="宋体" w:cs="宋体" w:eastAsia="宋体"/>
                <w:sz w:val="21"/>
              </w:rPr>
              <w:t>提供</w:t>
            </w:r>
            <w:r>
              <w:rPr>
                <w:rFonts w:ascii="&quot;times new roman&quot;, serif" w:hAnsi="&quot;times new roman&quot;, serif" w:cs="&quot;times new roman&quot;, serif" w:eastAsia="&quot;times new roman&quot;, serif"/>
                <w:sz w:val="21"/>
              </w:rPr>
              <w:t>2017-2021</w:t>
            </w:r>
            <w:r>
              <w:rPr>
                <w:rFonts w:ascii="宋体" w:hAnsi="宋体" w:cs="宋体" w:eastAsia="宋体"/>
                <w:sz w:val="21"/>
              </w:rPr>
              <w:t>年晋陕蒙能源金三角地区的二氧化碳排放源数据库</w:t>
            </w:r>
            <w:r>
              <w:rPr>
                <w:rFonts w:ascii="&quot;times new roman&quot;, serif" w:hAnsi="&quot;times new roman&quot;, serif" w:cs="&quot;times new roman&quot;, serif" w:eastAsia="&quot;times new roman&quot;, serif"/>
                <w:sz w:val="21"/>
              </w:rPr>
              <w:t>1</w:t>
            </w:r>
            <w:r>
              <w:rPr>
                <w:rFonts w:ascii="宋体" w:hAnsi="宋体" w:cs="宋体" w:eastAsia="宋体"/>
                <w:sz w:val="21"/>
              </w:rPr>
              <w:t>套。所提供的二氧化碳排放源数据库至少包括企业坐标、县</w:t>
            </w:r>
            <w:r>
              <w:rPr>
                <w:rFonts w:ascii="&quot;times new roman&quot;, serif" w:hAnsi="&quot;times new roman&quot;, serif" w:cs="&quot;times new roman&quot;, serif" w:eastAsia="&quot;times new roman&quot;, serif"/>
                <w:sz w:val="21"/>
              </w:rPr>
              <w:t>/</w:t>
            </w:r>
            <w:r>
              <w:rPr>
                <w:rFonts w:ascii="宋体" w:hAnsi="宋体" w:cs="宋体" w:eastAsia="宋体"/>
                <w:sz w:val="21"/>
              </w:rPr>
              <w:t>区、行业代码、行业类别、年碳排放总量、装机容量（</w:t>
            </w:r>
            <w:r>
              <w:rPr>
                <w:rFonts w:ascii="&quot;times new roman&quot;, serif" w:hAnsi="&quot;times new roman&quot;, serif" w:cs="&quot;times new roman&quot;, serif" w:eastAsia="&quot;times new roman&quot;, serif"/>
                <w:sz w:val="21"/>
              </w:rPr>
              <w:t>MW</w:t>
            </w:r>
            <w:r>
              <w:rPr>
                <w:rFonts w:ascii="宋体" w:hAnsi="宋体" w:cs="宋体" w:eastAsia="宋体"/>
                <w:sz w:val="21"/>
              </w:rPr>
              <w:t>）、化石燃料燃烧排放量、工业生产过程排放量、电力</w:t>
            </w:r>
            <w:r>
              <w:rPr>
                <w:rFonts w:ascii="&quot;times new roman&quot;, serif" w:hAnsi="&quot;times new roman&quot;, serif" w:cs="&quot;times new roman&quot;, serif" w:eastAsia="&quot;times new roman&quot;, serif"/>
                <w:sz w:val="21"/>
              </w:rPr>
              <w:t>\</w:t>
            </w:r>
            <w:r>
              <w:rPr>
                <w:rFonts w:ascii="宋体" w:hAnsi="宋体" w:cs="宋体" w:eastAsia="宋体"/>
                <w:sz w:val="21"/>
              </w:rPr>
              <w:t>热力间接排放量等，以及区域内具体行业温室气体排放因子调整和相关数据。</w:t>
            </w:r>
          </w:p>
          <w:p>
            <w:pPr>
              <w:pStyle w:val="null3"/>
              <w:ind w:left="165" w:firstLine="290"/>
              <w:jc w:val="both"/>
            </w:pPr>
            <w:r>
              <w:rPr>
                <w:rFonts w:ascii="宋体" w:hAnsi="宋体" w:cs="宋体" w:eastAsia="宋体"/>
                <w:sz w:val="21"/>
              </w:rPr>
              <w:t>通过实地调研、调查问卷、官方数据等方式，获取能源金三角范围内陕西、内蒙古、山西等地至少</w:t>
            </w:r>
            <w:r>
              <w:rPr>
                <w:rFonts w:ascii="&quot;times new roman&quot;, serif" w:hAnsi="&quot;times new roman&quot;, serif" w:cs="&quot;times new roman&quot;, serif" w:eastAsia="&quot;times new roman&quot;, serif"/>
                <w:sz w:val="21"/>
              </w:rPr>
              <w:t>300</w:t>
            </w:r>
            <w:r>
              <w:rPr>
                <w:rFonts w:ascii="宋体" w:hAnsi="宋体" w:cs="宋体" w:eastAsia="宋体"/>
                <w:sz w:val="21"/>
              </w:rPr>
              <w:t>家重点排放企业的名称、行业类别、化石能源碳排放、电力</w:t>
            </w:r>
            <w:r>
              <w:rPr>
                <w:rFonts w:ascii="&quot;times new roman&quot;, serif" w:hAnsi="&quot;times new roman&quot;, serif" w:cs="&quot;times new roman&quot;, serif" w:eastAsia="&quot;times new roman&quot;, serif"/>
                <w:sz w:val="21"/>
              </w:rPr>
              <w:t>/</w:t>
            </w:r>
            <w:r>
              <w:rPr>
                <w:rFonts w:ascii="宋体" w:hAnsi="宋体" w:cs="宋体" w:eastAsia="宋体"/>
                <w:sz w:val="21"/>
              </w:rPr>
              <w:t>热力间接排放量等信息</w:t>
            </w:r>
            <w:r>
              <w:rPr>
                <w:rFonts w:ascii="宋体" w:hAnsi="宋体" w:cs="宋体" w:eastAsia="宋体"/>
                <w:sz w:val="21"/>
              </w:rPr>
              <w:t>。</w:t>
            </w:r>
          </w:p>
          <w:p>
            <w:pPr>
              <w:pStyle w:val="null3"/>
              <w:ind w:left="165" w:firstLine="290"/>
              <w:jc w:val="both"/>
            </w:pPr>
            <w:r>
              <w:rPr>
                <w:rFonts w:ascii="宋体" w:hAnsi="宋体" w:cs="宋体" w:eastAsia="宋体"/>
                <w:sz w:val="21"/>
              </w:rPr>
              <w:t>其中能源金三角包含了陕西省榆林市、延安市；山西全省范围太原市、长治市、吕梁市、运城市、晋城市、临汾市、晋中市、大同市、朔州市、沂州市和阳泉市</w:t>
            </w:r>
            <w:r>
              <w:rPr>
                <w:rFonts w:ascii="&quot;times new roman&quot;, serif" w:hAnsi="&quot;times new roman&quot;, serif" w:cs="&quot;times new roman&quot;, serif" w:eastAsia="&quot;times new roman&quot;, serif"/>
                <w:sz w:val="21"/>
              </w:rPr>
              <w:t>11</w:t>
            </w:r>
            <w:r>
              <w:rPr>
                <w:rFonts w:ascii="宋体" w:hAnsi="宋体" w:cs="宋体" w:eastAsia="宋体"/>
                <w:sz w:val="21"/>
              </w:rPr>
              <w:t>市；以及内蒙古自治区呼和浩特市、包头市、乌海市、乌兰察布、巴彦淖尔市、鄂尔多斯市和阿拉善盟</w:t>
            </w:r>
            <w:r>
              <w:rPr>
                <w:rFonts w:ascii="&quot;times new roman&quot;, serif" w:hAnsi="&quot;times new roman&quot;, serif" w:cs="&quot;times new roman&quot;, serif" w:eastAsia="&quot;times new roman&quot;, serif"/>
                <w:sz w:val="21"/>
              </w:rPr>
              <w:t>7</w:t>
            </w:r>
            <w:r>
              <w:rPr>
                <w:rFonts w:ascii="宋体" w:hAnsi="宋体" w:cs="宋体" w:eastAsia="宋体"/>
                <w:sz w:val="21"/>
              </w:rPr>
              <w:t>市。范围如下图。</w:t>
            </w:r>
          </w:p>
        </w:tc>
      </w:tr>
      <w:tr>
        <w:tc>
          <w:tcPr>
            <w:tcW w:type="dxa" w:w="2769"/>
          </w:tcPr>
          <w:p/>
        </w:tc>
        <w:tc>
          <w:tcPr>
            <w:tcW w:type="dxa" w:w="2769"/>
          </w:tcPr>
          <w:p>
            <w:pPr>
              <w:pStyle w:val="null3"/>
            </w:pPr>
            <w:r>
              <w:rPr/>
              <w:t>2</w:t>
            </w:r>
          </w:p>
        </w:tc>
        <w:tc>
          <w:tcPr>
            <w:tcW w:type="dxa" w:w="2769"/>
          </w:tcPr>
          <w:p>
            <w:pPr>
              <w:pStyle w:val="null3"/>
            </w:pPr>
            <w:r>
              <w:drawing>
                <wp:inline distT="0" distR="0" distB="0" distL="0">
                  <wp:extent cx="1621155" cy="146039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460390"/>
                          </a:xfrm>
                          <a:prstGeom prst="rect">
                            <a:avLst/>
                          </a:prstGeom>
                        </pic:spPr>
                      </pic:pic>
                    </a:graphicData>
                  </a:graphic>
                </wp:inline>
              </w:drawing>
            </w:r>
          </w:p>
        </w:tc>
      </w:tr>
      <w:tr>
        <w:tc>
          <w:tcPr>
            <w:tcW w:type="dxa" w:w="2769"/>
          </w:tcPr>
          <w:p/>
        </w:tc>
        <w:tc>
          <w:tcPr>
            <w:tcW w:type="dxa" w:w="2769"/>
          </w:tcPr>
          <w:p>
            <w:pPr>
              <w:pStyle w:val="null3"/>
            </w:pPr>
            <w:r>
              <w:rPr/>
              <w:t>3</w:t>
            </w:r>
          </w:p>
        </w:tc>
        <w:tc>
          <w:tcPr>
            <w:tcW w:type="dxa" w:w="2769"/>
          </w:tcPr>
          <w:p>
            <w:pPr>
              <w:pStyle w:val="null3"/>
              <w:ind w:left="165" w:firstLine="290"/>
              <w:jc w:val="both"/>
            </w:pPr>
            <w:r>
              <w:rPr>
                <w:rFonts w:ascii="宋体" w:hAnsi="宋体" w:cs="宋体" w:eastAsia="宋体"/>
                <w:sz w:val="21"/>
              </w:rPr>
              <w:t>碳排放数据的核算参照国家主管部门公布的相关核算方法，如下：</w:t>
            </w:r>
          </w:p>
          <w:p>
            <w:pPr>
              <w:pStyle w:val="null3"/>
              <w:ind w:left="165" w:firstLine="290"/>
              <w:jc w:val="both"/>
            </w:pPr>
            <w:r>
              <w:rPr>
                <w:rFonts w:ascii="宋体" w:hAnsi="宋体" w:cs="宋体" w:eastAsia="宋体"/>
                <w:sz w:val="21"/>
              </w:rPr>
              <w:t>《企业温室气体排放核算方法与报告指南</w:t>
            </w:r>
            <w:r>
              <w:rPr>
                <w:rFonts w:ascii="宋体" w:hAnsi="宋体" w:cs="宋体" w:eastAsia="宋体"/>
                <w:sz w:val="21"/>
              </w:rPr>
              <w:t>发电设施》</w:t>
            </w:r>
          </w:p>
          <w:p>
            <w:pPr>
              <w:pStyle w:val="null3"/>
              <w:ind w:left="165" w:firstLine="290"/>
              <w:jc w:val="both"/>
            </w:pPr>
            <w:r>
              <w:rPr>
                <w:rFonts w:ascii="宋体" w:hAnsi="宋体" w:cs="宋体" w:eastAsia="宋体"/>
                <w:sz w:val="21"/>
              </w:rPr>
              <w:t>《中国发电企业温室气体排放核算方法与报告指南（试行）》</w:t>
            </w:r>
          </w:p>
          <w:p>
            <w:pPr>
              <w:pStyle w:val="null3"/>
              <w:ind w:left="165" w:firstLine="290"/>
              <w:jc w:val="both"/>
            </w:pPr>
            <w:r>
              <w:rPr>
                <w:rFonts w:ascii="宋体" w:hAnsi="宋体" w:cs="宋体" w:eastAsia="宋体"/>
                <w:sz w:val="21"/>
              </w:rPr>
              <w:t>《中国化工生产企业温室气体排放核算方法与报告指南（试行）》</w:t>
            </w:r>
          </w:p>
          <w:p>
            <w:pPr>
              <w:pStyle w:val="null3"/>
              <w:ind w:left="165" w:firstLine="290"/>
              <w:jc w:val="both"/>
            </w:pPr>
            <w:r>
              <w:rPr>
                <w:rFonts w:ascii="宋体" w:hAnsi="宋体" w:cs="宋体" w:eastAsia="宋体"/>
                <w:sz w:val="21"/>
              </w:rPr>
              <w:t>《中国钢铁生产企业温室气体排放核算方法与报告指南（试行）》</w:t>
            </w:r>
          </w:p>
          <w:p>
            <w:pPr>
              <w:pStyle w:val="null3"/>
              <w:ind w:left="165" w:firstLine="290"/>
              <w:jc w:val="both"/>
            </w:pPr>
            <w:r>
              <w:rPr>
                <w:rFonts w:ascii="宋体" w:hAnsi="宋体" w:cs="宋体" w:eastAsia="宋体"/>
                <w:sz w:val="21"/>
              </w:rPr>
              <w:t>《中国镁冶炼企业温室气体排放核算方法与报告指南（试行）》</w:t>
            </w:r>
          </w:p>
          <w:p>
            <w:pPr>
              <w:pStyle w:val="null3"/>
              <w:ind w:left="165" w:firstLine="290"/>
              <w:jc w:val="both"/>
            </w:pPr>
            <w:r>
              <w:rPr>
                <w:rFonts w:ascii="宋体" w:hAnsi="宋体" w:cs="宋体" w:eastAsia="宋体"/>
                <w:sz w:val="21"/>
              </w:rPr>
              <w:t>《中国水泥生产企业温室气体排放核算方法与报告指南（试行）》</w:t>
            </w:r>
          </w:p>
          <w:p>
            <w:pPr>
              <w:pStyle w:val="null3"/>
              <w:ind w:left="165" w:firstLine="290"/>
              <w:jc w:val="both"/>
            </w:pPr>
            <w:r>
              <w:rPr>
                <w:rFonts w:ascii="宋体" w:hAnsi="宋体" w:cs="宋体" w:eastAsia="宋体"/>
                <w:sz w:val="21"/>
              </w:rPr>
              <w:t>《中国石油和天然气生产企业温室气体排放核算方法与报告指南（试行）》</w:t>
            </w:r>
          </w:p>
          <w:p>
            <w:pPr>
              <w:pStyle w:val="null3"/>
              <w:ind w:left="165" w:firstLine="290"/>
              <w:jc w:val="both"/>
            </w:pPr>
            <w:r>
              <w:rPr>
                <w:rFonts w:ascii="宋体" w:hAnsi="宋体" w:cs="宋体" w:eastAsia="宋体"/>
                <w:sz w:val="21"/>
              </w:rPr>
              <w:t>《中国石油化工企业温室气体排放核算方法与报告指南（试行）》</w:t>
            </w:r>
          </w:p>
          <w:p>
            <w:pPr>
              <w:pStyle w:val="null3"/>
              <w:ind w:left="165" w:firstLine="290"/>
              <w:jc w:val="both"/>
            </w:pPr>
            <w:r>
              <w:rPr>
                <w:rFonts w:ascii="宋体" w:hAnsi="宋体" w:cs="宋体" w:eastAsia="宋体"/>
                <w:sz w:val="21"/>
              </w:rPr>
              <w:t>《中国独立焦化企业温室气体排放核算方法与报告指南（试行）》等</w:t>
            </w:r>
          </w:p>
        </w:tc>
      </w:tr>
      <w:tr>
        <w:tc>
          <w:tcPr>
            <w:tcW w:type="dxa" w:w="2769"/>
          </w:tcPr>
          <w:p/>
        </w:tc>
        <w:tc>
          <w:tcPr>
            <w:tcW w:type="dxa" w:w="2769"/>
          </w:tcPr>
          <w:p>
            <w:pPr>
              <w:pStyle w:val="null3"/>
            </w:pPr>
            <w:r>
              <w:rPr/>
              <w:t>4</w:t>
            </w:r>
          </w:p>
        </w:tc>
        <w:tc>
          <w:tcPr>
            <w:tcW w:type="dxa" w:w="2769"/>
          </w:tcPr>
          <w:p>
            <w:pPr>
              <w:pStyle w:val="null3"/>
              <w:ind w:left="585"/>
              <w:jc w:val="both"/>
            </w:pPr>
            <w:r>
              <w:rPr>
                <w:rFonts w:ascii="宋体" w:hAnsi="宋体" w:cs="宋体" w:eastAsia="宋体"/>
                <w:sz w:val="21"/>
              </w:rPr>
              <w:t>调研至少</w:t>
            </w:r>
            <w:r>
              <w:rPr>
                <w:rFonts w:ascii="&quot;times new roman&quot;, serif" w:hAnsi="&quot;times new roman&quot;, serif" w:cs="&quot;times new roman&quot;, serif" w:eastAsia="&quot;times new roman&quot;, serif"/>
                <w:sz w:val="21"/>
              </w:rPr>
              <w:t>50</w:t>
            </w:r>
            <w:r>
              <w:rPr>
                <w:rFonts w:ascii="宋体" w:hAnsi="宋体" w:cs="宋体" w:eastAsia="宋体"/>
                <w:sz w:val="21"/>
              </w:rPr>
              <w:t>家重点排放企业的</w:t>
            </w:r>
            <w:r>
              <w:rPr>
                <w:rFonts w:ascii="&quot;times new roman&quot;, serif" w:hAnsi="&quot;times new roman&quot;, serif" w:cs="&quot;times new roman&quot;, serif" w:eastAsia="&quot;times new roman&quot;, serif"/>
                <w:sz w:val="21"/>
              </w:rPr>
              <w:t>CCUS</w:t>
            </w:r>
            <w:r>
              <w:rPr>
                <w:rFonts w:ascii="宋体" w:hAnsi="宋体" w:cs="宋体" w:eastAsia="宋体"/>
                <w:sz w:val="21"/>
              </w:rPr>
              <w:t>建设意愿，并分析影响因素。</w:t>
            </w:r>
          </w:p>
          <w:p>
            <w:pPr>
              <w:pStyle w:val="null3"/>
              <w:ind w:left="165" w:firstLine="290"/>
              <w:jc w:val="both"/>
            </w:pPr>
            <w:r>
              <w:rPr>
                <w:rFonts w:ascii="宋体" w:hAnsi="宋体" w:cs="宋体" w:eastAsia="宋体"/>
                <w:sz w:val="21"/>
              </w:rPr>
              <w:t>通过选取采购方指定范围内重点区域的至少</w:t>
            </w:r>
            <w:r>
              <w:rPr>
                <w:rFonts w:ascii="&quot;times new roman&quot;, serif" w:hAnsi="&quot;times new roman&quot;, serif" w:cs="&quot;times new roman&quot;, serif" w:eastAsia="&quot;times new roman&quot;, serif"/>
                <w:sz w:val="21"/>
              </w:rPr>
              <w:t>50</w:t>
            </w:r>
            <w:r>
              <w:rPr>
                <w:rFonts w:ascii="宋体" w:hAnsi="宋体" w:cs="宋体" w:eastAsia="宋体"/>
                <w:sz w:val="21"/>
              </w:rPr>
              <w:t>家企业，以煤化工、煤电等碳排放量较大的企业为主，进行发放</w:t>
            </w:r>
            <w:r>
              <w:rPr>
                <w:rFonts w:ascii="&quot;times new roman&quot;, serif" w:hAnsi="&quot;times new roman&quot;, serif" w:cs="&quot;times new roman&quot;, serif" w:eastAsia="&quot;times new roman&quot;, serif"/>
                <w:sz w:val="21"/>
              </w:rPr>
              <w:t>CCUS</w:t>
            </w:r>
            <w:r>
              <w:rPr>
                <w:rFonts w:ascii="宋体" w:hAnsi="宋体" w:cs="宋体" w:eastAsia="宋体"/>
                <w:sz w:val="21"/>
              </w:rPr>
              <w:t>调研意愿问卷，并获取反馈，选用有序多分类</w:t>
            </w:r>
            <w:r>
              <w:rPr>
                <w:rFonts w:ascii="&quot;times new roman&quot;, serif" w:hAnsi="&quot;times new roman&quot;, serif" w:cs="&quot;times new roman&quot;, serif" w:eastAsia="&quot;times new roman&quot;, serif"/>
                <w:sz w:val="21"/>
              </w:rPr>
              <w:t>Logistic</w:t>
            </w:r>
            <w:r>
              <w:rPr>
                <w:rFonts w:ascii="宋体" w:hAnsi="宋体" w:cs="宋体" w:eastAsia="宋体"/>
                <w:sz w:val="21"/>
              </w:rPr>
              <w:t>回归模型进行因素分析。并得出研究结果和政策建议。</w:t>
            </w:r>
          </w:p>
          <w:p>
            <w:pPr>
              <w:pStyle w:val="null3"/>
            </w:pPr>
            <w:r>
              <w:rPr>
                <w:rFonts w:ascii="宋体" w:hAnsi="宋体" w:cs="宋体" w:eastAsia="宋体"/>
                <w:sz w:val="21"/>
              </w:rPr>
              <w:t>根据</w:t>
            </w:r>
            <w:r>
              <w:rPr>
                <w:rFonts w:ascii="&quot;times new roman&quot;, serif" w:hAnsi="&quot;times new roman&quot;, serif" w:cs="&quot;times new roman&quot;, serif" w:eastAsia="&quot;times new roman&quot;, serif"/>
                <w:sz w:val="21"/>
              </w:rPr>
              <w:t>CCUS</w:t>
            </w:r>
            <w:r>
              <w:rPr>
                <w:rFonts w:ascii="宋体" w:hAnsi="宋体" w:cs="宋体" w:eastAsia="宋体"/>
                <w:sz w:val="21"/>
              </w:rPr>
              <w:t>捕集特点，主要针对燃料燃烧排放，工业生产过程排放的捕集，集中在电力、建材、钢铁、化工、石化等行业，航空业不具备捕集条件不予考虑，电解铝行业主要是间接排放不予考虑，重点区域内暂不涉及造纸、钢铁行业。因此纳入八大行业的调研重点在电力、水泥、化工、石化行业，化工行业主要包括煤化工（煤制甲醇等）和电石。八大行业之外如镁冶炼、炼焦、石油天然气开采以及煤制油等行业排放量较大，存在碳捕集潜力，额外增加此四个典型行业调研。在上述调研行业中选择至少</w:t>
            </w:r>
            <w:r>
              <w:rPr>
                <w:rFonts w:ascii="&quot;times new roman&quot;, serif" w:hAnsi="&quot;times new roman&quot;, serif" w:cs="&quot;times new roman&quot;, serif" w:eastAsia="&quot;times new roman&quot;, serif"/>
                <w:sz w:val="21"/>
              </w:rPr>
              <w:t>50</w:t>
            </w:r>
            <w:r>
              <w:rPr>
                <w:rFonts w:ascii="宋体" w:hAnsi="宋体" w:cs="宋体" w:eastAsia="宋体"/>
                <w:sz w:val="21"/>
              </w:rPr>
              <w:t>家企业进行不记名调研。</w:t>
            </w:r>
          </w:p>
        </w:tc>
      </w:tr>
      <w:tr>
        <w:tc>
          <w:tcPr>
            <w:tcW w:type="dxa" w:w="2769"/>
          </w:tcPr>
          <w:p/>
        </w:tc>
        <w:tc>
          <w:tcPr>
            <w:tcW w:type="dxa" w:w="2769"/>
          </w:tcPr>
          <w:p>
            <w:pPr>
              <w:pStyle w:val="null3"/>
            </w:pPr>
            <w:r>
              <w:rPr/>
              <w:t>5</w:t>
            </w:r>
          </w:p>
        </w:tc>
        <w:tc>
          <w:tcPr>
            <w:tcW w:type="dxa" w:w="2769"/>
          </w:tcPr>
          <w:p>
            <w:pPr>
              <w:pStyle w:val="null3"/>
              <w:ind w:left="30" w:firstLine="281"/>
              <w:jc w:val="both"/>
            </w:pPr>
            <w:r>
              <w:rPr>
                <w:rFonts w:ascii="宋体" w:hAnsi="宋体" w:cs="宋体" w:eastAsia="宋体"/>
                <w:sz w:val="21"/>
              </w:rPr>
              <w:t>提供至少</w:t>
            </w:r>
            <w:r>
              <w:rPr>
                <w:rFonts w:ascii="&quot;times new roman&quot;, serif" w:hAnsi="&quot;times new roman&quot;, serif" w:cs="&quot;times new roman&quot;, serif" w:eastAsia="&quot;times new roman&quot;, serif"/>
                <w:sz w:val="21"/>
              </w:rPr>
              <w:t>10</w:t>
            </w:r>
            <w:r>
              <w:rPr>
                <w:rFonts w:ascii="宋体" w:hAnsi="宋体" w:cs="宋体" w:eastAsia="宋体"/>
                <w:sz w:val="21"/>
              </w:rPr>
              <w:t>种二氧化碳利用和封存方式的现存利用现状，给出二氧化碳利用市场容量数据，分析</w:t>
            </w:r>
            <w:r>
              <w:rPr>
                <w:rFonts w:ascii="&quot;times new roman&quot;, serif" w:hAnsi="&quot;times new roman&quot;, serif" w:cs="&quot;times new roman&quot;, serif" w:eastAsia="&quot;times new roman&quot;, serif"/>
                <w:sz w:val="21"/>
              </w:rPr>
              <w:t>CCUS</w:t>
            </w:r>
            <w:r>
              <w:rPr>
                <w:rFonts w:ascii="宋体" w:hAnsi="宋体" w:cs="宋体" w:eastAsia="宋体"/>
                <w:sz w:val="21"/>
              </w:rPr>
              <w:t>技术未来在化工利用、食品利用、驱油利用、农业利用、压裂利用、矿化利用等方面的利用潜力。</w:t>
            </w:r>
          </w:p>
          <w:p>
            <w:pPr>
              <w:pStyle w:val="null3"/>
              <w:ind w:left="165" w:firstLine="290"/>
              <w:jc w:val="both"/>
            </w:pPr>
            <w:r>
              <w:rPr>
                <w:rFonts w:ascii="&quot;times new roman&quot;, serif" w:hAnsi="&quot;times new roman&quot;, serif" w:cs="&quot;times new roman&quot;, serif" w:eastAsia="&quot;times new roman&quot;, serif"/>
                <w:sz w:val="21"/>
              </w:rPr>
              <w:t>CCUS</w:t>
            </w:r>
            <w:r>
              <w:rPr>
                <w:rFonts w:ascii="宋体" w:hAnsi="宋体" w:cs="宋体" w:eastAsia="宋体"/>
                <w:sz w:val="21"/>
              </w:rPr>
              <w:t>利用和封存的途径包括化工利用、生物利用、矿化利用、气体保护焊、食品领域、农业领域、驱油利用、压裂利用、污水处理、干冰清洗机、封存处理等；分析至少</w:t>
            </w:r>
            <w:r>
              <w:rPr>
                <w:rFonts w:ascii="&quot;times new roman&quot;, serif" w:hAnsi="&quot;times new roman&quot;, serif" w:cs="&quot;times new roman&quot;, serif" w:eastAsia="&quot;times new roman&quot;, serif"/>
                <w:sz w:val="21"/>
              </w:rPr>
              <w:t>10</w:t>
            </w:r>
            <w:r>
              <w:rPr>
                <w:rFonts w:ascii="宋体" w:hAnsi="宋体" w:cs="宋体" w:eastAsia="宋体"/>
                <w:sz w:val="21"/>
              </w:rPr>
              <w:t>种方式的技术要点，并总体分析能源金三角地区二氧化碳利用、封存现状，二氧化碳利用、封存潜力等。</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1"/>
              </w:rPr>
              <w:t xml:space="preserve">  以晋陕蒙能源金三角的核心区域榆林</w:t>
            </w:r>
            <w:r>
              <w:rPr>
                <w:rFonts w:ascii="&quot;times new roman&quot;, serif" w:hAnsi="&quot;times new roman&quot;, serif" w:cs="&quot;times new roman&quot;, serif" w:eastAsia="&quot;times new roman&quot;, serif"/>
                <w:sz w:val="21"/>
              </w:rPr>
              <w:t>-</w:t>
            </w:r>
            <w:r>
              <w:rPr>
                <w:rFonts w:ascii="宋体" w:hAnsi="宋体" w:cs="宋体" w:eastAsia="宋体"/>
                <w:sz w:val="21"/>
              </w:rPr>
              <w:t>锦界一带为主，开展二氧化碳排放源与二氧化碳利用及封存碳汇的源汇匹配建模分析，提供一份《榆林</w:t>
            </w:r>
            <w:r>
              <w:rPr>
                <w:rFonts w:ascii="&quot;times new roman&quot;, serif" w:hAnsi="&quot;times new roman&quot;, serif" w:cs="&quot;times new roman&quot;, serif" w:eastAsia="&quot;times new roman&quot;, serif"/>
                <w:sz w:val="21"/>
              </w:rPr>
              <w:t>-</w:t>
            </w:r>
            <w:r>
              <w:rPr>
                <w:rFonts w:ascii="宋体" w:hAnsi="宋体" w:cs="宋体" w:eastAsia="宋体"/>
                <w:sz w:val="21"/>
              </w:rPr>
              <w:t>锦界地区</w:t>
            </w:r>
            <w:r>
              <w:rPr>
                <w:rFonts w:ascii="&quot;times new roman&quot;, serif" w:hAnsi="&quot;times new roman&quot;, serif" w:cs="&quot;times new roman&quot;, serif" w:eastAsia="&quot;times new roman&quot;, serif"/>
                <w:sz w:val="21"/>
              </w:rPr>
              <w:t>CCUS</w:t>
            </w:r>
            <w:r>
              <w:rPr>
                <w:rFonts w:ascii="宋体" w:hAnsi="宋体" w:cs="宋体" w:eastAsia="宋体"/>
                <w:sz w:val="21"/>
              </w:rPr>
              <w:t>源汇基础数据调研与建模分析》报告，提交电子版、纸质版报告及数据库源数据、相关图件等成果。</w:t>
            </w:r>
          </w:p>
        </w:tc>
      </w:tr>
    </w:tbl>
    <w:p>
      <w:pPr>
        <w:pStyle w:val="null3"/>
        <w:outlineLvl w:val="2"/>
      </w:pPr>
      <w:r>
        <w:rPr>
          <w:sz w:val="28"/>
          <w:b/>
        </w:rPr>
        <w:t>3.2.3人员配置要求</w:t>
      </w:r>
    </w:p>
    <w:p>
      <w:pPr>
        <w:pStyle w:val="null3"/>
      </w:pPr>
      <w:r>
        <w:rPr/>
        <w:t>采购包1：</w:t>
      </w:r>
    </w:p>
    <w:p>
      <w:pPr>
        <w:pStyle w:val="null3"/>
      </w:pPr>
      <w:r>
        <w:rPr/>
        <w:t>满足本项目服务要求。</w:t>
      </w:r>
    </w:p>
    <w:p>
      <w:pPr>
        <w:pStyle w:val="null3"/>
        <w:outlineLvl w:val="2"/>
      </w:pPr>
      <w:r>
        <w:rPr>
          <w:sz w:val="28"/>
          <w:b/>
        </w:rPr>
        <w:t>3.2.4设施设备要求</w:t>
      </w:r>
    </w:p>
    <w:p>
      <w:pPr>
        <w:pStyle w:val="null3"/>
      </w:pPr>
      <w:r>
        <w:rPr/>
        <w:t>采购包1：</w:t>
      </w:r>
    </w:p>
    <w:p>
      <w:pPr>
        <w:pStyle w:val="null3"/>
      </w:pPr>
      <w:r>
        <w:rPr/>
        <w:t>满足本项目服务要求。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合同签订之日起60日。</w:t>
      </w:r>
    </w:p>
    <w:p>
      <w:pPr>
        <w:pStyle w:val="null3"/>
        <w:outlineLvl w:val="3"/>
      </w:pPr>
      <w:r>
        <w:rPr>
          <w:sz w:val="24"/>
          <w:b/>
        </w:rPr>
        <w:t>3.3.2服务地点</w:t>
      </w:r>
    </w:p>
    <w:p>
      <w:pPr>
        <w:pStyle w:val="null3"/>
      </w:pPr>
      <w:r>
        <w:rPr/>
        <w:t>采购包1：</w:t>
      </w:r>
    </w:p>
    <w:p>
      <w:pPr>
        <w:pStyle w:val="null3"/>
      </w:pPr>
      <w:r>
        <w:rPr/>
        <w:t>西北大学地质学系指定地点</w:t>
      </w:r>
    </w:p>
    <w:p>
      <w:pPr>
        <w:pStyle w:val="null3"/>
        <w:outlineLvl w:val="3"/>
      </w:pPr>
      <w:r>
        <w:rPr>
          <w:sz w:val="24"/>
          <w:b/>
        </w:rPr>
        <w:t>3.3.3考核（验收）标准和方法</w:t>
      </w:r>
    </w:p>
    <w:p>
      <w:pPr>
        <w:pStyle w:val="null3"/>
      </w:pPr>
      <w:r>
        <w:rPr/>
        <w:t>采购包1：</w:t>
      </w:r>
    </w:p>
    <w:p>
      <w:pPr>
        <w:pStyle w:val="null3"/>
      </w:pPr>
      <w:r>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 （3）建立2017-2021年晋陕蒙能源金三角地区的二氧化碳排放源数据库1套；剖析至少10种二氧化碳利用和封存方式，分析CCUS技术未来在化工利用、食品利用、驱油利用、农业利用、压裂利用、矿化利用等方面的利用潜力；调研至少50家重点排放企业的CCUS建设意愿并分析影响因素。</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合同生效后，待服务期满并经甲方验收合格后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3.4其他要求</w:t>
      </w:r>
    </w:p>
    <w:p>
      <w:pPr>
        <w:pStyle w:val="null3"/>
      </w:pPr>
      <w:r>
        <w:rPr/>
        <w:t>为顺利推进政府采购电子化交易平台应用工作，供应商需要在线提交所有通过电子化交易平台实施的政府采购项目的响应文件，同时，线下递交密封完好的纸质版响应文件（一正一副），密封封套上标注项目名称和供应商名称。 纸质版响应文件递交截止时间：同响应文件提交时间 纸质版响应文件递交地址：西安市南稍门十字东南角大话南门壹中心18层1806室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供应商企业关联关系声明函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企业法人应提供合法有效的标识有统一社会信用代码的营业执照；事业法人应提供事业单位法人证书；其他组织应提供合法登记证明文件；自然人应提供身份证。进行电子签章。</w:t>
            </w:r>
          </w:p>
        </w:tc>
        <w:tc>
          <w:tcPr>
            <w:tcW w:type="dxa" w:w="1661"/>
          </w:tcPr>
          <w:p>
            <w:pPr>
              <w:pStyle w:val="null3"/>
            </w:pPr>
            <w:r>
              <w:rPr/>
              <w:t>供应商资格证明材料</w:t>
            </w:r>
          </w:p>
        </w:tc>
      </w:tr>
      <w:tr>
        <w:tc>
          <w:tcPr>
            <w:tcW w:type="dxa" w:w="831"/>
          </w:tcPr>
          <w:p>
            <w:pPr>
              <w:pStyle w:val="null3"/>
            </w:pPr>
            <w:r>
              <w:rPr/>
              <w:t>2</w:t>
            </w:r>
          </w:p>
        </w:tc>
        <w:tc>
          <w:tcPr>
            <w:tcW w:type="dxa" w:w="2492"/>
          </w:tcPr>
          <w:p>
            <w:pPr>
              <w:pStyle w:val="null3"/>
            </w:pPr>
            <w:r>
              <w:rPr/>
              <w:t>供应商应授权合法的人员参加采购全过程</w:t>
            </w:r>
          </w:p>
        </w:tc>
        <w:tc>
          <w:tcPr>
            <w:tcW w:type="dxa" w:w="3322"/>
          </w:tcPr>
          <w:p>
            <w:pPr>
              <w:pStyle w:val="null3"/>
            </w:pPr>
            <w:r>
              <w:rPr/>
              <w:t>法定代表人/负责人直接参加的，须递交《法定代表人/负责人身份证明》和身份证；法定代表人/负责人授权代表参加的，须递交《法定代表人/负责人授权书》和被授权人身份证。进行电子签章。</w:t>
            </w:r>
          </w:p>
        </w:tc>
        <w:tc>
          <w:tcPr>
            <w:tcW w:type="dxa" w:w="1661"/>
          </w:tcPr>
          <w:p>
            <w:pPr>
              <w:pStyle w:val="null3"/>
            </w:pPr>
            <w:r>
              <w:rPr/>
              <w:t>供应商资格证明材料</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法人提供会计师事务所出具的完整的2022年度或2023年度审计报告（成立时间至提交投标文件截止时间不足一年的可提供成立后任意时段的资产负债表)，或开标前6个月内（2023年11月1日后）其基本账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供应商资格证明材料</w:t>
            </w:r>
          </w:p>
        </w:tc>
      </w:tr>
      <w:tr>
        <w:tc>
          <w:tcPr>
            <w:tcW w:type="dxa" w:w="831"/>
          </w:tcPr>
          <w:p>
            <w:pPr>
              <w:pStyle w:val="null3"/>
            </w:pPr>
            <w:r>
              <w:rPr/>
              <w:t>4</w:t>
            </w:r>
          </w:p>
        </w:tc>
        <w:tc>
          <w:tcPr>
            <w:tcW w:type="dxa" w:w="2492"/>
          </w:tcPr>
          <w:p>
            <w:pPr>
              <w:pStyle w:val="null3"/>
            </w:pPr>
            <w:r>
              <w:rPr/>
              <w:t>纳税证明</w:t>
            </w:r>
          </w:p>
        </w:tc>
        <w:tc>
          <w:tcPr>
            <w:tcW w:type="dxa" w:w="3322"/>
          </w:tcPr>
          <w:p>
            <w:pPr>
              <w:pStyle w:val="null3"/>
            </w:pPr>
            <w:r>
              <w:rPr/>
              <w:t>法人提供自2023年11月1日以来至少一个月的纳税证明或完税证明(增值税、企业所得税至少一种)，纳税证明或完税证明上应有代收机构或税务机关的公章或业务专用章；其他组织和自然人提供自2023年11月1日以来至少一个月缴纳税收的凭据；依法免税的投标人应提供相关文件证明。并进行电子签章。</w:t>
            </w:r>
          </w:p>
        </w:tc>
        <w:tc>
          <w:tcPr>
            <w:tcW w:type="dxa" w:w="1661"/>
          </w:tcPr>
          <w:p>
            <w:pPr>
              <w:pStyle w:val="null3"/>
            </w:pPr>
            <w:r>
              <w:rPr/>
              <w:t>供应商资格证明材料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自2023年11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t>供应商资格证明材料</w:t>
            </w:r>
          </w:p>
        </w:tc>
      </w:tr>
      <w:tr>
        <w:tc>
          <w:tcPr>
            <w:tcW w:type="dxa" w:w="831"/>
          </w:tcPr>
          <w:p>
            <w:pPr>
              <w:pStyle w:val="null3"/>
            </w:pPr>
            <w:r>
              <w:rPr/>
              <w:t>6</w:t>
            </w:r>
          </w:p>
        </w:tc>
        <w:tc>
          <w:tcPr>
            <w:tcW w:type="dxa" w:w="2492"/>
          </w:tcPr>
          <w:p>
            <w:pPr>
              <w:pStyle w:val="null3"/>
            </w:pPr>
            <w:r>
              <w:rPr/>
              <w:t>参加本次政府采购活动前三年内，在经营活动中没有重大违法记录</w:t>
            </w:r>
          </w:p>
        </w:tc>
        <w:tc>
          <w:tcPr>
            <w:tcW w:type="dxa" w:w="3322"/>
          </w:tcPr>
          <w:p>
            <w:pPr>
              <w:pStyle w:val="null3"/>
            </w:pPr>
            <w:r>
              <w:rPr/>
              <w:t>投标人需在项目电子化交易系统中按要求填写《无重大违法记录声明》完成承诺并进行电子签章。</w:t>
            </w:r>
          </w:p>
        </w:tc>
        <w:tc>
          <w:tcPr>
            <w:tcW w:type="dxa" w:w="1661"/>
          </w:tcPr>
          <w:p>
            <w:pPr>
              <w:pStyle w:val="null3"/>
            </w:pPr>
            <w:r>
              <w:rPr/>
              <w:t>供应商资格证明材料</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投标人需在项目电子化交易系统中按要求填写《具有履行合同所必需的设备和专业技术能力的承诺书》完成承诺并进行电子签章。</w:t>
            </w:r>
          </w:p>
        </w:tc>
        <w:tc>
          <w:tcPr>
            <w:tcW w:type="dxa" w:w="1661"/>
          </w:tcPr>
          <w:p>
            <w:pPr>
              <w:pStyle w:val="null3"/>
            </w:pPr>
            <w:r>
              <w:rPr/>
              <w:t>供应商资格证明材料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签章符合采购文件要求</w:t>
            </w:r>
          </w:p>
        </w:tc>
        <w:tc>
          <w:tcPr>
            <w:tcW w:type="dxa" w:w="3322"/>
          </w:tcPr>
          <w:p>
            <w:pPr>
              <w:pStyle w:val="null3"/>
            </w:pPr>
            <w:r>
              <w:rPr/>
              <w:t>供应商应当加盖供应商（法定名称）电子印章</w:t>
            </w:r>
          </w:p>
        </w:tc>
        <w:tc>
          <w:tcPr>
            <w:tcW w:type="dxa" w:w="1661"/>
          </w:tcPr>
          <w:p>
            <w:pPr>
              <w:pStyle w:val="null3"/>
            </w:pPr>
            <w:r>
              <w:rPr/>
              <w:t>响应文件封面 服务响应偏离表 商务响应偏离表 其他材料 中小企业声明函 残疾人福利性单位声明函 供应商企业关联关系声明函 供应商基本信息 标的清单 响应函 监狱企业的证明文件</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第一次磋商报价不得超过采购预算或最高限价。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商务要求响应</w:t>
            </w:r>
          </w:p>
        </w:tc>
        <w:tc>
          <w:tcPr>
            <w:tcW w:type="dxa" w:w="3322"/>
          </w:tcPr>
          <w:p>
            <w:pPr>
              <w:pStyle w:val="null3"/>
            </w:pPr>
            <w:r>
              <w:rPr/>
              <w:t>投标人必须满足招标文件的商务要求。</w:t>
            </w:r>
          </w:p>
        </w:tc>
        <w:tc>
          <w:tcPr>
            <w:tcW w:type="dxa" w:w="1661"/>
          </w:tcPr>
          <w:p>
            <w:pPr>
              <w:pStyle w:val="null3"/>
            </w:pPr>
            <w:r>
              <w:rPr/>
              <w:t>商务响应偏离表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技术参数完全符合、响应磋商文件要求，没有负偏离计10分；每负偏离一项扣 1 分，扣完为止。</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服务响应偏离表</w:t>
            </w:r>
          </w:p>
        </w:tc>
      </w:tr>
      <w:tr>
        <w:tc>
          <w:tcPr>
            <w:tcW w:type="dxa" w:w="831"/>
            <w:vMerge/>
          </w:tcPr>
          <w:p/>
        </w:tc>
        <w:tc>
          <w:tcPr>
            <w:tcW w:type="dxa" w:w="1661"/>
          </w:tcPr>
          <w:p>
            <w:pPr>
              <w:pStyle w:val="null3"/>
            </w:pPr>
            <w:r>
              <w:rPr/>
              <w:t>实施方案</w:t>
            </w:r>
          </w:p>
        </w:tc>
        <w:tc>
          <w:tcPr>
            <w:tcW w:type="dxa" w:w="2492"/>
          </w:tcPr>
          <w:p>
            <w:pPr>
              <w:pStyle w:val="null3"/>
            </w:pPr>
            <w:r>
              <w:rPr/>
              <w:t>获取能源金三角范围内二氧化碳排放源数据库1套，根据供应商提供的获取数据方案进行评审： 方案内容完整详细，科学合理，表述清晰，明确指出了数据的主要来源，有严格的校验和审核制度，提供了数据准确性的保障措施和校验方法得8分； 方案内容基本完整，较为合理，指出了数据的主要来源，有校验和审核制度，提供了数据准确性的保障措施或校验方法得7分； 方案内容常规、通用，未指出数据的主要来源，校验和审核制度不完善，数据准确性的保障措施或校验方法不完整得5分； 方案内容空泛，数据的主要来源模糊，缺乏校验和审核制度，数据准确性的保障措施或校验方法不完整或可执行性弱得3分； 方案有明显的缺陷，难以保障项目实施得1分； 未提供相关内容得0分。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实施方案</w:t>
            </w:r>
          </w:p>
        </w:tc>
        <w:tc>
          <w:tcPr>
            <w:tcW w:type="dxa" w:w="2492"/>
          </w:tcPr>
          <w:p>
            <w:pPr>
              <w:pStyle w:val="null3"/>
            </w:pPr>
            <w:r>
              <w:rPr/>
              <w:t>调研至少50家重点排放企业的CCUS建设意愿，并分析影响因素。根据供应商提供的CCUS建设意愿调研方法及分析方案进行评审： 方案内容完整详细，科学合理，表述清晰，有高效准确的调研方法及数据分析处理方案得8分； 方案内容基本完整，较为合理，提供了调研方法及数据分析处理方案，细节有待完善得7分； 方案内容常规、通用，调研方法及数据分析处理方案缺乏针对性得5分； 方案内容空泛，调研方法及数据分析处理方案不完整或可执行性弱得3分； 方案有明显的缺陷，难以保障项目实施得1分； 未提供相关内容得0分。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实施方案</w:t>
            </w:r>
          </w:p>
        </w:tc>
        <w:tc>
          <w:tcPr>
            <w:tcW w:type="dxa" w:w="2492"/>
          </w:tcPr>
          <w:p>
            <w:pPr>
              <w:pStyle w:val="null3"/>
            </w:pPr>
            <w:r>
              <w:rPr/>
              <w:t>总体分析能源金三角地区二氧化碳利用、封存现状，二氧化碳利用、封存潜力，根据供应商提供的分析方案进行评审： 方案内容完整详细，科学合理，表述清晰，相关分析要点的具体维度与方法可行性、针对性强得8分； 方案内容基本完整，较为合理，相关分析要点的具体维度与方法有一定的可行性和针对性得7分； 方案内容常规、通用，相关分析要点的具体维度与方法不完善或可执行性弱得5分； 方案内容空泛，未提供相关分析要点的具体维度与方法得3分； 方案有明显的缺陷，难以保障项目实施得1分； 未提供相关内容得0分。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实施方案</w:t>
            </w:r>
          </w:p>
        </w:tc>
        <w:tc>
          <w:tcPr>
            <w:tcW w:type="dxa" w:w="2492"/>
          </w:tcPr>
          <w:p>
            <w:pPr>
              <w:pStyle w:val="null3"/>
            </w:pPr>
            <w:r>
              <w:rPr/>
              <w:t>开展二氧化碳排放源与二氧化碳利用及封存碳汇的源汇匹配建模分析，根据供应商提供的建模分析方案进行评审： 方案内容完整详细，表述清晰，模型构建的具体步骤与关键参数设置科学合理得8分； 方案内容基本完整，模型构建的具体步骤与关键参数设置较为合理，得7分； 方案内容常规、通用，模型构建的具体步骤与关键参数设置不完善或可执行性弱得5分； 方案内容空泛，未提供模型构建的具体步骤与关键参数设置得3分； 方案有明显的缺陷，难以保障项目实施得1分； 未提供相关内容得0分。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项目团队人员</w:t>
            </w:r>
          </w:p>
        </w:tc>
        <w:tc>
          <w:tcPr>
            <w:tcW w:type="dxa" w:w="2492"/>
          </w:tcPr>
          <w:p>
            <w:pPr>
              <w:pStyle w:val="null3"/>
            </w:pPr>
            <w:r>
              <w:rPr/>
              <w:t>磋商小组根据项目团队成员的人员结构是否合理、人员学历、职称、参与类似项目的经验等比较后予以赋分（提供佐证材料包括但不限于身份证、学历证、职称证、工作经验证明、业绩合同复印件等）。 1、项目负责人具有类似项目工作经验（提供工作经验证明材料），每个项目得1分，最高得3分，未提供不计分； 2、团队中至少有1 名成员在二氧化碳相关领域有 3 年以上工作经验的（提供工作经验证明材料）得2分，未提供不计分； 3、服务团队人员安排合理，职责分工明确，完全满足项目需求得5分； 人员安排基本合理，职责分工较为明确得 3分；人员安排欠缺，分工不明确且不能完全满足项目需求的得1分； 未提供相关内容得0分。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项目团队人员</w:t>
            </w:r>
          </w:p>
        </w:tc>
      </w:tr>
      <w:tr>
        <w:tc>
          <w:tcPr>
            <w:tcW w:type="dxa" w:w="831"/>
            <w:vMerge/>
          </w:tcPr>
          <w:p/>
        </w:tc>
        <w:tc>
          <w:tcPr>
            <w:tcW w:type="dxa" w:w="1661"/>
          </w:tcPr>
          <w:p>
            <w:pPr>
              <w:pStyle w:val="null3"/>
            </w:pPr>
            <w:r>
              <w:rPr/>
              <w:t>进度保证措施</w:t>
            </w:r>
          </w:p>
        </w:tc>
        <w:tc>
          <w:tcPr>
            <w:tcW w:type="dxa" w:w="2492"/>
          </w:tcPr>
          <w:p>
            <w:pPr>
              <w:pStyle w:val="null3"/>
            </w:pPr>
            <w:r>
              <w:rPr/>
              <w:t>供应商针对本项目有详细的进度保证措施，包括时间节点、人员安排、资源分配等，保证项目的进度。 进度保证措施科学合理，可行性、针对性强，能确保项目按时按质完成，承诺如出现延误的应对措施与补偿方案的得4分； 进度保证措施合理可行，有针对性，基本满足项目按时按质完成的得2分； 进度保证措施内容空泛，缺乏针对性，难以保证项目按时按质完成的得1分； 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进度保证措施</w:t>
            </w:r>
          </w:p>
        </w:tc>
      </w:tr>
      <w:tr>
        <w:tc>
          <w:tcPr>
            <w:tcW w:type="dxa" w:w="831"/>
            <w:vMerge/>
          </w:tcPr>
          <w:p/>
        </w:tc>
        <w:tc>
          <w:tcPr>
            <w:tcW w:type="dxa" w:w="1661"/>
          </w:tcPr>
          <w:p>
            <w:pPr>
              <w:pStyle w:val="null3"/>
            </w:pPr>
            <w:r>
              <w:rPr/>
              <w:t>售后服务及承诺</w:t>
            </w:r>
          </w:p>
        </w:tc>
        <w:tc>
          <w:tcPr>
            <w:tcW w:type="dxa" w:w="2492"/>
          </w:tcPr>
          <w:p>
            <w:pPr>
              <w:pStyle w:val="null3"/>
            </w:pPr>
            <w:r>
              <w:rPr/>
              <w:t>供应商针对本项目提供具体可行的售后服务方案，根据售后服务方案完善程度、响应时间、可行性等（包括但不限于技术培训，技术咨询，上门服务、数据转交等内容）。 1、售后方案具体、合理、切实可行、措施详尽合理得4分： 售后方案较基本合理、措施较合理得2分； 售后方案简单，缺少措施得1分； 未提供相关内容得0分。 2、供应商承诺针对本项目获取并提供给采购人的数据来源合法合规且真实有效得2分，未提供得0分。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售后服务及承诺</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提供供应商2021年1月1日至今同类项目合同，每提供1个得2分，最高得8分。（以合同签订日期为准） 备注：响应文件中提供合同复印件加盖公章。</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供应商业绩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详见附件：供应商资格证明材料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详见附件：供应商企业关联关系声明函</w:t>
      </w:r>
    </w:p>
    <w:p>
      <w:pPr>
        <w:pStyle w:val="null3"/>
        <w:ind w:firstLine="960"/>
      </w:pPr>
      <w:r>
        <w:rPr/>
        <w:t>详见附件：服务响应偏离表</w:t>
      </w:r>
    </w:p>
    <w:p>
      <w:pPr>
        <w:pStyle w:val="null3"/>
        <w:ind w:firstLine="960"/>
      </w:pPr>
      <w:r>
        <w:rPr/>
        <w:t>详见附件：商务响应偏离表</w:t>
      </w:r>
    </w:p>
    <w:p>
      <w:pPr>
        <w:pStyle w:val="null3"/>
        <w:ind w:firstLine="960"/>
      </w:pPr>
      <w:r>
        <w:rPr/>
        <w:t>详见附件：供应商基本信息</w:t>
      </w:r>
    </w:p>
    <w:p>
      <w:pPr>
        <w:pStyle w:val="null3"/>
        <w:ind w:firstLine="960"/>
      </w:pPr>
      <w:r>
        <w:rPr/>
        <w:t>详见附件：实施方案</w:t>
      </w:r>
    </w:p>
    <w:p>
      <w:pPr>
        <w:pStyle w:val="null3"/>
        <w:ind w:firstLine="960"/>
      </w:pPr>
      <w:r>
        <w:rPr/>
        <w:t>详见附件：项目团队人员</w:t>
      </w:r>
    </w:p>
    <w:p>
      <w:pPr>
        <w:pStyle w:val="null3"/>
        <w:ind w:firstLine="960"/>
      </w:pPr>
      <w:r>
        <w:rPr/>
        <w:t>详见附件：进度保证措施</w:t>
      </w:r>
    </w:p>
    <w:p>
      <w:pPr>
        <w:pStyle w:val="null3"/>
        <w:ind w:firstLine="960"/>
      </w:pPr>
      <w:r>
        <w:rPr/>
        <w:t>详见附件：售后服务及承诺</w:t>
      </w:r>
    </w:p>
    <w:p>
      <w:pPr>
        <w:pStyle w:val="null3"/>
        <w:ind w:firstLine="960"/>
      </w:pPr>
      <w:r>
        <w:rPr/>
        <w:t>详见附件：供应商业绩</w:t>
      </w:r>
    </w:p>
    <w:p>
      <w:pPr>
        <w:pStyle w:val="null3"/>
        <w:ind w:firstLine="960"/>
      </w:pPr>
      <w:r>
        <w:rPr/>
        <w:t>详见附件：其他材料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详见附件：服务合同模板.docx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