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保证金退还信息表</w:t>
      </w:r>
    </w:p>
    <w:p>
      <w:pPr>
        <w:spacing w:line="480" w:lineRule="auto"/>
        <w:rPr>
          <w:rFonts w:ascii="仿宋" w:hAnsi="仿宋" w:eastAsia="仿宋" w:cs="仿宋"/>
          <w:b/>
          <w:bCs/>
          <w:color w:val="auto"/>
          <w:sz w:val="24"/>
          <w:szCs w:val="24"/>
          <w:highlight w:val="none"/>
        </w:rPr>
      </w:pPr>
      <w:r>
        <w:rPr>
          <w:rFonts w:hint="eastAsia" w:ascii="仿宋" w:hAnsi="仿宋" w:eastAsia="仿宋" w:cs="仿宋"/>
          <w:b/>
          <w:bCs/>
          <w:color w:val="auto"/>
          <w:spacing w:val="4"/>
          <w:sz w:val="24"/>
          <w:szCs w:val="24"/>
          <w:highlight w:val="none"/>
        </w:rPr>
        <w:t>致：</w:t>
      </w:r>
      <w:r>
        <w:rPr>
          <w:rFonts w:hint="eastAsia" w:ascii="仿宋" w:hAnsi="仿宋" w:eastAsia="仿宋" w:cs="仿宋"/>
          <w:b/>
          <w:bCs/>
          <w:color w:val="auto"/>
          <w:spacing w:val="4"/>
          <w:sz w:val="24"/>
          <w:szCs w:val="24"/>
          <w:highlight w:val="none"/>
          <w:u w:val="single"/>
        </w:rPr>
        <w:t>陕西德仁招标有限公司</w:t>
      </w:r>
    </w:p>
    <w:p>
      <w:pPr>
        <w:spacing w:line="480" w:lineRule="auto"/>
        <w:ind w:firstLine="482"/>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）提交的保证金</w:t>
      </w:r>
      <w:r>
        <w:rPr>
          <w:rFonts w:hint="eastAsia" w:ascii="仿宋" w:hAnsi="仿宋" w:eastAsia="仿宋" w:cs="仿宋"/>
          <w:color w:val="auto"/>
          <w:sz w:val="24"/>
          <w:szCs w:val="24"/>
          <w:highlight w:val="none"/>
          <w:u w:val="single"/>
        </w:rPr>
        <w:t xml:space="preserve">人民币             </w:t>
      </w:r>
      <w:r>
        <w:rPr>
          <w:rFonts w:hint="eastAsia" w:ascii="仿宋" w:hAnsi="仿宋" w:eastAsia="仿宋" w:cs="仿宋"/>
          <w:color w:val="auto"/>
          <w:sz w:val="24"/>
          <w:szCs w:val="24"/>
          <w:highlight w:val="none"/>
        </w:rPr>
        <w:t>元（小写¥：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元），按</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文件规定退还至下列账户：</w:t>
      </w:r>
    </w:p>
    <w:tbl>
      <w:tblPr>
        <w:tblStyle w:val="7"/>
        <w:tblW w:w="0" w:type="auto"/>
        <w:jc w:val="center"/>
        <w:tblLayout w:type="fixed"/>
        <w:tblCellMar>
          <w:top w:w="0" w:type="dxa"/>
          <w:left w:w="108" w:type="dxa"/>
          <w:bottom w:w="0" w:type="dxa"/>
          <w:right w:w="108" w:type="dxa"/>
        </w:tblCellMar>
      </w:tblPr>
      <w:tblGrid>
        <w:gridCol w:w="606"/>
        <w:gridCol w:w="1995"/>
        <w:gridCol w:w="2685"/>
        <w:gridCol w:w="1495"/>
        <w:gridCol w:w="3181"/>
      </w:tblGrid>
      <w:tr>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收款单位</w:t>
            </w:r>
          </w:p>
        </w:tc>
        <w:tc>
          <w:tcPr>
            <w:tcW w:w="1995"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收款单位名称</w:t>
            </w:r>
          </w:p>
        </w:tc>
        <w:tc>
          <w:tcPr>
            <w:tcW w:w="7361" w:type="dxa"/>
            <w:gridSpan w:val="3"/>
            <w:tcBorders>
              <w:top w:val="single" w:color="auto" w:sz="4" w:space="0"/>
              <w:left w:val="nil"/>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 w:hAnsi="仿宋" w:eastAsia="仿宋" w:cs="仿宋"/>
                <w:color w:val="auto"/>
                <w:sz w:val="24"/>
                <w:szCs w:val="24"/>
                <w:highlight w:val="none"/>
              </w:rPr>
            </w:pPr>
          </w:p>
        </w:tc>
        <w:tc>
          <w:tcPr>
            <w:tcW w:w="1995" w:type="dxa"/>
            <w:tcBorders>
              <w:top w:val="nil"/>
              <w:left w:val="nil"/>
              <w:bottom w:val="single" w:color="auto" w:sz="4" w:space="0"/>
              <w:right w:val="single" w:color="auto" w:sz="4" w:space="0"/>
            </w:tcBorders>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tc>
        <w:tc>
          <w:tcPr>
            <w:tcW w:w="7361" w:type="dxa"/>
            <w:gridSpan w:val="3"/>
            <w:tcBorders>
              <w:top w:val="single" w:color="auto" w:sz="4" w:space="0"/>
              <w:left w:val="nil"/>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 w:hAnsi="仿宋" w:eastAsia="仿宋" w:cs="仿宋"/>
                <w:color w:val="auto"/>
                <w:sz w:val="24"/>
                <w:szCs w:val="24"/>
                <w:highlight w:val="none"/>
              </w:rPr>
            </w:pPr>
          </w:p>
        </w:tc>
        <w:tc>
          <w:tcPr>
            <w:tcW w:w="1995" w:type="dxa"/>
            <w:tcBorders>
              <w:top w:val="nil"/>
              <w:left w:val="nil"/>
              <w:bottom w:val="single" w:color="auto" w:sz="4" w:space="0"/>
              <w:right w:val="single" w:color="auto" w:sz="4" w:space="0"/>
            </w:tcBorders>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7361" w:type="dxa"/>
            <w:gridSpan w:val="3"/>
            <w:tcBorders>
              <w:top w:val="single" w:color="auto" w:sz="4" w:space="0"/>
              <w:left w:val="nil"/>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 w:hAnsi="仿宋" w:eastAsia="仿宋" w:cs="仿宋"/>
                <w:color w:val="auto"/>
                <w:sz w:val="24"/>
                <w:szCs w:val="24"/>
                <w:highlight w:val="none"/>
              </w:rPr>
            </w:pPr>
          </w:p>
        </w:tc>
        <w:tc>
          <w:tcPr>
            <w:tcW w:w="1995" w:type="dxa"/>
            <w:tcBorders>
              <w:top w:val="nil"/>
              <w:left w:val="nil"/>
              <w:bottom w:val="single" w:color="auto" w:sz="4" w:space="0"/>
              <w:right w:val="single" w:color="auto" w:sz="4" w:space="0"/>
            </w:tcBorders>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开户银行行号</w:t>
            </w:r>
          </w:p>
        </w:tc>
        <w:tc>
          <w:tcPr>
            <w:tcW w:w="7361" w:type="dxa"/>
            <w:gridSpan w:val="3"/>
            <w:tcBorders>
              <w:top w:val="single" w:color="auto" w:sz="4" w:space="0"/>
              <w:left w:val="nil"/>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 w:hAnsi="仿宋" w:eastAsia="仿宋" w:cs="仿宋"/>
                <w:color w:val="auto"/>
                <w:sz w:val="24"/>
                <w:szCs w:val="24"/>
                <w:highlight w:val="none"/>
              </w:rPr>
            </w:pPr>
          </w:p>
        </w:tc>
        <w:tc>
          <w:tcPr>
            <w:tcW w:w="1995"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 系 人</w:t>
            </w:r>
          </w:p>
        </w:tc>
        <w:tc>
          <w:tcPr>
            <w:tcW w:w="2685" w:type="dxa"/>
            <w:tcBorders>
              <w:top w:val="single" w:color="auto" w:sz="4" w:space="0"/>
              <w:left w:val="nil"/>
              <w:bottom w:val="single" w:color="auto" w:sz="4" w:space="0"/>
              <w:right w:val="single" w:color="auto" w:sz="4" w:space="0"/>
            </w:tcBorders>
            <w:vAlign w:val="center"/>
          </w:tcPr>
          <w:p>
            <w:pPr>
              <w:rPr>
                <w:rFonts w:ascii="仿宋" w:hAnsi="仿宋" w:eastAsia="仿宋" w:cs="仿宋"/>
                <w:color w:val="auto"/>
                <w:sz w:val="24"/>
                <w:szCs w:val="24"/>
                <w:highlight w:val="none"/>
              </w:rPr>
            </w:pPr>
          </w:p>
        </w:tc>
        <w:tc>
          <w:tcPr>
            <w:tcW w:w="1495" w:type="dxa"/>
            <w:tcBorders>
              <w:top w:val="single" w:color="auto" w:sz="4" w:space="0"/>
              <w:left w:val="nil"/>
              <w:bottom w:val="single" w:color="auto" w:sz="4" w:space="0"/>
              <w:right w:val="single" w:color="auto" w:sz="4" w:space="0"/>
            </w:tcBorders>
            <w:vAlign w:val="center"/>
          </w:tcPr>
          <w:p>
            <w:pP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tc>
        <w:tc>
          <w:tcPr>
            <w:tcW w:w="3181" w:type="dxa"/>
            <w:tcBorders>
              <w:top w:val="single" w:color="auto" w:sz="4" w:space="0"/>
              <w:left w:val="nil"/>
              <w:bottom w:val="single" w:color="auto" w:sz="4" w:space="0"/>
              <w:right w:val="single" w:color="auto" w:sz="4" w:space="0"/>
            </w:tcBorders>
            <w:vAlign w:val="center"/>
          </w:tcPr>
          <w:p>
            <w:pPr>
              <w:rPr>
                <w:rFonts w:ascii="仿宋" w:hAnsi="仿宋" w:eastAsia="仿宋" w:cs="仿宋"/>
                <w:color w:val="auto"/>
                <w:sz w:val="24"/>
                <w:szCs w:val="24"/>
                <w:highlight w:val="none"/>
              </w:rPr>
            </w:pPr>
          </w:p>
        </w:tc>
      </w:tr>
    </w:tbl>
    <w:p>
      <w:pPr>
        <w:pStyle w:val="2"/>
        <w:rPr>
          <w:rFonts w:ascii="仿宋" w:hAnsi="仿宋" w:eastAsia="仿宋" w:cs="仿宋"/>
          <w:color w:val="auto"/>
          <w:sz w:val="24"/>
          <w:szCs w:val="24"/>
          <w:highlight w:val="none"/>
        </w:rPr>
      </w:pPr>
    </w:p>
    <w:p>
      <w:pPr>
        <w:ind w:firstLine="482" w:firstLineChars="200"/>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1、保证金将退还至原转入账户，请按照转入保证金账户填写此表。如贵单位付款账户有单位结算卡，请将单位结算卡的账号信息出具情况说明并加盖公章与本表一同递交。</w:t>
      </w:r>
    </w:p>
    <w:p>
      <w:pPr>
        <w:ind w:firstLine="482" w:firstLineChars="200"/>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2、各</w:t>
      </w:r>
      <w:r>
        <w:rPr>
          <w:rFonts w:hint="eastAsia" w:ascii="仿宋" w:hAnsi="仿宋" w:eastAsia="仿宋" w:cs="仿宋"/>
          <w:b/>
          <w:bCs/>
          <w:color w:val="auto"/>
          <w:sz w:val="24"/>
          <w:szCs w:val="32"/>
          <w:highlight w:val="none"/>
          <w:lang w:val="en-US" w:eastAsia="zh-CN"/>
        </w:rPr>
        <w:t>供应商</w:t>
      </w:r>
      <w:r>
        <w:rPr>
          <w:rFonts w:hint="eastAsia" w:ascii="仿宋" w:hAnsi="仿宋" w:eastAsia="仿宋" w:cs="仿宋"/>
          <w:b/>
          <w:bCs/>
          <w:color w:val="auto"/>
          <w:sz w:val="24"/>
          <w:szCs w:val="32"/>
          <w:highlight w:val="none"/>
        </w:rPr>
        <w:t>请正确填写《</w:t>
      </w:r>
      <w:r>
        <w:rPr>
          <w:rFonts w:hint="eastAsia" w:ascii="仿宋" w:hAnsi="仿宋" w:eastAsia="仿宋" w:cs="仿宋"/>
          <w:b/>
          <w:bCs/>
          <w:color w:val="auto"/>
          <w:sz w:val="24"/>
          <w:szCs w:val="32"/>
          <w:highlight w:val="none"/>
          <w:lang w:val="en-US" w:eastAsia="zh-CN"/>
        </w:rPr>
        <w:t>保</w:t>
      </w:r>
      <w:r>
        <w:rPr>
          <w:rFonts w:hint="eastAsia" w:ascii="仿宋" w:hAnsi="仿宋" w:eastAsia="仿宋" w:cs="仿宋"/>
          <w:b/>
          <w:bCs/>
          <w:color w:val="auto"/>
          <w:sz w:val="24"/>
          <w:szCs w:val="32"/>
          <w:highlight w:val="none"/>
        </w:rPr>
        <w:t>证金退还信息表》，开标现场手持递交（无需密封），</w:t>
      </w:r>
      <w:r>
        <w:rPr>
          <w:rFonts w:hint="eastAsia" w:ascii="仿宋" w:hAnsi="仿宋" w:eastAsia="仿宋" w:cs="仿宋"/>
          <w:b/>
          <w:bCs/>
          <w:color w:val="auto"/>
          <w:sz w:val="24"/>
          <w:szCs w:val="32"/>
          <w:highlight w:val="none"/>
          <w:lang w:val="en-US" w:eastAsia="zh-CN"/>
        </w:rPr>
        <w:t>项目</w:t>
      </w:r>
      <w:r>
        <w:rPr>
          <w:rFonts w:hint="eastAsia" w:ascii="仿宋" w:hAnsi="仿宋" w:eastAsia="仿宋" w:cs="仿宋"/>
          <w:b/>
          <w:bCs/>
          <w:color w:val="auto"/>
          <w:sz w:val="24"/>
          <w:szCs w:val="32"/>
          <w:highlight w:val="none"/>
        </w:rPr>
        <w:t>结束后，将根据所提供信息退还各</w:t>
      </w:r>
      <w:r>
        <w:rPr>
          <w:rFonts w:hint="eastAsia" w:ascii="仿宋" w:hAnsi="仿宋" w:eastAsia="仿宋" w:cs="仿宋"/>
          <w:b/>
          <w:bCs/>
          <w:color w:val="auto"/>
          <w:sz w:val="24"/>
          <w:szCs w:val="32"/>
          <w:highlight w:val="none"/>
          <w:lang w:eastAsia="zh-CN"/>
        </w:rPr>
        <w:t>供应商</w:t>
      </w:r>
      <w:r>
        <w:rPr>
          <w:rFonts w:hint="eastAsia" w:ascii="仿宋" w:hAnsi="仿宋" w:eastAsia="仿宋" w:cs="仿宋"/>
          <w:b/>
          <w:bCs/>
          <w:color w:val="auto"/>
          <w:sz w:val="24"/>
          <w:szCs w:val="32"/>
          <w:highlight w:val="none"/>
        </w:rPr>
        <w:t>保证金。</w:t>
      </w:r>
    </w:p>
    <w:p>
      <w:pPr>
        <w:ind w:firstLine="482" w:firstLineChars="200"/>
        <w:rPr>
          <w:rFonts w:ascii="仿宋" w:hAnsi="仿宋" w:eastAsia="仿宋" w:cs="仿宋"/>
          <w:b/>
          <w:color w:val="auto"/>
          <w:sz w:val="24"/>
          <w:szCs w:val="24"/>
          <w:highlight w:val="none"/>
        </w:rPr>
      </w:pPr>
      <w:r>
        <w:rPr>
          <w:rFonts w:hint="eastAsia" w:ascii="仿宋" w:hAnsi="仿宋" w:eastAsia="仿宋" w:cs="仿宋"/>
          <w:b/>
          <w:bCs/>
          <w:color w:val="auto"/>
          <w:sz w:val="24"/>
          <w:szCs w:val="32"/>
          <w:highlight w:val="none"/>
        </w:rPr>
        <w:t>3、因</w:t>
      </w:r>
      <w:r>
        <w:rPr>
          <w:rFonts w:hint="eastAsia" w:ascii="仿宋" w:hAnsi="仿宋" w:eastAsia="仿宋" w:cs="仿宋"/>
          <w:b/>
          <w:bCs/>
          <w:color w:val="auto"/>
          <w:sz w:val="24"/>
          <w:szCs w:val="32"/>
          <w:highlight w:val="none"/>
          <w:lang w:val="en-US" w:eastAsia="zh-CN"/>
        </w:rPr>
        <w:t>供应商</w:t>
      </w:r>
      <w:r>
        <w:rPr>
          <w:rFonts w:hint="eastAsia" w:ascii="仿宋" w:hAnsi="仿宋" w:eastAsia="仿宋" w:cs="仿宋"/>
          <w:b/>
          <w:bCs/>
          <w:color w:val="auto"/>
          <w:sz w:val="24"/>
          <w:szCs w:val="32"/>
          <w:highlight w:val="none"/>
        </w:rPr>
        <w:t>自身原因导致未及时退还的，由</w:t>
      </w:r>
      <w:r>
        <w:rPr>
          <w:rFonts w:hint="eastAsia" w:ascii="仿宋" w:hAnsi="仿宋" w:eastAsia="仿宋" w:cs="仿宋"/>
          <w:b/>
          <w:bCs/>
          <w:color w:val="auto"/>
          <w:sz w:val="24"/>
          <w:szCs w:val="32"/>
          <w:highlight w:val="none"/>
          <w:lang w:val="en-US" w:eastAsia="zh-CN"/>
        </w:rPr>
        <w:t>供应商</w:t>
      </w:r>
      <w:r>
        <w:rPr>
          <w:rFonts w:hint="eastAsia" w:ascii="仿宋" w:hAnsi="仿宋" w:eastAsia="仿宋" w:cs="仿宋"/>
          <w:b/>
          <w:bCs/>
          <w:color w:val="auto"/>
          <w:sz w:val="24"/>
          <w:szCs w:val="32"/>
          <w:highlight w:val="none"/>
        </w:rPr>
        <w:t>自行负责</w:t>
      </w:r>
      <w:r>
        <w:rPr>
          <w:rFonts w:hint="eastAsia" w:ascii="仿宋" w:hAnsi="仿宋" w:eastAsia="仿宋" w:cs="仿宋"/>
          <w:b/>
          <w:color w:val="auto"/>
          <w:sz w:val="24"/>
          <w:szCs w:val="24"/>
          <w:highlight w:val="none"/>
        </w:rPr>
        <w:t>。</w:t>
      </w:r>
    </w:p>
    <w:p>
      <w:pPr>
        <w:pStyle w:val="6"/>
        <w:ind w:firstLine="480"/>
        <w:rPr>
          <w:rFonts w:ascii="仿宋" w:hAnsi="仿宋" w:eastAsia="仿宋" w:cs="仿宋"/>
          <w:color w:val="auto"/>
          <w:sz w:val="24"/>
          <w:szCs w:val="24"/>
          <w:highlight w:val="none"/>
        </w:rPr>
      </w:pPr>
    </w:p>
    <w:p>
      <w:pPr>
        <w:rPr>
          <w:color w:val="auto"/>
          <w:highlight w:val="none"/>
        </w:rPr>
      </w:pPr>
    </w:p>
    <w:p>
      <w:pPr>
        <w:spacing w:line="360" w:lineRule="auto"/>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（盖章）</w:t>
      </w:r>
    </w:p>
    <w:p>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color w:val="auto"/>
          <w:sz w:val="24"/>
          <w:highlight w:val="none"/>
          <w:lang w:eastAsia="zh-CN"/>
        </w:rPr>
        <w:t>被授权人</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rPr>
        <w:t>(签字或盖章)</w:t>
      </w:r>
    </w:p>
    <w:p>
      <w:pPr>
        <w:overflowPunct w:val="0"/>
        <w:spacing w:line="360" w:lineRule="auto"/>
        <w:jc w:val="both"/>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日      期：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YmZiMGMyMzI4NGFkOWViYWQ0Nzg1MjhkNzEzNDYifQ=="/>
  </w:docVars>
  <w:rsids>
    <w:rsidRoot w:val="10CA6E6E"/>
    <w:rsid w:val="10CA6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r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293</Words>
  <Characters>293</Characters>
  <Lines>0</Lines>
  <Paragraphs>0</Paragraphs>
  <TotalTime>0</TotalTime>
  <ScaleCrop>false</ScaleCrop>
  <LinksUpToDate>false</LinksUpToDate>
  <CharactersWithSpaces>409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2023-07-25T03:20:00Z</dcterms:created>
  <dc:creator>德仁</dc:creator>
  <cp:lastModifiedBy>德仁</cp:lastModifiedBy>
  <dcterms:modified xsi:type="dcterms:W3CDTF">2023-07-25T03:20:41Z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52614B4F9C7E4F418819B25DF76EA1E8_11</vt:lpwstr>
  </property>
</Properties>
</file>