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“陕西福彩学院”培训服务(二次)</w:t>
      </w:r>
    </w:p>
    <w:p>
      <w:pPr>
        <w:pStyle w:val="null3"/>
        <w:jc w:val="center"/>
        <w:outlineLvl w:val="2"/>
      </w:pPr>
      <w:r>
        <w:rPr>
          <w:b/>
          <w:sz w:val="28"/>
        </w:rPr>
        <w:t>采购项目编号：</w:t>
      </w:r>
      <w:r>
        <w:rPr>
          <w:b/>
          <w:sz w:val="28"/>
        </w:rPr>
        <w:t>DRZB2024-ZC-108-2</w:t>
      </w:r>
      <w:r>
        <w:br/>
      </w:r>
      <w:r>
        <w:br/>
      </w:r>
      <w:r>
        <w:br/>
      </w:r>
    </w:p>
    <w:p>
      <w:pPr>
        <w:pStyle w:val="null3"/>
        <w:jc w:val="center"/>
        <w:outlineLvl w:val="2"/>
      </w:pPr>
      <w:r>
        <w:rPr>
          <w:b/>
          <w:sz w:val="28"/>
        </w:rPr>
        <w:t>陕西省福利彩票发行中心</w:t>
      </w:r>
    </w:p>
    <w:p>
      <w:pPr>
        <w:pStyle w:val="null3"/>
        <w:jc w:val="center"/>
        <w:outlineLvl w:val="2"/>
      </w:pPr>
      <w:r>
        <w:rPr>
          <w:b/>
          <w:sz w:val="28"/>
        </w:rPr>
        <w:t>陕西德仁招标有限公司</w:t>
      </w:r>
      <w:r>
        <w:rPr>
          <w:b/>
          <w:sz w:val="28"/>
        </w:rPr>
        <w:t>共同编制</w:t>
      </w:r>
    </w:p>
    <w:p>
      <w:pPr>
        <w:pStyle w:val="null3"/>
        <w:jc w:val="center"/>
        <w:outlineLvl w:val="2"/>
      </w:pPr>
      <w:r>
        <w:rPr>
          <w:b/>
          <w:sz w:val="28"/>
        </w:rPr>
        <w:t>2024年05月17日</w:t>
      </w:r>
    </w:p>
    <w:p>
      <w:pPr>
        <w:pStyle w:val="null3"/>
      </w:pPr>
      <w:r>
        <w:rPr/>
        <w:t xml:space="preserve"> </w:t>
        <w:br/>
        <w:br w:type="page"/>
      </w:r>
    </w:p>
    <w:p>
      <w:pPr>
        <w:pStyle w:val="null3"/>
        <w:jc w:val="center"/>
        <w:outlineLvl w:val="1"/>
      </w:pPr>
      <w:r>
        <w:rPr>
          <w:b/>
          <w:sz w:val="36"/>
        </w:rPr>
        <w:t>第一章 竞争性磋商邀请</w:t>
      </w:r>
    </w:p>
    <w:p>
      <w:pPr>
        <w:pStyle w:val="null3"/>
        <w:ind w:firstLine="480"/>
      </w:pPr>
      <w:r>
        <w:rPr/>
        <w:t>陕西德仁招标有限公司</w:t>
      </w:r>
      <w:r>
        <w:rPr/>
        <w:t>（以下简称“代理机构”）受</w:t>
      </w:r>
      <w:r>
        <w:rPr/>
        <w:t>陕西省福利彩票发行中心</w:t>
      </w:r>
      <w:r>
        <w:rPr/>
        <w:t>委托，拟对</w:t>
      </w:r>
      <w:r>
        <w:rPr/>
        <w:t>“陕西福彩学院”培训服务(二次)</w:t>
      </w:r>
      <w:r>
        <w:rPr/>
        <w:t>采用竞争性磋商采购方式进行采购，兹邀请供应商参加本项目的竞争性磋商。</w:t>
      </w:r>
    </w:p>
    <w:p>
      <w:pPr>
        <w:pStyle w:val="null3"/>
        <w:outlineLvl w:val="2"/>
      </w:pPr>
      <w:r>
        <w:rPr>
          <w:b/>
          <w:sz w:val="28"/>
        </w:rPr>
        <w:t>一、项目编号：</w:t>
      </w:r>
      <w:r>
        <w:rPr>
          <w:b/>
          <w:sz w:val="28"/>
        </w:rPr>
        <w:t>DRZB2024-ZC-108-2</w:t>
      </w:r>
    </w:p>
    <w:p>
      <w:pPr>
        <w:pStyle w:val="null3"/>
        <w:outlineLvl w:val="2"/>
      </w:pPr>
      <w:r>
        <w:rPr>
          <w:b/>
          <w:sz w:val="28"/>
        </w:rPr>
        <w:t>二、项目名称：</w:t>
      </w:r>
      <w:r>
        <w:rPr>
          <w:b/>
          <w:sz w:val="28"/>
        </w:rPr>
        <w:t>“陕西福彩学院”培训服务(二次)</w:t>
      </w:r>
    </w:p>
    <w:p>
      <w:pPr>
        <w:pStyle w:val="null3"/>
        <w:outlineLvl w:val="2"/>
      </w:pPr>
      <w:r>
        <w:rPr>
          <w:b/>
          <w:sz w:val="28"/>
        </w:rPr>
        <w:t>三、磋商项目简介</w:t>
      </w:r>
    </w:p>
    <w:p>
      <w:pPr>
        <w:pStyle w:val="null3"/>
        <w:ind w:firstLine="480"/>
      </w:pPr>
      <w:r>
        <w:rPr/>
        <w:t>为坚持双线并行工作方针，稳步推动我省福利彩票培训体系规范化、系统化、专业化建设，我中心拟继续开展“陕西福彩学院”培训服务项目采购工作，包括培训平台、培训课程、培训讲师、运维服务等。</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采购包1（“陕西福彩学院”培训服务项目）：属于专门面向中小企业采购。</w:t>
      </w:r>
    </w:p>
    <w:p>
      <w:pPr>
        <w:pStyle w:val="null3"/>
        <w:ind w:firstLine="480"/>
      </w:pPr>
      <w:r>
        <w:rPr/>
        <w:t>（三）本项目的特定资格要求：</w:t>
      </w:r>
    </w:p>
    <w:p>
      <w:pPr>
        <w:pStyle w:val="null3"/>
      </w:pPr>
      <w:r>
        <w:rPr/>
        <w:t>采购包1：</w:t>
      </w:r>
    </w:p>
    <w:p>
      <w:pPr>
        <w:pStyle w:val="null3"/>
      </w:pPr>
      <w:r>
        <w:rPr/>
        <w:t>1、有效的主体资格证明：具有独立承担民事责任能力的法人、其他组织或自然人，提供合法有效的统一社会信用代码营业执照（事业单位法人证书/专业服务机构执业许可证/民办非企业单位登记证书，自然人提供身份证）。供应商需在项目电子化交易系统中按要求提供相关证明材料并进行电子签章。</w:t>
      </w:r>
    </w:p>
    <w:p>
      <w:pPr>
        <w:pStyle w:val="null3"/>
      </w:pPr>
      <w:r>
        <w:rPr/>
        <w:t>2、财务状况报告：财务状况报告：提供2022年度或2023年度经审计的财务报告（包括“四表一注”，即资产负债表、利润表、现金流量表、所有者权益变动表及其附注，成立时间至提交磋商响应文件截止时间不足一年的可提供成立后任意时段的财务报表） ，或其开标前三个月内基本开户银行出具的资信证明，或信用担保机构出具的投标担保函（以上三种形式的资料提供任何一种即可）。事业单位法人参与磋商可不提供财务状况报告、社会保障资金缴纳证明及税收缴纳证明。供应商需在项目电子化交易系统中按要求提供相关证明材料并进行电子签章。</w:t>
      </w:r>
    </w:p>
    <w:p>
      <w:pPr>
        <w:pStyle w:val="null3"/>
      </w:pPr>
      <w:r>
        <w:rPr/>
        <w:t>3、税收缴纳证明：税收缴纳证明：提供递交磋商响应文件截止之日前一年内任意一个月的依法缴纳税收的相关凭据，凭据应有税务机关或代收机关的公章或业务专用章。依法免税或无须缴纳税收的供应商，应提供相应证明文件。 事业单位法人参与磋商可不提供财务状况报告、社会保障资金缴纳证明及税收缴纳证明。供应商需在项目电子化交易系统中按要求提供相关证明材料并进行电子签章。</w:t>
      </w:r>
    </w:p>
    <w:p>
      <w:pPr>
        <w:pStyle w:val="null3"/>
      </w:pPr>
      <w:r>
        <w:rPr/>
        <w:t>4、社会保障资金缴纳证明：社会保障资金缴纳证明：提供递交磋商响应文件截止之日前一年内任意一个月的 社会保障资金缴存单据或社保机构开具的社会保险参保缴费情况证明。依法不需要缴纳社会保障资金的供应商应提供相关证明文件。事业单位法人参与磋商可不提供财务状况报告、社会保障资金缴纳证明及税收缴纳证明。供应商需在项目电子化交易系统中按要求提供相关证明材料并进行电子签章。</w:t>
      </w:r>
    </w:p>
    <w:p>
      <w:pPr>
        <w:pStyle w:val="null3"/>
      </w:pPr>
      <w:r>
        <w:rPr/>
        <w:t>5、具有履行合同所必需的设备和专业技术能力的书面声明：书面声明：提供书面声明，包括声明具有履行合同所必需的设备和专业技术能力。供应商需在项目电子化交易系统中按要求提供相关证明材料并进行电子签章。</w:t>
      </w:r>
    </w:p>
    <w:p>
      <w:pPr>
        <w:pStyle w:val="null3"/>
      </w:pPr>
      <w:r>
        <w:rPr/>
        <w:t>6、3年内在经营活动中没有重大违纪书面声明：参加本次政府采购活动前3年内在经营活动中没有重大违纪，以及未被列入失信被执行人、重大税收违法失信主体、政府采购严重违法失信行为记录名单的书面声明；供应商需在项目电子化交易系统中按要求提供相关证明材料并进行电子签章。</w:t>
      </w:r>
    </w:p>
    <w:p>
      <w:pPr>
        <w:pStyle w:val="null3"/>
      </w:pPr>
      <w:r>
        <w:rPr/>
        <w:t>7、法人授权书：法定代表人直接参加磋商的，须出具法定代表人身份证明；授权代表参加磋商的，须出具法定代表人授权书及授权代表身份证；供应商需在项目电子化交易系统中按要求提供相关证明材料并进行电子签章。</w:t>
      </w:r>
    </w:p>
    <w:p>
      <w:pPr>
        <w:pStyle w:val="null3"/>
      </w:pPr>
      <w:r>
        <w:rPr/>
        <w:t>8、信用中国：供应商未被“信用中国”网站（www.creditchina.gov.cn）中列入失信被执行人和重大税收违法失信主体，在中国政府采购网（www.ccgp.gov.cn）政府采购严重违法失信行为记录名单中未被财政部门禁止参加政府采购活动的供应商；</w:t>
      </w:r>
    </w:p>
    <w:p>
      <w:pPr>
        <w:pStyle w:val="null3"/>
      </w:pPr>
      <w:r>
        <w:rPr/>
        <w:t>9、供应商关联关系声明：供应商关联关系声明，包括：①控股管理关系（不得与参加本项目的其他投标单位负责人为同一人或者存在直接控股、管理关系），②未为本项目提供整体设计、规范编制或者项目管理、监理、检测等服务；供应商需在项目电子化交易系统中按要求提供相关证明材料并进行电子签章。</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陕西省福利彩票发行中心</w:t>
      </w:r>
    </w:p>
    <w:p>
      <w:pPr>
        <w:pStyle w:val="null3"/>
      </w:pPr>
      <w:r>
        <w:rPr/>
        <w:t xml:space="preserve"> 地址： </w:t>
      </w:r>
      <w:r>
        <w:rPr/>
        <w:t>西安市未央路副102号</w:t>
      </w:r>
    </w:p>
    <w:p>
      <w:pPr>
        <w:pStyle w:val="null3"/>
      </w:pPr>
      <w:r>
        <w:rPr/>
        <w:t xml:space="preserve"> 邮编： </w:t>
      </w:r>
      <w:r>
        <w:rPr/>
        <w:t>710016</w:t>
      </w:r>
    </w:p>
    <w:p>
      <w:pPr>
        <w:pStyle w:val="null3"/>
      </w:pPr>
      <w:r>
        <w:rPr/>
        <w:t xml:space="preserve"> 联系人： </w:t>
      </w:r>
      <w:r>
        <w:rPr/>
        <w:t>丁老师</w:t>
      </w:r>
    </w:p>
    <w:p>
      <w:pPr>
        <w:pStyle w:val="null3"/>
      </w:pPr>
      <w:r>
        <w:rPr/>
        <w:t xml:space="preserve"> 联系电话： </w:t>
      </w:r>
      <w:r>
        <w:rPr/>
        <w:t>029-65652532</w:t>
      </w:r>
    </w:p>
    <w:p>
      <w:pPr>
        <w:pStyle w:val="null3"/>
        <w:outlineLvl w:val="3"/>
      </w:pPr>
      <w:r>
        <w:rPr>
          <w:b/>
          <w:sz w:val="24"/>
        </w:rPr>
        <w:t>代理机构：</w:t>
      </w:r>
      <w:r>
        <w:rPr>
          <w:b/>
          <w:sz w:val="24"/>
        </w:rPr>
        <w:t>陕西德仁招标有限公司</w:t>
      </w:r>
    </w:p>
    <w:p>
      <w:pPr>
        <w:pStyle w:val="null3"/>
      </w:pPr>
      <w:r>
        <w:rPr/>
        <w:t xml:space="preserve"> 地址： </w:t>
      </w:r>
      <w:r>
        <w:rPr/>
        <w:t>西安市唐延路37号class公馆B栋1103室</w:t>
      </w:r>
    </w:p>
    <w:p>
      <w:pPr>
        <w:pStyle w:val="null3"/>
      </w:pPr>
      <w:r>
        <w:rPr/>
        <w:t xml:space="preserve"> 邮编： </w:t>
      </w:r>
      <w:r>
        <w:rPr/>
        <w:t>153224988@qq.com</w:t>
      </w:r>
    </w:p>
    <w:p>
      <w:pPr>
        <w:pStyle w:val="null3"/>
      </w:pPr>
      <w:r>
        <w:rPr/>
        <w:t xml:space="preserve"> 联系人： </w:t>
      </w:r>
      <w:r>
        <w:rPr/>
        <w:t>王春雨、王珊、韩钊</w:t>
      </w:r>
    </w:p>
    <w:p>
      <w:pPr>
        <w:pStyle w:val="null3"/>
      </w:pPr>
      <w:r>
        <w:rPr/>
        <w:t xml:space="preserve"> 联系电话： </w:t>
      </w:r>
      <w:r>
        <w:rPr/>
        <w:t>029-85565073</w:t>
      </w:r>
    </w:p>
    <w:p>
      <w:pPr>
        <w:pStyle w:val="null3"/>
        <w:outlineLvl w:val="3"/>
      </w:pPr>
      <w:r>
        <w:rPr>
          <w:b/>
          <w:sz w:val="24"/>
        </w:rPr>
        <w:t>采购监督机构：</w:t>
      </w:r>
      <w:r>
        <w:rPr>
          <w:b/>
          <w:sz w:val="24"/>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采购包1：650,000.00元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采购包1保证金金额：10,000.00元</w:t>
            </w:r>
          </w:p>
          <w:p>
            <w:pPr>
              <w:pStyle w:val="null3"/>
            </w:pPr>
            <w:r>
              <w:rPr/>
              <w:t>缴交渠道：转账、支票、汇票等（需通过实体账户、户名及开户行信息）</w:t>
            </w:r>
          </w:p>
          <w:p>
            <w:pPr>
              <w:pStyle w:val="null3"/>
            </w:pPr>
            <w:r>
              <w:rPr/>
              <w:t>开户名称：陕西德仁招标有限公司</w:t>
            </w:r>
          </w:p>
          <w:p>
            <w:pPr>
              <w:pStyle w:val="null3"/>
            </w:pPr>
            <w:r>
              <w:rPr/>
              <w:t>开户银行：建设银行西安含光南路支行</w:t>
            </w:r>
          </w:p>
          <w:p>
            <w:pPr>
              <w:pStyle w:val="null3"/>
            </w:pPr>
            <w:r>
              <w:rPr/>
              <w:t>银行账号：6105 0172 6500 0000 0081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中标人在领取《中标通知书》之前，向采购代理机构一次付清招标代理服务费。代理服务费参照发改办价格〔2015〕299号、国家计委关于印发《招标代理服务收费管理暂行办法》的通知（计价格〔2002〕1980号）、《国家发展和改革委员会办公厅关于招标代理服务收费有关问题的通知》（发改办价格〔2003〕857号）规定向中标（成交）供应商收取代理服务费。 代理费缴纳账户： 银行户名：陕西德仁招标有限公司 开户银行：招商银行股份有限公司西安城南支行 账 号：1299 0904 6810 901 联系人：苏会计 联系电话：029-89185132，邮箱：sxdrzb@qq.com</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陕西省福利彩票发行中心</w:t>
      </w:r>
      <w:r>
        <w:rPr/>
        <w:t>和</w:t>
      </w:r>
      <w:r>
        <w:rPr/>
        <w:t>陕西德仁招标有限公司</w:t>
      </w:r>
      <w:r>
        <w:rPr/>
        <w:t>享有。对磋商文件中供应商参加本次政府采购活动应当具备的条件，磋商项目技术、服务、商务及其他要求，评审细则及标准由</w:t>
      </w:r>
      <w:r>
        <w:rPr/>
        <w:t>陕西省福利彩票发行中心</w:t>
      </w:r>
      <w:r>
        <w:rPr/>
        <w:t>负责解释。除上述磋商文件内容，其他内容由</w:t>
      </w:r>
      <w:r>
        <w:rPr/>
        <w:t>陕西德仁招标有限公司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陕西省福利彩票发行中心</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陕西德仁招标有限公司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具体以最终签订的合同为准。</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陕西德仁招标有限公司</w:t>
      </w:r>
      <w:r>
        <w:rPr/>
        <w:t xml:space="preserve"> 负责答复；供应商对除采购需求外的采购文件的询问、质疑由</w:t>
      </w:r>
      <w:r>
        <w:rPr/>
        <w:t>陕西德仁招标有限公司</w:t>
      </w:r>
      <w:r>
        <w:rPr/>
        <w:t xml:space="preserve"> 负责答复；供应商对采购过程、采购结果的询问、质疑由 </w:t>
      </w:r>
      <w:r>
        <w:rPr/>
        <w:t>陕西德仁招标有限公司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联系人：王春雨、王珊、韩钊</w:t>
      </w:r>
    </w:p>
    <w:p>
      <w:pPr>
        <w:pStyle w:val="null3"/>
      </w:pPr>
      <w:r>
        <w:rPr/>
        <w:t>联系电话：029-85565073</w:t>
      </w:r>
    </w:p>
    <w:p>
      <w:pPr>
        <w:pStyle w:val="null3"/>
      </w:pPr>
      <w:r>
        <w:rPr/>
        <w:t>地址：西安市唐延路37号class公馆B栋1103室</w:t>
      </w:r>
    </w:p>
    <w:p>
      <w:pPr>
        <w:pStyle w:val="null3"/>
      </w:pPr>
      <w:r>
        <w:rPr/>
        <w:t>邮编：710065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为坚持双线并行工作方针，稳步推动我省福利彩票培训体系规范化、系统化、专业化建设，我中心拟继续开展“陕西福彩学院”培训服务项目采购工作。</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650,000.00</w:t>
      </w:r>
    </w:p>
    <w:p>
      <w:pPr>
        <w:pStyle w:val="null3"/>
      </w:pPr>
      <w:r>
        <w:rPr/>
        <w:t>采购包最高限价（元）: 650,000.00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线上培训平台使用授权及相关培训</w:t>
            </w:r>
          </w:p>
        </w:tc>
        <w:tc>
          <w:tcPr>
            <w:tcW w:type="dxa" w:w="831"/>
          </w:tcPr>
          <w:p>
            <w:pPr>
              <w:pStyle w:val="null3"/>
              <w:jc w:val="right"/>
            </w:pPr>
            <w:r>
              <w:rPr/>
              <w:t>1.00</w:t>
            </w:r>
          </w:p>
        </w:tc>
        <w:tc>
          <w:tcPr>
            <w:tcW w:type="dxa" w:w="831"/>
          </w:tcPr>
          <w:p>
            <w:pPr>
              <w:pStyle w:val="null3"/>
              <w:jc w:val="right"/>
            </w:pPr>
            <w:r>
              <w:rPr/>
              <w:t>650,000.00</w:t>
            </w:r>
          </w:p>
        </w:tc>
        <w:tc>
          <w:tcPr>
            <w:tcW w:type="dxa" w:w="831"/>
          </w:tcPr>
          <w:p>
            <w:pPr>
              <w:pStyle w:val="null3"/>
            </w:pPr>
            <w:r>
              <w:rPr/>
              <w:t>年</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标的名称：线上培训平台使用授权及相关培训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20"/>
              <w:jc w:val="left"/>
            </w:pPr>
            <w:r>
              <w:rPr>
                <w:rFonts w:ascii="宋体" w:hAnsi="宋体" w:cs="宋体" w:eastAsia="宋体"/>
                <w:color w:val="000000"/>
                <w:sz w:val="21"/>
              </w:rPr>
              <w:t>为坚持双线并行工作方针，稳步推动我省福利彩票培训体系规范化、系统化、专业化建设，我中心拟继续开展</w:t>
            </w:r>
            <w:r>
              <w:rPr>
                <w:rFonts w:ascii="宋体" w:hAnsi="宋体" w:cs="宋体" w:eastAsia="宋体"/>
                <w:color w:val="000000"/>
                <w:sz w:val="21"/>
              </w:rPr>
              <w:t>“陕西福彩学院”培训服务项目采购工作，详情如下</w:t>
            </w:r>
            <w:r>
              <w:rPr>
                <w:rFonts w:ascii="宋体" w:hAnsi="宋体" w:cs="宋体" w:eastAsia="宋体"/>
                <w:color w:val="000000"/>
                <w:sz w:val="21"/>
              </w:rPr>
              <w:t>。</w:t>
            </w:r>
          </w:p>
          <w:p>
            <w:pPr>
              <w:pStyle w:val="null3"/>
              <w:ind w:firstLine="420"/>
              <w:jc w:val="left"/>
            </w:pPr>
            <w:r>
              <w:rPr>
                <w:rFonts w:ascii="宋体" w:hAnsi="宋体" w:cs="宋体" w:eastAsia="宋体"/>
                <w:color w:val="000000"/>
                <w:sz w:val="21"/>
              </w:rPr>
              <w:t>一、采购标的</w:t>
            </w:r>
          </w:p>
          <w:p>
            <w:pPr>
              <w:pStyle w:val="null3"/>
              <w:ind w:firstLine="420"/>
              <w:jc w:val="left"/>
            </w:pPr>
            <w:r>
              <w:rPr>
                <w:rFonts w:ascii="宋体" w:hAnsi="宋体" w:cs="宋体" w:eastAsia="宋体"/>
                <w:color w:val="000000"/>
                <w:sz w:val="21"/>
              </w:rPr>
              <w:t>“陕西福彩学院”培训服务，包括培训平台、培训课程、培训讲师、运维服务等。</w:t>
            </w:r>
          </w:p>
          <w:p>
            <w:pPr>
              <w:pStyle w:val="null3"/>
              <w:ind w:firstLine="420"/>
              <w:jc w:val="left"/>
            </w:pPr>
            <w:r>
              <w:rPr>
                <w:rFonts w:ascii="宋体" w:hAnsi="宋体" w:cs="宋体" w:eastAsia="宋体"/>
                <w:color w:val="000000"/>
                <w:sz w:val="21"/>
              </w:rPr>
              <w:t>二、服务期限</w:t>
            </w:r>
          </w:p>
          <w:p>
            <w:pPr>
              <w:pStyle w:val="null3"/>
              <w:ind w:firstLine="420"/>
              <w:jc w:val="left"/>
            </w:pPr>
            <w:r>
              <w:rPr>
                <w:rFonts w:ascii="宋体" w:hAnsi="宋体" w:cs="宋体" w:eastAsia="宋体"/>
                <w:color w:val="000000"/>
                <w:sz w:val="21"/>
              </w:rPr>
              <w:t>1年．</w:t>
            </w:r>
          </w:p>
          <w:p>
            <w:pPr>
              <w:pStyle w:val="null3"/>
              <w:ind w:firstLine="420"/>
              <w:jc w:val="left"/>
            </w:pPr>
            <w:r>
              <w:rPr>
                <w:rFonts w:ascii="宋体" w:hAnsi="宋体" w:cs="宋体" w:eastAsia="宋体"/>
                <w:color w:val="000000"/>
                <w:sz w:val="21"/>
              </w:rPr>
              <w:t>三、项目预算</w:t>
            </w:r>
          </w:p>
          <w:p>
            <w:pPr>
              <w:pStyle w:val="null3"/>
              <w:ind w:firstLine="420"/>
              <w:jc w:val="left"/>
            </w:pPr>
            <w:r>
              <w:rPr>
                <w:rFonts w:ascii="宋体" w:hAnsi="宋体" w:cs="宋体" w:eastAsia="宋体"/>
                <w:color w:val="000000"/>
                <w:sz w:val="21"/>
              </w:rPr>
              <w:t>65万元．</w:t>
            </w:r>
          </w:p>
          <w:p>
            <w:pPr>
              <w:pStyle w:val="null3"/>
              <w:ind w:firstLine="420"/>
              <w:jc w:val="left"/>
            </w:pPr>
            <w:r>
              <w:rPr>
                <w:rFonts w:ascii="宋体" w:hAnsi="宋体" w:cs="宋体" w:eastAsia="宋体"/>
                <w:color w:val="000000"/>
                <w:sz w:val="21"/>
              </w:rPr>
              <w:t>四、服务内容</w:t>
            </w:r>
          </w:p>
          <w:p>
            <w:pPr>
              <w:pStyle w:val="null3"/>
              <w:ind w:firstLine="420"/>
              <w:jc w:val="left"/>
            </w:pPr>
            <w:r>
              <w:rPr>
                <w:rFonts w:ascii="宋体" w:hAnsi="宋体" w:cs="宋体" w:eastAsia="宋体"/>
                <w:color w:val="000000"/>
                <w:sz w:val="21"/>
              </w:rPr>
              <w:t>（一）提供能够满足我省当前线上培训业务需求的培训平台或载体一套，在项目期内提供相应的运营、维护及培训服务，并针对本省培训资源数据化管理等业务需求，在现有平台基础上进行小规模定制研发。</w:t>
            </w:r>
          </w:p>
          <w:p>
            <w:pPr>
              <w:pStyle w:val="null3"/>
              <w:ind w:firstLine="420"/>
              <w:jc w:val="left"/>
            </w:pPr>
            <w:r>
              <w:rPr>
                <w:rFonts w:ascii="宋体" w:hAnsi="宋体" w:cs="宋体" w:eastAsia="宋体"/>
                <w:color w:val="000000"/>
                <w:sz w:val="21"/>
              </w:rPr>
              <w:t>（二）项目执行期间，每周提供</w:t>
            </w:r>
            <w:r>
              <w:rPr>
                <w:rFonts w:ascii="宋体" w:hAnsi="宋体" w:cs="宋体" w:eastAsia="宋体"/>
                <w:color w:val="000000"/>
                <w:sz w:val="21"/>
              </w:rPr>
              <w:t>2部视频微课，内容涵盖党政学习、安全生产教育、福彩全票种销售技巧、营销策略、彩民服务、政策法规等，全年不少于100部，单课时长不低于3分钟。</w:t>
            </w:r>
          </w:p>
          <w:p>
            <w:pPr>
              <w:pStyle w:val="null3"/>
              <w:ind w:firstLine="420"/>
              <w:jc w:val="left"/>
            </w:pPr>
            <w:r>
              <w:rPr>
                <w:rFonts w:ascii="宋体" w:hAnsi="宋体" w:cs="宋体" w:eastAsia="宋体"/>
                <w:color w:val="000000"/>
                <w:sz w:val="21"/>
              </w:rPr>
              <w:t>（三）项目执行期间，每月提供</w:t>
            </w:r>
            <w:r>
              <w:rPr>
                <w:rFonts w:ascii="宋体" w:hAnsi="宋体" w:cs="宋体" w:eastAsia="宋体"/>
                <w:color w:val="000000"/>
                <w:sz w:val="21"/>
              </w:rPr>
              <w:t>1场线上直播培训课程，并为中、省各类营销、派奖及推广活动提供直播培训服务，项目期内不少于12场，单场时长不低于1小时。</w:t>
            </w:r>
          </w:p>
          <w:p>
            <w:pPr>
              <w:pStyle w:val="null3"/>
              <w:ind w:firstLine="420"/>
              <w:jc w:val="left"/>
            </w:pPr>
            <w:r>
              <w:rPr>
                <w:rFonts w:ascii="宋体" w:hAnsi="宋体" w:cs="宋体" w:eastAsia="宋体"/>
                <w:color w:val="000000"/>
                <w:sz w:val="21"/>
              </w:rPr>
              <w:t>（四）项目执行期间，提供</w:t>
            </w:r>
            <w:r>
              <w:rPr>
                <w:rFonts w:ascii="宋体" w:hAnsi="宋体" w:cs="宋体" w:eastAsia="宋体"/>
                <w:color w:val="000000"/>
                <w:sz w:val="21"/>
              </w:rPr>
              <w:t>36场线下邀请培训，服务内容包括课程策划、行程安排、讲师邀请、讲师交通食宿、课酬支付等，单场时长不低于2小时。</w:t>
            </w:r>
          </w:p>
          <w:p>
            <w:pPr>
              <w:pStyle w:val="null3"/>
              <w:ind w:firstLine="420"/>
              <w:jc w:val="left"/>
            </w:pPr>
            <w:r>
              <w:rPr>
                <w:rFonts w:ascii="宋体" w:hAnsi="宋体" w:cs="宋体" w:eastAsia="宋体"/>
                <w:color w:val="000000"/>
                <w:sz w:val="21"/>
              </w:rPr>
              <w:t>（五）项目执行期间，为各类重大营销、宣传、培训活动制作</w:t>
            </w:r>
            <w:r>
              <w:rPr>
                <w:rFonts w:ascii="宋体" w:hAnsi="宋体" w:cs="宋体" w:eastAsia="宋体"/>
                <w:color w:val="000000"/>
                <w:sz w:val="21"/>
              </w:rPr>
              <w:t>MG动画视频，全年不少于5部。</w:t>
            </w:r>
          </w:p>
          <w:p>
            <w:pPr>
              <w:pStyle w:val="null3"/>
              <w:ind w:firstLine="420"/>
              <w:jc w:val="left"/>
            </w:pPr>
            <w:r>
              <w:rPr>
                <w:rFonts w:ascii="宋体" w:hAnsi="宋体" w:cs="宋体" w:eastAsia="宋体"/>
                <w:color w:val="000000"/>
                <w:sz w:val="21"/>
              </w:rPr>
              <w:t>（六）项目执行期间，结合我省福彩行业发展规划与市场需求，针对性开展原创课程研发活动，全年预计研发</w:t>
            </w:r>
            <w:r>
              <w:rPr>
                <w:rFonts w:ascii="宋体" w:hAnsi="宋体" w:cs="宋体" w:eastAsia="宋体"/>
                <w:color w:val="000000"/>
                <w:sz w:val="21"/>
              </w:rPr>
              <w:t>50门课程。</w:t>
            </w:r>
          </w:p>
          <w:p>
            <w:pPr>
              <w:pStyle w:val="null3"/>
              <w:ind w:firstLine="420"/>
              <w:jc w:val="left"/>
            </w:pPr>
            <w:r>
              <w:rPr>
                <w:rFonts w:ascii="宋体" w:hAnsi="宋体" w:cs="宋体" w:eastAsia="宋体"/>
                <w:color w:val="000000"/>
                <w:sz w:val="21"/>
              </w:rPr>
              <w:t>（七）项目执行期间，为中心开展的各类线上线下培训提供课程美化及设计服务。</w:t>
            </w:r>
          </w:p>
          <w:p>
            <w:pPr>
              <w:pStyle w:val="null3"/>
              <w:ind w:firstLine="420"/>
              <w:jc w:val="left"/>
            </w:pPr>
            <w:r>
              <w:rPr>
                <w:rFonts w:ascii="宋体" w:hAnsi="宋体" w:cs="宋体" w:eastAsia="宋体"/>
                <w:color w:val="000000"/>
                <w:sz w:val="21"/>
              </w:rPr>
              <w:t>（八）项目执行期间，为全省培训业务专员及培训师提供为期三天的</w:t>
            </w:r>
            <w:r>
              <w:rPr>
                <w:rFonts w:ascii="宋体" w:hAnsi="宋体" w:cs="宋体" w:eastAsia="宋体"/>
                <w:color w:val="000000"/>
                <w:sz w:val="21"/>
              </w:rPr>
              <w:t>TTT培训服务（含报到、离会），预计培训人数80人。</w:t>
            </w:r>
          </w:p>
          <w:p>
            <w:pPr>
              <w:pStyle w:val="null3"/>
              <w:ind w:firstLine="420"/>
              <w:jc w:val="left"/>
            </w:pPr>
            <w:r>
              <w:rPr>
                <w:rFonts w:ascii="宋体" w:hAnsi="宋体" w:cs="宋体" w:eastAsia="宋体"/>
                <w:color w:val="000000"/>
                <w:sz w:val="21"/>
              </w:rPr>
              <w:t>五、培训平台技术参数</w:t>
            </w:r>
          </w:p>
          <w:p>
            <w:pPr>
              <w:pStyle w:val="null3"/>
              <w:ind w:firstLine="420"/>
              <w:jc w:val="left"/>
            </w:pPr>
            <w:r>
              <w:rPr>
                <w:rFonts w:ascii="宋体" w:hAnsi="宋体" w:cs="宋体" w:eastAsia="宋体"/>
                <w:color w:val="000000"/>
                <w:sz w:val="21"/>
              </w:rPr>
              <w:t>前端（用户端）</w:t>
            </w:r>
          </w:p>
          <w:p>
            <w:pPr>
              <w:pStyle w:val="null3"/>
              <w:ind w:firstLine="420"/>
              <w:jc w:val="left"/>
            </w:pPr>
            <w:r>
              <w:rPr>
                <w:rFonts w:ascii="宋体" w:hAnsi="宋体" w:cs="宋体" w:eastAsia="宋体"/>
                <w:color w:val="000000"/>
                <w:sz w:val="21"/>
              </w:rPr>
              <w:t>1、用户登录</w:t>
            </w:r>
          </w:p>
          <w:p>
            <w:pPr>
              <w:pStyle w:val="null3"/>
              <w:ind w:firstLine="420"/>
              <w:jc w:val="left"/>
            </w:pPr>
            <w:r>
              <w:rPr>
                <w:rFonts w:ascii="宋体" w:hAnsi="宋体" w:cs="宋体" w:eastAsia="宋体"/>
                <w:color w:val="000000"/>
                <w:sz w:val="21"/>
              </w:rPr>
              <w:t>（</w:t>
            </w:r>
            <w:r>
              <w:rPr>
                <w:rFonts w:ascii="宋体" w:hAnsi="宋体" w:cs="宋体" w:eastAsia="宋体"/>
                <w:color w:val="000000"/>
                <w:sz w:val="21"/>
              </w:rPr>
              <w:t>1）支持各类主流移动端设备、PC端常见浏览器。</w:t>
            </w:r>
          </w:p>
          <w:p>
            <w:pPr>
              <w:pStyle w:val="null3"/>
              <w:ind w:firstLine="420"/>
              <w:jc w:val="left"/>
            </w:pPr>
            <w:r>
              <w:rPr>
                <w:rFonts w:ascii="宋体" w:hAnsi="宋体" w:cs="宋体" w:eastAsia="宋体"/>
                <w:color w:val="000000"/>
                <w:sz w:val="21"/>
              </w:rPr>
              <w:t>（</w:t>
            </w:r>
            <w:r>
              <w:rPr>
                <w:rFonts w:ascii="宋体" w:hAnsi="宋体" w:cs="宋体" w:eastAsia="宋体"/>
                <w:color w:val="000000"/>
                <w:sz w:val="21"/>
              </w:rPr>
              <w:t>2）支持不依托于浏览器的密码保存和自动登录功能。</w:t>
            </w:r>
          </w:p>
          <w:p>
            <w:pPr>
              <w:pStyle w:val="null3"/>
              <w:ind w:firstLine="420"/>
              <w:jc w:val="left"/>
            </w:pPr>
            <w:r>
              <w:rPr>
                <w:rFonts w:ascii="宋体" w:hAnsi="宋体" w:cs="宋体" w:eastAsia="宋体"/>
                <w:color w:val="000000"/>
                <w:sz w:val="21"/>
              </w:rPr>
              <w:t>（</w:t>
            </w:r>
            <w:r>
              <w:rPr>
                <w:rFonts w:ascii="宋体" w:hAnsi="宋体" w:cs="宋体" w:eastAsia="宋体"/>
                <w:color w:val="000000"/>
                <w:sz w:val="21"/>
              </w:rPr>
              <w:t>3）用户登录后，可自行修改登录密码。</w:t>
            </w:r>
          </w:p>
          <w:p>
            <w:pPr>
              <w:pStyle w:val="null3"/>
              <w:ind w:firstLine="420"/>
              <w:jc w:val="left"/>
            </w:pPr>
            <w:r>
              <w:rPr>
                <w:rFonts w:ascii="宋体" w:hAnsi="宋体" w:cs="宋体" w:eastAsia="宋体"/>
                <w:color w:val="000000"/>
                <w:sz w:val="21"/>
              </w:rPr>
              <w:t>2、游客访问</w:t>
            </w:r>
          </w:p>
          <w:p>
            <w:pPr>
              <w:pStyle w:val="null3"/>
              <w:ind w:firstLine="420"/>
              <w:jc w:val="left"/>
            </w:pPr>
            <w:r>
              <w:rPr>
                <w:rFonts w:ascii="宋体" w:hAnsi="宋体" w:cs="宋体" w:eastAsia="宋体"/>
                <w:color w:val="000000"/>
                <w:sz w:val="21"/>
              </w:rPr>
              <w:t>（</w:t>
            </w:r>
            <w:r>
              <w:rPr>
                <w:rFonts w:ascii="宋体" w:hAnsi="宋体" w:cs="宋体" w:eastAsia="宋体"/>
                <w:color w:val="000000"/>
                <w:sz w:val="21"/>
              </w:rPr>
              <w:t>1）用户无需登录即可直接访问平台并获得游客等级的浏览权限。</w:t>
            </w:r>
          </w:p>
          <w:p>
            <w:pPr>
              <w:pStyle w:val="null3"/>
              <w:ind w:firstLine="420"/>
              <w:jc w:val="left"/>
            </w:pPr>
            <w:r>
              <w:rPr>
                <w:rFonts w:ascii="宋体" w:hAnsi="宋体" w:cs="宋体" w:eastAsia="宋体"/>
                <w:color w:val="000000"/>
                <w:sz w:val="21"/>
              </w:rPr>
              <w:t>（</w:t>
            </w:r>
            <w:r>
              <w:rPr>
                <w:rFonts w:ascii="宋体" w:hAnsi="宋体" w:cs="宋体" w:eastAsia="宋体"/>
                <w:color w:val="000000"/>
                <w:sz w:val="21"/>
              </w:rPr>
              <w:t>2）访问超出游客权限的内容时则提示用户登录。</w:t>
            </w:r>
          </w:p>
          <w:p>
            <w:pPr>
              <w:pStyle w:val="null3"/>
              <w:ind w:firstLine="420"/>
              <w:jc w:val="left"/>
            </w:pPr>
            <w:r>
              <w:rPr>
                <w:rFonts w:ascii="宋体" w:hAnsi="宋体" w:cs="宋体" w:eastAsia="宋体"/>
                <w:color w:val="000000"/>
                <w:sz w:val="21"/>
              </w:rPr>
              <w:t>3、外部访问</w:t>
            </w:r>
          </w:p>
          <w:p>
            <w:pPr>
              <w:pStyle w:val="null3"/>
              <w:ind w:firstLine="420"/>
              <w:jc w:val="left"/>
            </w:pPr>
            <w:r>
              <w:rPr>
                <w:rFonts w:ascii="宋体" w:hAnsi="宋体" w:cs="宋体" w:eastAsia="宋体"/>
                <w:color w:val="000000"/>
                <w:sz w:val="21"/>
              </w:rPr>
              <w:t>（</w:t>
            </w:r>
            <w:r>
              <w:rPr>
                <w:rFonts w:ascii="宋体" w:hAnsi="宋体" w:cs="宋体" w:eastAsia="宋体"/>
                <w:color w:val="000000"/>
                <w:sz w:val="21"/>
              </w:rPr>
              <w:t>1）用户可通过独立发布的课程链接、二维码访问或登录平台。</w:t>
            </w:r>
          </w:p>
          <w:p>
            <w:pPr>
              <w:pStyle w:val="null3"/>
              <w:ind w:firstLine="420"/>
              <w:jc w:val="left"/>
            </w:pPr>
            <w:r>
              <w:rPr>
                <w:rFonts w:ascii="宋体" w:hAnsi="宋体" w:cs="宋体" w:eastAsia="宋体"/>
                <w:color w:val="000000"/>
                <w:sz w:val="21"/>
              </w:rPr>
              <w:t>（</w:t>
            </w:r>
            <w:r>
              <w:rPr>
                <w:rFonts w:ascii="宋体" w:hAnsi="宋体" w:cs="宋体" w:eastAsia="宋体"/>
                <w:color w:val="000000"/>
                <w:sz w:val="21"/>
              </w:rPr>
              <w:t>2）用户可通过陕西福彩微信公众号、陕西福利彩票APP中嵌入的平台链接访问或登录平台。</w:t>
            </w:r>
          </w:p>
          <w:p>
            <w:pPr>
              <w:pStyle w:val="null3"/>
              <w:ind w:firstLine="420"/>
              <w:jc w:val="left"/>
            </w:pPr>
            <w:r>
              <w:rPr>
                <w:rFonts w:ascii="宋体" w:hAnsi="宋体" w:cs="宋体" w:eastAsia="宋体"/>
                <w:color w:val="000000"/>
                <w:sz w:val="21"/>
              </w:rPr>
              <w:t>4、课程直播</w:t>
            </w:r>
          </w:p>
          <w:p>
            <w:pPr>
              <w:pStyle w:val="null3"/>
              <w:ind w:firstLine="420"/>
              <w:jc w:val="left"/>
            </w:pPr>
            <w:r>
              <w:rPr>
                <w:rFonts w:ascii="宋体" w:hAnsi="宋体" w:cs="宋体" w:eastAsia="宋体"/>
                <w:color w:val="000000"/>
                <w:sz w:val="21"/>
              </w:rPr>
              <w:t>（</w:t>
            </w:r>
            <w:r>
              <w:rPr>
                <w:rFonts w:ascii="宋体" w:hAnsi="宋体" w:cs="宋体" w:eastAsia="宋体"/>
                <w:color w:val="000000"/>
                <w:sz w:val="21"/>
              </w:rPr>
              <w:t>1）用户可在直播时间内进入符合自身权限级别的直播间参与学习。</w:t>
            </w:r>
          </w:p>
          <w:p>
            <w:pPr>
              <w:pStyle w:val="null3"/>
              <w:ind w:firstLine="420"/>
              <w:jc w:val="left"/>
            </w:pPr>
            <w:r>
              <w:rPr>
                <w:rFonts w:ascii="宋体" w:hAnsi="宋体" w:cs="宋体" w:eastAsia="宋体"/>
                <w:color w:val="000000"/>
                <w:sz w:val="21"/>
              </w:rPr>
              <w:t>（</w:t>
            </w:r>
            <w:r>
              <w:rPr>
                <w:rFonts w:ascii="宋体" w:hAnsi="宋体" w:cs="宋体" w:eastAsia="宋体"/>
                <w:color w:val="000000"/>
                <w:sz w:val="21"/>
              </w:rPr>
              <w:t>2）登录用户可通过留言、语音等方式与讲师或工作人员互动，游客不可进行互动。</w:t>
            </w:r>
          </w:p>
          <w:p>
            <w:pPr>
              <w:pStyle w:val="null3"/>
              <w:ind w:firstLine="420"/>
              <w:jc w:val="left"/>
            </w:pPr>
            <w:r>
              <w:rPr>
                <w:rFonts w:ascii="宋体" w:hAnsi="宋体" w:cs="宋体" w:eastAsia="宋体"/>
                <w:color w:val="000000"/>
                <w:sz w:val="21"/>
              </w:rPr>
              <w:t>（</w:t>
            </w:r>
            <w:r>
              <w:rPr>
                <w:rFonts w:ascii="宋体" w:hAnsi="宋体" w:cs="宋体" w:eastAsia="宋体"/>
                <w:color w:val="000000"/>
                <w:sz w:val="21"/>
              </w:rPr>
              <w:t>3）直播最大并发数不低于10000。</w:t>
            </w:r>
          </w:p>
          <w:p>
            <w:pPr>
              <w:pStyle w:val="null3"/>
              <w:ind w:firstLine="420"/>
              <w:jc w:val="left"/>
            </w:pPr>
            <w:r>
              <w:rPr>
                <w:rFonts w:ascii="宋体" w:hAnsi="宋体" w:cs="宋体" w:eastAsia="宋体"/>
                <w:color w:val="000000"/>
                <w:sz w:val="21"/>
              </w:rPr>
              <w:t>（</w:t>
            </w:r>
            <w:r>
              <w:rPr>
                <w:rFonts w:ascii="宋体" w:hAnsi="宋体" w:cs="宋体" w:eastAsia="宋体"/>
                <w:color w:val="000000"/>
                <w:sz w:val="21"/>
              </w:rPr>
              <w:t>4）支持720P或更高的直播分辨率。</w:t>
            </w:r>
          </w:p>
          <w:p>
            <w:pPr>
              <w:pStyle w:val="null3"/>
              <w:ind w:firstLine="420"/>
              <w:jc w:val="left"/>
            </w:pPr>
            <w:r>
              <w:rPr>
                <w:rFonts w:ascii="宋体" w:hAnsi="宋体" w:cs="宋体" w:eastAsia="宋体"/>
                <w:color w:val="000000"/>
                <w:sz w:val="21"/>
              </w:rPr>
              <w:t>（</w:t>
            </w:r>
            <w:r>
              <w:rPr>
                <w:rFonts w:ascii="宋体" w:hAnsi="宋体" w:cs="宋体" w:eastAsia="宋体"/>
                <w:color w:val="000000"/>
                <w:sz w:val="21"/>
              </w:rPr>
              <w:t>5）直播完成后自动转化为权限等级相同的点播课程。</w:t>
            </w:r>
          </w:p>
          <w:p>
            <w:pPr>
              <w:pStyle w:val="null3"/>
              <w:ind w:firstLine="420"/>
              <w:jc w:val="left"/>
            </w:pPr>
            <w:r>
              <w:rPr>
                <w:rFonts w:ascii="宋体" w:hAnsi="宋体" w:cs="宋体" w:eastAsia="宋体"/>
                <w:color w:val="000000"/>
                <w:sz w:val="21"/>
              </w:rPr>
              <w:t>5、课程点播</w:t>
            </w:r>
          </w:p>
          <w:p>
            <w:pPr>
              <w:pStyle w:val="null3"/>
              <w:ind w:firstLine="420"/>
              <w:jc w:val="left"/>
            </w:pPr>
            <w:r>
              <w:rPr>
                <w:rFonts w:ascii="宋体" w:hAnsi="宋体" w:cs="宋体" w:eastAsia="宋体"/>
                <w:color w:val="000000"/>
                <w:sz w:val="21"/>
              </w:rPr>
              <w:t>（</w:t>
            </w:r>
            <w:r>
              <w:rPr>
                <w:rFonts w:ascii="宋体" w:hAnsi="宋体" w:cs="宋体" w:eastAsia="宋体"/>
                <w:color w:val="000000"/>
                <w:sz w:val="21"/>
              </w:rPr>
              <w:t>1）任意用户可在任意时间浏览符合自身权限级别的点播课程。</w:t>
            </w:r>
          </w:p>
          <w:p>
            <w:pPr>
              <w:pStyle w:val="null3"/>
              <w:ind w:firstLine="420"/>
              <w:jc w:val="left"/>
            </w:pPr>
            <w:r>
              <w:rPr>
                <w:rFonts w:ascii="宋体" w:hAnsi="宋体" w:cs="宋体" w:eastAsia="宋体"/>
                <w:color w:val="000000"/>
                <w:sz w:val="21"/>
              </w:rPr>
              <w:t>（</w:t>
            </w:r>
            <w:r>
              <w:rPr>
                <w:rFonts w:ascii="宋体" w:hAnsi="宋体" w:cs="宋体" w:eastAsia="宋体"/>
                <w:color w:val="000000"/>
                <w:sz w:val="21"/>
              </w:rPr>
              <w:t>2）最大并发数不低于20000。</w:t>
            </w:r>
          </w:p>
          <w:p>
            <w:pPr>
              <w:pStyle w:val="null3"/>
              <w:ind w:firstLine="420"/>
              <w:jc w:val="left"/>
            </w:pPr>
            <w:r>
              <w:rPr>
                <w:rFonts w:ascii="宋体" w:hAnsi="宋体" w:cs="宋体" w:eastAsia="宋体"/>
                <w:color w:val="000000"/>
                <w:sz w:val="21"/>
              </w:rPr>
              <w:t>（</w:t>
            </w:r>
            <w:r>
              <w:rPr>
                <w:rFonts w:ascii="宋体" w:hAnsi="宋体" w:cs="宋体" w:eastAsia="宋体"/>
                <w:color w:val="000000"/>
                <w:sz w:val="21"/>
              </w:rPr>
              <w:t>3）支持720P或更高的视频分辨率。</w:t>
            </w:r>
          </w:p>
          <w:p>
            <w:pPr>
              <w:pStyle w:val="null3"/>
              <w:ind w:firstLine="420"/>
              <w:jc w:val="left"/>
            </w:pPr>
            <w:r>
              <w:rPr>
                <w:rFonts w:ascii="宋体" w:hAnsi="宋体" w:cs="宋体" w:eastAsia="宋体"/>
                <w:color w:val="000000"/>
                <w:sz w:val="21"/>
              </w:rPr>
              <w:t>6、课程评论</w:t>
            </w:r>
          </w:p>
          <w:p>
            <w:pPr>
              <w:pStyle w:val="null3"/>
              <w:ind w:firstLine="420"/>
              <w:jc w:val="left"/>
            </w:pPr>
            <w:r>
              <w:rPr>
                <w:rFonts w:ascii="宋体" w:hAnsi="宋体" w:cs="宋体" w:eastAsia="宋体"/>
                <w:color w:val="000000"/>
                <w:sz w:val="21"/>
              </w:rPr>
              <w:t>（</w:t>
            </w:r>
            <w:r>
              <w:rPr>
                <w:rFonts w:ascii="宋体" w:hAnsi="宋体" w:cs="宋体" w:eastAsia="宋体"/>
                <w:color w:val="000000"/>
                <w:sz w:val="21"/>
              </w:rPr>
              <w:t>1）用户可对自身观看达一定时长比例的直播、点播课程进行打分评价。</w:t>
            </w:r>
          </w:p>
          <w:p>
            <w:pPr>
              <w:pStyle w:val="null3"/>
              <w:ind w:firstLine="420"/>
              <w:jc w:val="left"/>
            </w:pPr>
            <w:r>
              <w:rPr>
                <w:rFonts w:ascii="宋体" w:hAnsi="宋体" w:cs="宋体" w:eastAsia="宋体"/>
                <w:color w:val="000000"/>
                <w:sz w:val="21"/>
              </w:rPr>
              <w:t>（</w:t>
            </w:r>
            <w:r>
              <w:rPr>
                <w:rFonts w:ascii="宋体" w:hAnsi="宋体" w:cs="宋体" w:eastAsia="宋体"/>
                <w:color w:val="000000"/>
                <w:sz w:val="21"/>
              </w:rPr>
              <w:t>2）用户不可对未观看过的课程进行评价。</w:t>
            </w:r>
          </w:p>
          <w:p>
            <w:pPr>
              <w:pStyle w:val="null3"/>
              <w:ind w:firstLine="420"/>
              <w:jc w:val="left"/>
            </w:pPr>
            <w:r>
              <w:rPr>
                <w:rFonts w:ascii="宋体" w:hAnsi="宋体" w:cs="宋体" w:eastAsia="宋体"/>
                <w:color w:val="000000"/>
                <w:sz w:val="21"/>
              </w:rPr>
              <w:t>7、线上考核</w:t>
            </w:r>
          </w:p>
          <w:p>
            <w:pPr>
              <w:pStyle w:val="null3"/>
              <w:ind w:firstLine="420"/>
              <w:jc w:val="left"/>
            </w:pPr>
            <w:r>
              <w:rPr>
                <w:rFonts w:ascii="宋体" w:hAnsi="宋体" w:cs="宋体" w:eastAsia="宋体"/>
                <w:color w:val="000000"/>
                <w:sz w:val="21"/>
              </w:rPr>
              <w:t>（</w:t>
            </w:r>
            <w:r>
              <w:rPr>
                <w:rFonts w:ascii="宋体" w:hAnsi="宋体" w:cs="宋体" w:eastAsia="宋体"/>
                <w:color w:val="000000"/>
                <w:sz w:val="21"/>
              </w:rPr>
              <w:t>1）用户登录后，可以查看并参与符合自身权限级别的线上练习。</w:t>
            </w:r>
          </w:p>
          <w:p>
            <w:pPr>
              <w:pStyle w:val="null3"/>
              <w:ind w:firstLine="420"/>
              <w:jc w:val="left"/>
            </w:pPr>
            <w:r>
              <w:rPr>
                <w:rFonts w:ascii="宋体" w:hAnsi="宋体" w:cs="宋体" w:eastAsia="宋体"/>
                <w:color w:val="000000"/>
                <w:sz w:val="21"/>
              </w:rPr>
              <w:t>（</w:t>
            </w:r>
            <w:r>
              <w:rPr>
                <w:rFonts w:ascii="宋体" w:hAnsi="宋体" w:cs="宋体" w:eastAsia="宋体"/>
                <w:color w:val="000000"/>
                <w:sz w:val="21"/>
              </w:rPr>
              <w:t>2）练习完成后可以查看错题与正确答案。</w:t>
            </w:r>
          </w:p>
          <w:p>
            <w:pPr>
              <w:pStyle w:val="null3"/>
              <w:ind w:firstLine="420"/>
              <w:jc w:val="left"/>
            </w:pPr>
            <w:r>
              <w:rPr>
                <w:rFonts w:ascii="宋体" w:hAnsi="宋体" w:cs="宋体" w:eastAsia="宋体"/>
                <w:color w:val="000000"/>
                <w:sz w:val="21"/>
              </w:rPr>
              <w:t>（</w:t>
            </w:r>
            <w:r>
              <w:rPr>
                <w:rFonts w:ascii="宋体" w:hAnsi="宋体" w:cs="宋体" w:eastAsia="宋体"/>
                <w:color w:val="000000"/>
                <w:sz w:val="21"/>
              </w:rPr>
              <w:t>3）用户可在指定的考试时间内登录平台参与各级管理机构组织的在线考核。</w:t>
            </w:r>
          </w:p>
          <w:p>
            <w:pPr>
              <w:pStyle w:val="null3"/>
              <w:ind w:firstLine="420"/>
              <w:jc w:val="left"/>
            </w:pPr>
            <w:r>
              <w:rPr>
                <w:rFonts w:ascii="宋体" w:hAnsi="宋体" w:cs="宋体" w:eastAsia="宋体"/>
                <w:color w:val="000000"/>
                <w:sz w:val="21"/>
              </w:rPr>
              <w:t>（</w:t>
            </w:r>
            <w:r>
              <w:rPr>
                <w:rFonts w:ascii="宋体" w:hAnsi="宋体" w:cs="宋体" w:eastAsia="宋体"/>
                <w:color w:val="000000"/>
                <w:sz w:val="21"/>
              </w:rPr>
              <w:t>4）考核完成后可以查看自身已完成的试卷。</w:t>
            </w:r>
          </w:p>
          <w:p>
            <w:pPr>
              <w:pStyle w:val="null3"/>
              <w:ind w:firstLine="420"/>
              <w:jc w:val="left"/>
            </w:pPr>
            <w:r>
              <w:rPr>
                <w:rFonts w:ascii="宋体" w:hAnsi="宋体" w:cs="宋体" w:eastAsia="宋体"/>
                <w:color w:val="000000"/>
                <w:sz w:val="21"/>
              </w:rPr>
              <w:t>8、线上调研</w:t>
            </w:r>
          </w:p>
          <w:p>
            <w:pPr>
              <w:pStyle w:val="null3"/>
              <w:ind w:firstLine="420"/>
              <w:jc w:val="left"/>
            </w:pPr>
            <w:r>
              <w:rPr>
                <w:rFonts w:ascii="宋体" w:hAnsi="宋体" w:cs="宋体" w:eastAsia="宋体"/>
                <w:color w:val="000000"/>
                <w:sz w:val="21"/>
              </w:rPr>
              <w:t>游客和登录用户均可参与符合自身权限级别的在线问卷调查。</w:t>
            </w:r>
          </w:p>
          <w:p>
            <w:pPr>
              <w:pStyle w:val="null3"/>
              <w:ind w:firstLine="420"/>
              <w:jc w:val="left"/>
            </w:pPr>
            <w:r>
              <w:rPr>
                <w:rFonts w:ascii="宋体" w:hAnsi="宋体" w:cs="宋体" w:eastAsia="宋体"/>
                <w:color w:val="000000"/>
                <w:sz w:val="21"/>
              </w:rPr>
              <w:t>9、任务接收</w:t>
            </w:r>
          </w:p>
          <w:p>
            <w:pPr>
              <w:pStyle w:val="null3"/>
              <w:ind w:firstLine="420"/>
              <w:jc w:val="left"/>
            </w:pPr>
            <w:r>
              <w:rPr>
                <w:rFonts w:ascii="宋体" w:hAnsi="宋体" w:cs="宋体" w:eastAsia="宋体"/>
                <w:color w:val="000000"/>
                <w:sz w:val="21"/>
              </w:rPr>
              <w:t>（</w:t>
            </w:r>
            <w:r>
              <w:rPr>
                <w:rFonts w:ascii="宋体" w:hAnsi="宋体" w:cs="宋体" w:eastAsia="宋体"/>
                <w:color w:val="000000"/>
                <w:sz w:val="21"/>
              </w:rPr>
              <w:t>1）用户登录后可接收并查看各级管理员分配的学习、考核、问卷调查等任务。</w:t>
            </w:r>
          </w:p>
          <w:p>
            <w:pPr>
              <w:pStyle w:val="null3"/>
              <w:ind w:firstLine="420"/>
              <w:jc w:val="left"/>
            </w:pPr>
            <w:r>
              <w:rPr>
                <w:rFonts w:ascii="宋体" w:hAnsi="宋体" w:cs="宋体" w:eastAsia="宋体"/>
                <w:color w:val="000000"/>
                <w:sz w:val="21"/>
              </w:rPr>
              <w:t>（</w:t>
            </w:r>
            <w:r>
              <w:rPr>
                <w:rFonts w:ascii="宋体" w:hAnsi="宋体" w:cs="宋体" w:eastAsia="宋体"/>
                <w:color w:val="000000"/>
                <w:sz w:val="21"/>
              </w:rPr>
              <w:t>2）用户能够查看自身每项任务的完成情况、当前进度和任务期限。</w:t>
            </w:r>
          </w:p>
          <w:p>
            <w:pPr>
              <w:pStyle w:val="null3"/>
              <w:ind w:firstLine="420"/>
              <w:jc w:val="left"/>
            </w:pPr>
            <w:r>
              <w:rPr>
                <w:rFonts w:ascii="宋体" w:hAnsi="宋体" w:cs="宋体" w:eastAsia="宋体"/>
                <w:color w:val="000000"/>
                <w:sz w:val="21"/>
              </w:rPr>
              <w:t>10、积分获取</w:t>
            </w:r>
          </w:p>
          <w:p>
            <w:pPr>
              <w:pStyle w:val="null3"/>
              <w:ind w:firstLine="420"/>
              <w:jc w:val="left"/>
            </w:pPr>
            <w:r>
              <w:rPr>
                <w:rFonts w:ascii="宋体" w:hAnsi="宋体" w:cs="宋体" w:eastAsia="宋体"/>
                <w:color w:val="000000"/>
                <w:sz w:val="21"/>
              </w:rPr>
              <w:t>用户登录后，可通过后台设置的各项任务获取相应平台积分，并可随时查看自己的积分。</w:t>
            </w:r>
          </w:p>
          <w:p>
            <w:pPr>
              <w:pStyle w:val="null3"/>
              <w:ind w:firstLine="420"/>
              <w:jc w:val="left"/>
            </w:pPr>
            <w:r>
              <w:rPr>
                <w:rFonts w:ascii="宋体" w:hAnsi="宋体" w:cs="宋体" w:eastAsia="宋体"/>
                <w:color w:val="000000"/>
                <w:sz w:val="21"/>
              </w:rPr>
              <w:t>后台（管理端）</w:t>
            </w:r>
          </w:p>
          <w:p>
            <w:pPr>
              <w:pStyle w:val="null3"/>
              <w:ind w:firstLine="420"/>
              <w:jc w:val="left"/>
            </w:pPr>
            <w:r>
              <w:rPr>
                <w:rFonts w:ascii="宋体" w:hAnsi="宋体" w:cs="宋体" w:eastAsia="宋体"/>
                <w:color w:val="000000"/>
                <w:sz w:val="21"/>
              </w:rPr>
              <w:t>11、用户账户</w:t>
            </w:r>
          </w:p>
          <w:p>
            <w:pPr>
              <w:pStyle w:val="null3"/>
              <w:ind w:firstLine="420"/>
              <w:jc w:val="left"/>
            </w:pPr>
            <w:r>
              <w:rPr>
                <w:rFonts w:ascii="宋体" w:hAnsi="宋体" w:cs="宋体" w:eastAsia="宋体"/>
                <w:color w:val="000000"/>
                <w:sz w:val="21"/>
              </w:rPr>
              <w:t>（</w:t>
            </w:r>
            <w:r>
              <w:rPr>
                <w:rFonts w:ascii="宋体" w:hAnsi="宋体" w:cs="宋体" w:eastAsia="宋体"/>
                <w:color w:val="000000"/>
                <w:sz w:val="21"/>
              </w:rPr>
              <w:t>1）支持单独和批量导入、创建、编辑、删除用户账户。</w:t>
            </w:r>
          </w:p>
          <w:p>
            <w:pPr>
              <w:pStyle w:val="null3"/>
              <w:ind w:firstLine="420"/>
              <w:jc w:val="left"/>
            </w:pPr>
            <w:r>
              <w:rPr>
                <w:rFonts w:ascii="宋体" w:hAnsi="宋体" w:cs="宋体" w:eastAsia="宋体"/>
                <w:color w:val="000000"/>
                <w:sz w:val="21"/>
              </w:rPr>
              <w:t>（</w:t>
            </w:r>
            <w:r>
              <w:rPr>
                <w:rFonts w:ascii="宋体" w:hAnsi="宋体" w:cs="宋体" w:eastAsia="宋体"/>
                <w:color w:val="000000"/>
                <w:sz w:val="21"/>
              </w:rPr>
              <w:t>2）账户信息中应至少包含以下可编辑字段：用户名、登录密码、所属用户组、联系电话、所属市（区）、县（区）、自定义标签或其他类似功能（如标记站点是否开通快乐8）。</w:t>
            </w:r>
          </w:p>
          <w:p>
            <w:pPr>
              <w:pStyle w:val="null3"/>
              <w:ind w:firstLine="420"/>
              <w:jc w:val="left"/>
            </w:pPr>
            <w:r>
              <w:rPr>
                <w:rFonts w:ascii="宋体" w:hAnsi="宋体" w:cs="宋体" w:eastAsia="宋体"/>
                <w:color w:val="000000"/>
                <w:sz w:val="21"/>
              </w:rPr>
              <w:t>12、用户分组</w:t>
            </w:r>
          </w:p>
          <w:p>
            <w:pPr>
              <w:pStyle w:val="null3"/>
              <w:ind w:firstLine="420"/>
              <w:jc w:val="left"/>
            </w:pPr>
            <w:r>
              <w:rPr>
                <w:rFonts w:ascii="宋体" w:hAnsi="宋体" w:cs="宋体" w:eastAsia="宋体"/>
                <w:color w:val="000000"/>
                <w:sz w:val="21"/>
              </w:rPr>
              <w:t>（</w:t>
            </w:r>
            <w:r>
              <w:rPr>
                <w:rFonts w:ascii="宋体" w:hAnsi="宋体" w:cs="宋体" w:eastAsia="宋体"/>
                <w:color w:val="000000"/>
                <w:sz w:val="21"/>
              </w:rPr>
              <w:t>1）支持创建、编辑和删除用户组。</w:t>
            </w:r>
          </w:p>
          <w:p>
            <w:pPr>
              <w:pStyle w:val="null3"/>
              <w:ind w:firstLine="420"/>
              <w:jc w:val="left"/>
            </w:pPr>
            <w:r>
              <w:rPr>
                <w:rFonts w:ascii="宋体" w:hAnsi="宋体" w:cs="宋体" w:eastAsia="宋体"/>
                <w:color w:val="000000"/>
                <w:sz w:val="21"/>
              </w:rPr>
              <w:t>（</w:t>
            </w:r>
            <w:r>
              <w:rPr>
                <w:rFonts w:ascii="宋体" w:hAnsi="宋体" w:cs="宋体" w:eastAsia="宋体"/>
                <w:color w:val="000000"/>
                <w:sz w:val="21"/>
              </w:rPr>
              <w:t>2）支持5级或更高层级用户分组。</w:t>
            </w:r>
          </w:p>
          <w:p>
            <w:pPr>
              <w:pStyle w:val="null3"/>
              <w:ind w:firstLine="420"/>
              <w:jc w:val="left"/>
            </w:pPr>
            <w:r>
              <w:rPr>
                <w:rFonts w:ascii="宋体" w:hAnsi="宋体" w:cs="宋体" w:eastAsia="宋体"/>
                <w:color w:val="000000"/>
                <w:sz w:val="21"/>
              </w:rPr>
              <w:t>（</w:t>
            </w:r>
            <w:r>
              <w:rPr>
                <w:rFonts w:ascii="宋体" w:hAnsi="宋体" w:cs="宋体" w:eastAsia="宋体"/>
                <w:color w:val="000000"/>
                <w:sz w:val="21"/>
              </w:rPr>
              <w:t>3）支持对不同用户组分配不同角色并赋予相应权限。</w:t>
            </w:r>
          </w:p>
          <w:p>
            <w:pPr>
              <w:pStyle w:val="null3"/>
              <w:ind w:firstLine="420"/>
              <w:jc w:val="left"/>
            </w:pPr>
            <w:r>
              <w:rPr>
                <w:rFonts w:ascii="宋体" w:hAnsi="宋体" w:cs="宋体" w:eastAsia="宋体"/>
                <w:color w:val="000000"/>
                <w:sz w:val="21"/>
              </w:rPr>
              <w:t>（</w:t>
            </w:r>
            <w:r>
              <w:rPr>
                <w:rFonts w:ascii="宋体" w:hAnsi="宋体" w:cs="宋体" w:eastAsia="宋体"/>
                <w:color w:val="000000"/>
                <w:sz w:val="21"/>
              </w:rPr>
              <w:t>4）支持根据用户账户信息中的任意可编辑字段进行筛选和分组。</w:t>
            </w:r>
          </w:p>
          <w:p>
            <w:pPr>
              <w:pStyle w:val="null3"/>
              <w:ind w:firstLine="420"/>
              <w:jc w:val="left"/>
            </w:pPr>
            <w:r>
              <w:rPr>
                <w:rFonts w:ascii="宋体" w:hAnsi="宋体" w:cs="宋体" w:eastAsia="宋体"/>
                <w:color w:val="000000"/>
                <w:sz w:val="21"/>
              </w:rPr>
              <w:t>（</w:t>
            </w:r>
            <w:r>
              <w:rPr>
                <w:rFonts w:ascii="宋体" w:hAnsi="宋体" w:cs="宋体" w:eastAsia="宋体"/>
                <w:color w:val="000000"/>
                <w:sz w:val="21"/>
              </w:rPr>
              <w:t>5）用户组权限应符合向下管理原则（如市中心管理员可对其下辖区县用户进行管理，但无权查看和管理省级用户）。</w:t>
            </w:r>
          </w:p>
          <w:p>
            <w:pPr>
              <w:pStyle w:val="null3"/>
              <w:ind w:firstLine="420"/>
              <w:jc w:val="left"/>
            </w:pPr>
            <w:r>
              <w:rPr>
                <w:rFonts w:ascii="宋体" w:hAnsi="宋体" w:cs="宋体" w:eastAsia="宋体"/>
                <w:color w:val="000000"/>
                <w:sz w:val="21"/>
              </w:rPr>
              <w:t>（</w:t>
            </w:r>
            <w:r>
              <w:rPr>
                <w:rFonts w:ascii="宋体" w:hAnsi="宋体" w:cs="宋体" w:eastAsia="宋体"/>
                <w:color w:val="000000"/>
                <w:sz w:val="21"/>
              </w:rPr>
              <w:t>6）同级用户组应符合权限分隔原则（如西安市管理员和宝鸡市管理员可以各自对其辖区内用户进行管理，但彼此无法查看和管理对方辖区的用户）。</w:t>
            </w:r>
          </w:p>
          <w:p>
            <w:pPr>
              <w:pStyle w:val="null3"/>
              <w:ind w:firstLine="420"/>
              <w:jc w:val="left"/>
            </w:pPr>
            <w:r>
              <w:rPr>
                <w:rFonts w:ascii="宋体" w:hAnsi="宋体" w:cs="宋体" w:eastAsia="宋体"/>
                <w:color w:val="000000"/>
                <w:sz w:val="21"/>
              </w:rPr>
              <w:t>13、培训师管理</w:t>
            </w:r>
          </w:p>
          <w:p>
            <w:pPr>
              <w:pStyle w:val="null3"/>
              <w:ind w:firstLine="420"/>
              <w:jc w:val="left"/>
            </w:pPr>
            <w:r>
              <w:rPr>
                <w:rFonts w:ascii="宋体" w:hAnsi="宋体" w:cs="宋体" w:eastAsia="宋体"/>
                <w:color w:val="000000"/>
                <w:sz w:val="21"/>
              </w:rPr>
              <w:t>（</w:t>
            </w:r>
            <w:r>
              <w:rPr>
                <w:rFonts w:ascii="宋体" w:hAnsi="宋体" w:cs="宋体" w:eastAsia="宋体"/>
                <w:color w:val="000000"/>
                <w:sz w:val="21"/>
              </w:rPr>
              <w:t>1）支持搜索、录入、编辑、删除培训师信息，支持批量导入、批量删除培训师信息。</w:t>
            </w:r>
          </w:p>
          <w:p>
            <w:pPr>
              <w:pStyle w:val="null3"/>
              <w:ind w:firstLine="420"/>
              <w:jc w:val="left"/>
            </w:pPr>
            <w:r>
              <w:rPr>
                <w:rFonts w:ascii="宋体" w:hAnsi="宋体" w:cs="宋体" w:eastAsia="宋体"/>
                <w:color w:val="000000"/>
                <w:sz w:val="21"/>
              </w:rPr>
              <w:t>（</w:t>
            </w:r>
            <w:r>
              <w:rPr>
                <w:rFonts w:ascii="宋体" w:hAnsi="宋体" w:cs="宋体" w:eastAsia="宋体"/>
                <w:color w:val="000000"/>
                <w:sz w:val="21"/>
              </w:rPr>
              <w:t>2）支持录入培训师姓名、性别、年龄、籍贯、民族、学历、职位、电话、住址、银行账号、个人简历、培训师等级、主要培训方向等基础信息。</w:t>
            </w:r>
          </w:p>
          <w:p>
            <w:pPr>
              <w:pStyle w:val="null3"/>
              <w:ind w:firstLine="420"/>
              <w:jc w:val="left"/>
            </w:pPr>
            <w:r>
              <w:rPr>
                <w:rFonts w:ascii="宋体" w:hAnsi="宋体" w:cs="宋体" w:eastAsia="宋体"/>
                <w:color w:val="000000"/>
                <w:sz w:val="21"/>
              </w:rPr>
              <w:t>（</w:t>
            </w:r>
            <w:r>
              <w:rPr>
                <w:rFonts w:ascii="宋体" w:hAnsi="宋体" w:cs="宋体" w:eastAsia="宋体"/>
                <w:color w:val="000000"/>
                <w:sz w:val="21"/>
              </w:rPr>
              <w:t>3）支持上传培训师照片、身份证件、培训师证书等图像资料。</w:t>
            </w:r>
          </w:p>
          <w:p>
            <w:pPr>
              <w:pStyle w:val="null3"/>
              <w:ind w:firstLine="420"/>
              <w:jc w:val="left"/>
            </w:pPr>
            <w:r>
              <w:rPr>
                <w:rFonts w:ascii="宋体" w:hAnsi="宋体" w:cs="宋体" w:eastAsia="宋体"/>
                <w:color w:val="000000"/>
                <w:sz w:val="21"/>
              </w:rPr>
              <w:t>（</w:t>
            </w:r>
            <w:r>
              <w:rPr>
                <w:rFonts w:ascii="宋体" w:hAnsi="宋体" w:cs="宋体" w:eastAsia="宋体"/>
                <w:color w:val="000000"/>
                <w:sz w:val="21"/>
              </w:rPr>
              <w:t>4）支持创建、编辑或删除培训师分组，支持4级或更高层级培训师分组。</w:t>
            </w:r>
          </w:p>
          <w:p>
            <w:pPr>
              <w:pStyle w:val="null3"/>
              <w:ind w:firstLine="420"/>
              <w:jc w:val="left"/>
            </w:pPr>
            <w:r>
              <w:rPr>
                <w:rFonts w:ascii="宋体" w:hAnsi="宋体" w:cs="宋体" w:eastAsia="宋体"/>
                <w:color w:val="000000"/>
                <w:sz w:val="21"/>
              </w:rPr>
              <w:t>（</w:t>
            </w:r>
            <w:r>
              <w:rPr>
                <w:rFonts w:ascii="宋体" w:hAnsi="宋体" w:cs="宋体" w:eastAsia="宋体"/>
                <w:color w:val="000000"/>
                <w:sz w:val="21"/>
              </w:rPr>
              <w:t>5）支持每个市、区为自己单独创建专属的培训师分组（如宝鸡市市级培训师、未央区区级培训师）</w:t>
            </w:r>
          </w:p>
          <w:p>
            <w:pPr>
              <w:pStyle w:val="null3"/>
              <w:ind w:firstLine="420"/>
              <w:jc w:val="left"/>
            </w:pPr>
            <w:r>
              <w:rPr>
                <w:rFonts w:ascii="宋体" w:hAnsi="宋体" w:cs="宋体" w:eastAsia="宋体"/>
                <w:color w:val="000000"/>
                <w:sz w:val="21"/>
              </w:rPr>
              <w:t>（</w:t>
            </w:r>
            <w:r>
              <w:rPr>
                <w:rFonts w:ascii="宋体" w:hAnsi="宋体" w:cs="宋体" w:eastAsia="宋体"/>
                <w:color w:val="000000"/>
                <w:sz w:val="21"/>
              </w:rPr>
              <w:t>6）支持在培训师分组中设定培训师任期及分别对应省、市、区三级培训任务的讲课费标准，并将这些信息关联到培训师管理模块以实现随培训师等级变动自动更新。</w:t>
            </w:r>
          </w:p>
          <w:p>
            <w:pPr>
              <w:pStyle w:val="null3"/>
              <w:ind w:firstLine="420"/>
              <w:jc w:val="left"/>
            </w:pPr>
            <w:r>
              <w:rPr>
                <w:rFonts w:ascii="宋体" w:hAnsi="宋体" w:cs="宋体" w:eastAsia="宋体"/>
                <w:color w:val="000000"/>
                <w:sz w:val="21"/>
              </w:rPr>
              <w:t>（</w:t>
            </w:r>
            <w:r>
              <w:rPr>
                <w:rFonts w:ascii="宋体" w:hAnsi="宋体" w:cs="宋体" w:eastAsia="宋体"/>
                <w:color w:val="000000"/>
                <w:sz w:val="21"/>
              </w:rPr>
              <w:t>7）支持对每个培训师单独创建培训履历，记录并支持查询培训师在当前任期或任一历史任期的培训场次、培训人数、培训时长、培训满意度得分情况，以及所有任期内的数据总览。</w:t>
            </w:r>
          </w:p>
          <w:p>
            <w:pPr>
              <w:pStyle w:val="null3"/>
              <w:ind w:firstLine="420"/>
              <w:jc w:val="left"/>
            </w:pPr>
            <w:r>
              <w:rPr>
                <w:rFonts w:ascii="宋体" w:hAnsi="宋体" w:cs="宋体" w:eastAsia="宋体"/>
                <w:color w:val="000000"/>
                <w:sz w:val="21"/>
              </w:rPr>
              <w:t>（</w:t>
            </w:r>
            <w:r>
              <w:rPr>
                <w:rFonts w:ascii="宋体" w:hAnsi="宋体" w:cs="宋体" w:eastAsia="宋体"/>
                <w:color w:val="000000"/>
                <w:sz w:val="21"/>
              </w:rPr>
              <w:t>8）支持录入培训师工作开展相关信息，包括培训任务名称、任务发起人（机构）、任务起止时间、任务场次，以及单场培训场地、培训人数、培训时长、培训现场照片、培训满意度得分等，录入后自动更新相关履历信息，并计算当前培训任务应得讲课费金额。</w:t>
            </w:r>
          </w:p>
          <w:p>
            <w:pPr>
              <w:pStyle w:val="null3"/>
              <w:ind w:firstLine="420"/>
              <w:jc w:val="left"/>
            </w:pPr>
            <w:r>
              <w:rPr>
                <w:rFonts w:ascii="宋体" w:hAnsi="宋体" w:cs="宋体" w:eastAsia="宋体"/>
                <w:color w:val="000000"/>
                <w:sz w:val="21"/>
              </w:rPr>
              <w:t>（</w:t>
            </w:r>
            <w:r>
              <w:rPr>
                <w:rFonts w:ascii="宋体" w:hAnsi="宋体" w:cs="宋体" w:eastAsia="宋体"/>
                <w:color w:val="000000"/>
                <w:sz w:val="21"/>
              </w:rPr>
              <w:t>9）支持在履历中记录培训师违规违纪及相关处理情况，涉及扣减讲课费的，需关联到培训师讲课费金额计算结果。</w:t>
            </w:r>
          </w:p>
          <w:p>
            <w:pPr>
              <w:pStyle w:val="null3"/>
              <w:ind w:firstLine="420"/>
              <w:jc w:val="left"/>
            </w:pPr>
            <w:r>
              <w:rPr>
                <w:rFonts w:ascii="宋体" w:hAnsi="宋体" w:cs="宋体" w:eastAsia="宋体"/>
                <w:color w:val="000000"/>
                <w:sz w:val="21"/>
              </w:rPr>
              <w:t>（</w:t>
            </w:r>
            <w:r>
              <w:rPr>
                <w:rFonts w:ascii="宋体" w:hAnsi="宋体" w:cs="宋体" w:eastAsia="宋体"/>
                <w:color w:val="000000"/>
                <w:sz w:val="21"/>
              </w:rPr>
              <w:t>10）由省、市（区）、县（区）各级管理员录入的培训师，自动获得对应级别的管理权限。</w:t>
            </w:r>
          </w:p>
          <w:p>
            <w:pPr>
              <w:pStyle w:val="null3"/>
              <w:ind w:firstLine="420"/>
              <w:jc w:val="left"/>
            </w:pPr>
            <w:r>
              <w:rPr>
                <w:rFonts w:ascii="宋体" w:hAnsi="宋体" w:cs="宋体" w:eastAsia="宋体"/>
                <w:color w:val="000000"/>
                <w:sz w:val="21"/>
              </w:rPr>
              <w:t>（</w:t>
            </w:r>
            <w:r>
              <w:rPr>
                <w:rFonts w:ascii="宋体" w:hAnsi="宋体" w:cs="宋体" w:eastAsia="宋体"/>
                <w:color w:val="000000"/>
                <w:sz w:val="21"/>
              </w:rPr>
              <w:t>11）培训师信息、培训师分组和培训师履历的管理权限应符合向下管理和区域分隔原则。</w:t>
            </w:r>
          </w:p>
          <w:p>
            <w:pPr>
              <w:pStyle w:val="null3"/>
              <w:ind w:firstLine="420"/>
              <w:jc w:val="left"/>
            </w:pPr>
            <w:r>
              <w:rPr>
                <w:rFonts w:ascii="宋体" w:hAnsi="宋体" w:cs="宋体" w:eastAsia="宋体"/>
                <w:color w:val="000000"/>
                <w:sz w:val="21"/>
              </w:rPr>
              <w:t>（</w:t>
            </w:r>
            <w:r>
              <w:rPr>
                <w:rFonts w:ascii="宋体" w:hAnsi="宋体" w:cs="宋体" w:eastAsia="宋体"/>
                <w:color w:val="000000"/>
                <w:sz w:val="21"/>
              </w:rPr>
              <w:t>12）支持资格证、结业证、荣誉证等各类电子证书的在线设计、生成和颁发。</w:t>
            </w:r>
          </w:p>
          <w:p>
            <w:pPr>
              <w:pStyle w:val="null3"/>
              <w:ind w:firstLine="420"/>
              <w:jc w:val="left"/>
            </w:pPr>
            <w:r>
              <w:rPr>
                <w:rFonts w:ascii="宋体" w:hAnsi="宋体" w:cs="宋体" w:eastAsia="宋体"/>
                <w:color w:val="000000"/>
                <w:sz w:val="21"/>
              </w:rPr>
              <w:t>14、课程管理</w:t>
            </w:r>
          </w:p>
          <w:p>
            <w:pPr>
              <w:pStyle w:val="null3"/>
              <w:ind w:firstLine="420"/>
              <w:jc w:val="left"/>
            </w:pPr>
            <w:r>
              <w:rPr>
                <w:rFonts w:ascii="宋体" w:hAnsi="宋体" w:cs="宋体" w:eastAsia="宋体"/>
                <w:color w:val="000000"/>
                <w:sz w:val="21"/>
              </w:rPr>
              <w:t>（</w:t>
            </w:r>
            <w:r>
              <w:rPr>
                <w:rFonts w:ascii="宋体" w:hAnsi="宋体" w:cs="宋体" w:eastAsia="宋体"/>
                <w:color w:val="000000"/>
                <w:sz w:val="21"/>
              </w:rPr>
              <w:t>1）支持导入、编辑、删除课程。</w:t>
            </w:r>
          </w:p>
          <w:p>
            <w:pPr>
              <w:pStyle w:val="null3"/>
              <w:ind w:firstLine="420"/>
              <w:jc w:val="left"/>
            </w:pPr>
            <w:r>
              <w:rPr>
                <w:rFonts w:ascii="宋体" w:hAnsi="宋体" w:cs="宋体" w:eastAsia="宋体"/>
                <w:color w:val="000000"/>
                <w:sz w:val="21"/>
              </w:rPr>
              <w:t>（</w:t>
            </w:r>
            <w:r>
              <w:rPr>
                <w:rFonts w:ascii="宋体" w:hAnsi="宋体" w:cs="宋体" w:eastAsia="宋体"/>
                <w:color w:val="000000"/>
                <w:sz w:val="21"/>
              </w:rPr>
              <w:t>2）支持各类常见的课件格式。</w:t>
            </w:r>
          </w:p>
          <w:p>
            <w:pPr>
              <w:pStyle w:val="null3"/>
              <w:ind w:firstLine="420"/>
              <w:jc w:val="left"/>
            </w:pPr>
            <w:r>
              <w:rPr>
                <w:rFonts w:ascii="宋体" w:hAnsi="宋体" w:cs="宋体" w:eastAsia="宋体"/>
                <w:color w:val="000000"/>
                <w:sz w:val="21"/>
              </w:rPr>
              <w:t>（</w:t>
            </w:r>
            <w:r>
              <w:rPr>
                <w:rFonts w:ascii="宋体" w:hAnsi="宋体" w:cs="宋体" w:eastAsia="宋体"/>
                <w:color w:val="000000"/>
                <w:sz w:val="21"/>
              </w:rPr>
              <w:t>3）支持创建、编辑或删除课程分组。</w:t>
            </w:r>
          </w:p>
          <w:p>
            <w:pPr>
              <w:pStyle w:val="null3"/>
              <w:ind w:firstLine="420"/>
              <w:jc w:val="left"/>
            </w:pPr>
            <w:r>
              <w:rPr>
                <w:rFonts w:ascii="宋体" w:hAnsi="宋体" w:cs="宋体" w:eastAsia="宋体"/>
                <w:color w:val="000000"/>
                <w:sz w:val="21"/>
              </w:rPr>
              <w:t>（</w:t>
            </w:r>
            <w:r>
              <w:rPr>
                <w:rFonts w:ascii="宋体" w:hAnsi="宋体" w:cs="宋体" w:eastAsia="宋体"/>
                <w:color w:val="000000"/>
                <w:sz w:val="21"/>
              </w:rPr>
              <w:t>4）支持4级或更高层级课程分组。</w:t>
            </w:r>
          </w:p>
          <w:p>
            <w:pPr>
              <w:pStyle w:val="null3"/>
              <w:ind w:firstLine="420"/>
              <w:jc w:val="left"/>
            </w:pPr>
            <w:r>
              <w:rPr>
                <w:rFonts w:ascii="宋体" w:hAnsi="宋体" w:cs="宋体" w:eastAsia="宋体"/>
                <w:color w:val="000000"/>
                <w:sz w:val="21"/>
              </w:rPr>
              <w:t>（</w:t>
            </w:r>
            <w:r>
              <w:rPr>
                <w:rFonts w:ascii="宋体" w:hAnsi="宋体" w:cs="宋体" w:eastAsia="宋体"/>
                <w:color w:val="000000"/>
                <w:sz w:val="21"/>
              </w:rPr>
              <w:t>5）支持为课程或课程组分配对应不同用户组的浏览权限。</w:t>
            </w:r>
          </w:p>
          <w:p>
            <w:pPr>
              <w:pStyle w:val="null3"/>
              <w:ind w:firstLine="420"/>
              <w:jc w:val="left"/>
            </w:pPr>
            <w:r>
              <w:rPr>
                <w:rFonts w:ascii="宋体" w:hAnsi="宋体" w:cs="宋体" w:eastAsia="宋体"/>
                <w:color w:val="000000"/>
                <w:sz w:val="21"/>
              </w:rPr>
              <w:t>（</w:t>
            </w:r>
            <w:r>
              <w:rPr>
                <w:rFonts w:ascii="宋体" w:hAnsi="宋体" w:cs="宋体" w:eastAsia="宋体"/>
                <w:color w:val="000000"/>
                <w:sz w:val="21"/>
              </w:rPr>
              <w:t>6）由省、市（区）、县（区）各级管理员上传的课程和创建的课程组，自动获得相应级别的管理权限。</w:t>
            </w:r>
          </w:p>
          <w:p>
            <w:pPr>
              <w:pStyle w:val="null3"/>
              <w:ind w:firstLine="420"/>
              <w:jc w:val="left"/>
            </w:pPr>
            <w:r>
              <w:rPr>
                <w:rFonts w:ascii="宋体" w:hAnsi="宋体" w:cs="宋体" w:eastAsia="宋体"/>
                <w:color w:val="000000"/>
                <w:sz w:val="21"/>
              </w:rPr>
              <w:t>（</w:t>
            </w:r>
            <w:r>
              <w:rPr>
                <w:rFonts w:ascii="宋体" w:hAnsi="宋体" w:cs="宋体" w:eastAsia="宋体"/>
                <w:color w:val="000000"/>
                <w:sz w:val="21"/>
              </w:rPr>
              <w:t>7）课程和课程组的管理权限应符合向下管理和区域分隔原则。</w:t>
            </w:r>
          </w:p>
          <w:p>
            <w:pPr>
              <w:pStyle w:val="null3"/>
              <w:ind w:firstLine="420"/>
              <w:jc w:val="left"/>
            </w:pPr>
            <w:r>
              <w:rPr>
                <w:rFonts w:ascii="宋体" w:hAnsi="宋体" w:cs="宋体" w:eastAsia="宋体"/>
                <w:color w:val="000000"/>
                <w:sz w:val="21"/>
              </w:rPr>
              <w:t>（</w:t>
            </w:r>
            <w:r>
              <w:rPr>
                <w:rFonts w:ascii="宋体" w:hAnsi="宋体" w:cs="宋体" w:eastAsia="宋体"/>
                <w:color w:val="000000"/>
                <w:sz w:val="21"/>
              </w:rPr>
              <w:t>8）支持用户对已观看达到一定时长比例的课程进行打分评价，可设置评价所需的观看时长比例。</w:t>
            </w:r>
          </w:p>
          <w:p>
            <w:pPr>
              <w:pStyle w:val="null3"/>
              <w:ind w:firstLine="420"/>
              <w:jc w:val="left"/>
            </w:pPr>
            <w:r>
              <w:rPr>
                <w:rFonts w:ascii="宋体" w:hAnsi="宋体" w:cs="宋体" w:eastAsia="宋体"/>
                <w:color w:val="000000"/>
                <w:sz w:val="21"/>
              </w:rPr>
              <w:t>（</w:t>
            </w:r>
            <w:r>
              <w:rPr>
                <w:rFonts w:ascii="宋体" w:hAnsi="宋体" w:cs="宋体" w:eastAsia="宋体"/>
                <w:color w:val="000000"/>
                <w:sz w:val="21"/>
              </w:rPr>
              <w:t>9）与培训师管理模块关联，将培训师原创课程相关信息显示在培训师履历中，如课程数量、课程列表、观看人数、观看次数、观看时长、课程评价等。</w:t>
            </w:r>
          </w:p>
          <w:p>
            <w:pPr>
              <w:pStyle w:val="null3"/>
              <w:ind w:firstLine="420"/>
              <w:jc w:val="left"/>
            </w:pPr>
            <w:r>
              <w:rPr>
                <w:rFonts w:ascii="宋体" w:hAnsi="宋体" w:cs="宋体" w:eastAsia="宋体"/>
                <w:color w:val="000000"/>
                <w:sz w:val="21"/>
              </w:rPr>
              <w:t>15、学习管理</w:t>
            </w:r>
          </w:p>
          <w:p>
            <w:pPr>
              <w:pStyle w:val="null3"/>
              <w:ind w:firstLine="420"/>
              <w:jc w:val="left"/>
            </w:pPr>
            <w:r>
              <w:rPr>
                <w:rFonts w:ascii="宋体" w:hAnsi="宋体" w:cs="宋体" w:eastAsia="宋体"/>
                <w:color w:val="000000"/>
                <w:sz w:val="21"/>
              </w:rPr>
              <w:t>（</w:t>
            </w:r>
            <w:r>
              <w:rPr>
                <w:rFonts w:ascii="宋体" w:hAnsi="宋体" w:cs="宋体" w:eastAsia="宋体"/>
                <w:color w:val="000000"/>
                <w:sz w:val="21"/>
              </w:rPr>
              <w:t>1）支持创建基于单一课程的学习任务，以及包含多部课程的系列学习任务。</w:t>
            </w:r>
          </w:p>
          <w:p>
            <w:pPr>
              <w:pStyle w:val="null3"/>
              <w:ind w:firstLine="420"/>
              <w:jc w:val="left"/>
            </w:pPr>
            <w:r>
              <w:rPr>
                <w:rFonts w:ascii="宋体" w:hAnsi="宋体" w:cs="宋体" w:eastAsia="宋体"/>
                <w:color w:val="000000"/>
                <w:sz w:val="21"/>
              </w:rPr>
              <w:t>（</w:t>
            </w:r>
            <w:r>
              <w:rPr>
                <w:rFonts w:ascii="宋体" w:hAnsi="宋体" w:cs="宋体" w:eastAsia="宋体"/>
                <w:color w:val="000000"/>
                <w:sz w:val="21"/>
              </w:rPr>
              <w:t>2）支持面向单个或多个用户、用户组推送学习任务。</w:t>
            </w:r>
          </w:p>
          <w:p>
            <w:pPr>
              <w:pStyle w:val="null3"/>
              <w:ind w:firstLine="420"/>
              <w:jc w:val="left"/>
            </w:pPr>
            <w:r>
              <w:rPr>
                <w:rFonts w:ascii="宋体" w:hAnsi="宋体" w:cs="宋体" w:eastAsia="宋体"/>
                <w:color w:val="000000"/>
                <w:sz w:val="21"/>
              </w:rPr>
              <w:t>（</w:t>
            </w:r>
            <w:r>
              <w:rPr>
                <w:rFonts w:ascii="宋体" w:hAnsi="宋体" w:cs="宋体" w:eastAsia="宋体"/>
                <w:color w:val="000000"/>
                <w:sz w:val="21"/>
              </w:rPr>
              <w:t>3）支持为每个学习任务或系列任务设置学分，用户可通过完成学习获取相应学分。</w:t>
            </w:r>
          </w:p>
          <w:p>
            <w:pPr>
              <w:pStyle w:val="null3"/>
              <w:ind w:firstLine="420"/>
              <w:jc w:val="left"/>
            </w:pPr>
            <w:r>
              <w:rPr>
                <w:rFonts w:ascii="宋体" w:hAnsi="宋体" w:cs="宋体" w:eastAsia="宋体"/>
                <w:color w:val="000000"/>
                <w:sz w:val="21"/>
              </w:rPr>
              <w:t>16、考核管理</w:t>
            </w:r>
          </w:p>
          <w:p>
            <w:pPr>
              <w:pStyle w:val="null3"/>
              <w:ind w:firstLine="420"/>
              <w:jc w:val="left"/>
            </w:pPr>
            <w:r>
              <w:rPr>
                <w:rFonts w:ascii="宋体" w:hAnsi="宋体" w:cs="宋体" w:eastAsia="宋体"/>
                <w:color w:val="000000"/>
                <w:sz w:val="21"/>
              </w:rPr>
              <w:t>（</w:t>
            </w:r>
            <w:r>
              <w:rPr>
                <w:rFonts w:ascii="宋体" w:hAnsi="宋体" w:cs="宋体" w:eastAsia="宋体"/>
                <w:color w:val="000000"/>
                <w:sz w:val="21"/>
              </w:rPr>
              <w:t>1）支持创建、导入、编辑、删除各类习题。</w:t>
            </w:r>
          </w:p>
          <w:p>
            <w:pPr>
              <w:pStyle w:val="null3"/>
              <w:ind w:firstLine="420"/>
              <w:jc w:val="left"/>
            </w:pPr>
            <w:r>
              <w:rPr>
                <w:rFonts w:ascii="宋体" w:hAnsi="宋体" w:cs="宋体" w:eastAsia="宋体"/>
                <w:color w:val="000000"/>
                <w:sz w:val="21"/>
              </w:rPr>
              <w:t>（</w:t>
            </w:r>
            <w:r>
              <w:rPr>
                <w:rFonts w:ascii="宋体" w:hAnsi="宋体" w:cs="宋体" w:eastAsia="宋体"/>
                <w:color w:val="000000"/>
                <w:sz w:val="21"/>
              </w:rPr>
              <w:t>2）支持创建、编辑或删除题库。</w:t>
            </w:r>
          </w:p>
          <w:p>
            <w:pPr>
              <w:pStyle w:val="null3"/>
              <w:ind w:firstLine="420"/>
              <w:jc w:val="left"/>
            </w:pPr>
            <w:r>
              <w:rPr>
                <w:rFonts w:ascii="宋体" w:hAnsi="宋体" w:cs="宋体" w:eastAsia="宋体"/>
                <w:color w:val="000000"/>
                <w:sz w:val="21"/>
              </w:rPr>
              <w:t>（</w:t>
            </w:r>
            <w:r>
              <w:rPr>
                <w:rFonts w:ascii="宋体" w:hAnsi="宋体" w:cs="宋体" w:eastAsia="宋体"/>
                <w:color w:val="000000"/>
                <w:sz w:val="21"/>
              </w:rPr>
              <w:t>3）支持通过关键字检索、题目类型筛选等方式将已存在的试题批量导入题库或在不同题库间转移。</w:t>
            </w:r>
          </w:p>
          <w:p>
            <w:pPr>
              <w:pStyle w:val="null3"/>
              <w:ind w:firstLine="420"/>
              <w:jc w:val="left"/>
            </w:pPr>
            <w:r>
              <w:rPr>
                <w:rFonts w:ascii="宋体" w:hAnsi="宋体" w:cs="宋体" w:eastAsia="宋体"/>
                <w:color w:val="000000"/>
                <w:sz w:val="21"/>
              </w:rPr>
              <w:t>（</w:t>
            </w:r>
            <w:r>
              <w:rPr>
                <w:rFonts w:ascii="宋体" w:hAnsi="宋体" w:cs="宋体" w:eastAsia="宋体"/>
                <w:color w:val="000000"/>
                <w:sz w:val="21"/>
              </w:rPr>
              <w:t>4）支持创建、编辑、删除考试。</w:t>
            </w:r>
          </w:p>
          <w:p>
            <w:pPr>
              <w:pStyle w:val="null3"/>
              <w:ind w:firstLine="420"/>
              <w:jc w:val="left"/>
            </w:pPr>
            <w:r>
              <w:rPr>
                <w:rFonts w:ascii="宋体" w:hAnsi="宋体" w:cs="宋体" w:eastAsia="宋体"/>
                <w:color w:val="000000"/>
                <w:sz w:val="21"/>
              </w:rPr>
              <w:t>（</w:t>
            </w:r>
            <w:r>
              <w:rPr>
                <w:rFonts w:ascii="宋体" w:hAnsi="宋体" w:cs="宋体" w:eastAsia="宋体"/>
                <w:color w:val="000000"/>
                <w:sz w:val="21"/>
              </w:rPr>
              <w:t>5）支持通过单个或多个题库随机抽取指定数量试题生成试卷。</w:t>
            </w:r>
          </w:p>
          <w:p>
            <w:pPr>
              <w:pStyle w:val="null3"/>
              <w:ind w:firstLine="420"/>
              <w:jc w:val="left"/>
            </w:pPr>
            <w:r>
              <w:rPr>
                <w:rFonts w:ascii="宋体" w:hAnsi="宋体" w:cs="宋体" w:eastAsia="宋体"/>
                <w:color w:val="000000"/>
                <w:sz w:val="21"/>
              </w:rPr>
              <w:t>（</w:t>
            </w:r>
            <w:r>
              <w:rPr>
                <w:rFonts w:ascii="宋体" w:hAnsi="宋体" w:cs="宋体" w:eastAsia="宋体"/>
                <w:color w:val="000000"/>
                <w:sz w:val="21"/>
              </w:rPr>
              <w:t>6）支持设定试卷中各类型题目的数量和分值。</w:t>
            </w:r>
          </w:p>
          <w:p>
            <w:pPr>
              <w:pStyle w:val="null3"/>
              <w:ind w:firstLine="420"/>
              <w:jc w:val="left"/>
            </w:pPr>
            <w:r>
              <w:rPr>
                <w:rFonts w:ascii="宋体" w:hAnsi="宋体" w:cs="宋体" w:eastAsia="宋体"/>
                <w:color w:val="000000"/>
                <w:sz w:val="21"/>
              </w:rPr>
              <w:t>（</w:t>
            </w:r>
            <w:r>
              <w:rPr>
                <w:rFonts w:ascii="宋体" w:hAnsi="宋体" w:cs="宋体" w:eastAsia="宋体"/>
                <w:color w:val="000000"/>
                <w:sz w:val="21"/>
              </w:rPr>
              <w:t>7）支持设定考试开始时间、结束时间，并确保非考试时间内用户无法参与考核。</w:t>
            </w:r>
          </w:p>
          <w:p>
            <w:pPr>
              <w:pStyle w:val="null3"/>
              <w:ind w:firstLine="420"/>
              <w:jc w:val="left"/>
            </w:pPr>
            <w:r>
              <w:rPr>
                <w:rFonts w:ascii="宋体" w:hAnsi="宋体" w:cs="宋体" w:eastAsia="宋体"/>
                <w:color w:val="000000"/>
                <w:sz w:val="21"/>
              </w:rPr>
              <w:t>（</w:t>
            </w:r>
            <w:r>
              <w:rPr>
                <w:rFonts w:ascii="宋体" w:hAnsi="宋体" w:cs="宋体" w:eastAsia="宋体"/>
                <w:color w:val="000000"/>
                <w:sz w:val="21"/>
              </w:rPr>
              <w:t>8）支持针对同一场考试中的不同考生，随机生成不同试卷。</w:t>
            </w:r>
          </w:p>
          <w:p>
            <w:pPr>
              <w:pStyle w:val="null3"/>
              <w:ind w:firstLine="420"/>
              <w:jc w:val="left"/>
            </w:pPr>
            <w:r>
              <w:rPr>
                <w:rFonts w:ascii="宋体" w:hAnsi="宋体" w:cs="宋体" w:eastAsia="宋体"/>
                <w:color w:val="000000"/>
                <w:sz w:val="21"/>
              </w:rPr>
              <w:t>17、互动功能</w:t>
            </w:r>
          </w:p>
          <w:p>
            <w:pPr>
              <w:pStyle w:val="null3"/>
              <w:ind w:firstLine="420"/>
              <w:jc w:val="left"/>
            </w:pPr>
            <w:r>
              <w:rPr>
                <w:rFonts w:ascii="宋体" w:hAnsi="宋体" w:cs="宋体" w:eastAsia="宋体"/>
                <w:color w:val="000000"/>
                <w:sz w:val="21"/>
              </w:rPr>
              <w:t>（</w:t>
            </w:r>
            <w:r>
              <w:rPr>
                <w:rFonts w:ascii="宋体" w:hAnsi="宋体" w:cs="宋体" w:eastAsia="宋体"/>
                <w:color w:val="000000"/>
                <w:sz w:val="21"/>
              </w:rPr>
              <w:t>1）支持创建问卷调查、线上投票等互动内容。</w:t>
            </w:r>
          </w:p>
          <w:p>
            <w:pPr>
              <w:pStyle w:val="null3"/>
              <w:ind w:firstLine="420"/>
              <w:jc w:val="left"/>
            </w:pPr>
            <w:r>
              <w:rPr>
                <w:rFonts w:ascii="宋体" w:hAnsi="宋体" w:cs="宋体" w:eastAsia="宋体"/>
                <w:color w:val="000000"/>
                <w:sz w:val="21"/>
              </w:rPr>
              <w:t>（</w:t>
            </w:r>
            <w:r>
              <w:rPr>
                <w:rFonts w:ascii="宋体" w:hAnsi="宋体" w:cs="宋体" w:eastAsia="宋体"/>
                <w:color w:val="000000"/>
                <w:sz w:val="21"/>
              </w:rPr>
              <w:t>2）支持面向指定的单个或多个用户/用户组，发起互动。</w:t>
            </w:r>
          </w:p>
          <w:p>
            <w:pPr>
              <w:pStyle w:val="null3"/>
              <w:ind w:firstLine="420"/>
              <w:jc w:val="left"/>
            </w:pPr>
            <w:r>
              <w:rPr>
                <w:rFonts w:ascii="宋体" w:hAnsi="宋体" w:cs="宋体" w:eastAsia="宋体"/>
                <w:color w:val="000000"/>
                <w:sz w:val="21"/>
              </w:rPr>
              <w:t>（</w:t>
            </w:r>
            <w:r>
              <w:rPr>
                <w:rFonts w:ascii="宋体" w:hAnsi="宋体" w:cs="宋体" w:eastAsia="宋体"/>
                <w:color w:val="000000"/>
                <w:sz w:val="21"/>
              </w:rPr>
              <w:t>3）支持实时查看互动情况，活动结束后支持发布互动结果。</w:t>
            </w:r>
          </w:p>
          <w:p>
            <w:pPr>
              <w:pStyle w:val="null3"/>
              <w:ind w:firstLine="420"/>
              <w:jc w:val="left"/>
            </w:pPr>
            <w:r>
              <w:rPr>
                <w:rFonts w:ascii="宋体" w:hAnsi="宋体" w:cs="宋体" w:eastAsia="宋体"/>
                <w:color w:val="000000"/>
                <w:sz w:val="21"/>
              </w:rPr>
              <w:t>18、数据统计</w:t>
            </w:r>
          </w:p>
          <w:p>
            <w:pPr>
              <w:pStyle w:val="null3"/>
              <w:ind w:firstLine="420"/>
              <w:jc w:val="left"/>
            </w:pPr>
            <w:r>
              <w:rPr>
                <w:rFonts w:ascii="宋体" w:hAnsi="宋体" w:cs="宋体" w:eastAsia="宋体"/>
                <w:color w:val="000000"/>
                <w:sz w:val="21"/>
              </w:rPr>
              <w:t>（</w:t>
            </w:r>
            <w:r>
              <w:rPr>
                <w:rFonts w:ascii="宋体" w:hAnsi="宋体" w:cs="宋体" w:eastAsia="宋体"/>
                <w:color w:val="000000"/>
                <w:sz w:val="21"/>
              </w:rPr>
              <w:t>1）支持平台整体数据统计呈现，如平台注册用户总数、年度/季度/月度访问量、月/周/日活跃用户数等。</w:t>
            </w:r>
          </w:p>
          <w:p>
            <w:pPr>
              <w:pStyle w:val="null3"/>
              <w:ind w:firstLine="420"/>
              <w:jc w:val="left"/>
            </w:pPr>
            <w:r>
              <w:rPr>
                <w:rFonts w:ascii="宋体" w:hAnsi="宋体" w:cs="宋体" w:eastAsia="宋体"/>
                <w:color w:val="000000"/>
                <w:sz w:val="21"/>
              </w:rPr>
              <w:t>（</w:t>
            </w:r>
            <w:r>
              <w:rPr>
                <w:rFonts w:ascii="宋体" w:hAnsi="宋体" w:cs="宋体" w:eastAsia="宋体"/>
                <w:color w:val="000000"/>
                <w:sz w:val="21"/>
              </w:rPr>
              <w:t>2）支持面向特定时段、特定用户/用户组及特定内容（课程/课程组、习题/题库、考试/试卷等）的数据筛选。</w:t>
            </w:r>
          </w:p>
          <w:p>
            <w:pPr>
              <w:pStyle w:val="null3"/>
              <w:ind w:firstLine="420"/>
              <w:jc w:val="left"/>
            </w:pPr>
            <w:r>
              <w:rPr>
                <w:rFonts w:ascii="宋体" w:hAnsi="宋体" w:cs="宋体" w:eastAsia="宋体"/>
                <w:color w:val="000000"/>
                <w:sz w:val="21"/>
              </w:rPr>
              <w:t>（</w:t>
            </w:r>
            <w:r>
              <w:rPr>
                <w:rFonts w:ascii="宋体" w:hAnsi="宋体" w:cs="宋体" w:eastAsia="宋体"/>
                <w:color w:val="000000"/>
                <w:sz w:val="21"/>
              </w:rPr>
              <w:t>3）支持对用户行为的统计，统计字段应包含但不限于指定时段内的登录次数、登录时长、观看课程数、完成学习任务数、参与考核数、参与问卷调查数、积分获取情况等。</w:t>
            </w:r>
          </w:p>
          <w:p>
            <w:pPr>
              <w:pStyle w:val="null3"/>
              <w:ind w:firstLine="420"/>
              <w:jc w:val="left"/>
            </w:pPr>
            <w:r>
              <w:rPr>
                <w:rFonts w:ascii="宋体" w:hAnsi="宋体" w:cs="宋体" w:eastAsia="宋体"/>
                <w:color w:val="000000"/>
                <w:sz w:val="21"/>
              </w:rPr>
              <w:t>（</w:t>
            </w:r>
            <w:r>
              <w:rPr>
                <w:rFonts w:ascii="宋体" w:hAnsi="宋体" w:cs="宋体" w:eastAsia="宋体"/>
                <w:color w:val="000000"/>
                <w:sz w:val="21"/>
              </w:rPr>
              <w:t>4）支持对课程/课程组访问情况的统计，统计字段应包含但不限于指定时段内的浏览量、完播率、评价数、平均评价分值、访问用户列表，以及每个用户的访问次数、观看时长、评价情况等。</w:t>
            </w:r>
          </w:p>
          <w:p>
            <w:pPr>
              <w:pStyle w:val="null3"/>
              <w:ind w:firstLine="420"/>
              <w:jc w:val="left"/>
            </w:pPr>
            <w:r>
              <w:rPr>
                <w:rFonts w:ascii="宋体" w:hAnsi="宋体" w:cs="宋体" w:eastAsia="宋体"/>
                <w:color w:val="000000"/>
                <w:sz w:val="21"/>
              </w:rPr>
              <w:t>（</w:t>
            </w:r>
            <w:r>
              <w:rPr>
                <w:rFonts w:ascii="宋体" w:hAnsi="宋体" w:cs="宋体" w:eastAsia="宋体"/>
                <w:color w:val="000000"/>
                <w:sz w:val="21"/>
              </w:rPr>
              <w:t>5）支持对学习任务/系列任务完成情况的统计，统计字段应包含但不限于任务推送人数、完成人数、整体完成率、推送用户列表，以及每个用户的任务完成情况、课程观看时长、学分获取情况等。</w:t>
            </w:r>
          </w:p>
          <w:p>
            <w:pPr>
              <w:pStyle w:val="null3"/>
              <w:ind w:firstLine="420"/>
              <w:jc w:val="left"/>
            </w:pPr>
            <w:r>
              <w:rPr>
                <w:rFonts w:ascii="宋体" w:hAnsi="宋体" w:cs="宋体" w:eastAsia="宋体"/>
                <w:color w:val="000000"/>
                <w:sz w:val="21"/>
              </w:rPr>
              <w:t>（</w:t>
            </w:r>
            <w:r>
              <w:rPr>
                <w:rFonts w:ascii="宋体" w:hAnsi="宋体" w:cs="宋体" w:eastAsia="宋体"/>
                <w:color w:val="000000"/>
                <w:sz w:val="21"/>
              </w:rPr>
              <w:t>6）支持对习题/考题的统计，统计字段应包含但不限于题目类型、使用次数、默认分值、难度、错题率/正确率等。</w:t>
            </w:r>
          </w:p>
          <w:p>
            <w:pPr>
              <w:pStyle w:val="null3"/>
              <w:ind w:firstLine="420"/>
              <w:jc w:val="left"/>
            </w:pPr>
            <w:r>
              <w:rPr>
                <w:rFonts w:ascii="宋体" w:hAnsi="宋体" w:cs="宋体" w:eastAsia="宋体"/>
                <w:color w:val="000000"/>
                <w:sz w:val="21"/>
              </w:rPr>
              <w:t>（</w:t>
            </w:r>
            <w:r>
              <w:rPr>
                <w:rFonts w:ascii="宋体" w:hAnsi="宋体" w:cs="宋体" w:eastAsia="宋体"/>
                <w:color w:val="000000"/>
                <w:sz w:val="21"/>
              </w:rPr>
              <w:t>7）支持对用户考核情况的统计，统计字段应包含但不限于考试开始时间、结束时间、应考人数、实考人数、整体参考率、合格率、平均成绩、应考用户列表，以及每个用户的参考时间、交卷时间、考试成绩、补考情况、试卷详情等。</w:t>
            </w:r>
          </w:p>
          <w:p>
            <w:pPr>
              <w:pStyle w:val="null3"/>
              <w:ind w:firstLine="420"/>
              <w:jc w:val="left"/>
            </w:pPr>
            <w:r>
              <w:rPr>
                <w:rFonts w:ascii="宋体" w:hAnsi="宋体" w:cs="宋体" w:eastAsia="宋体"/>
                <w:color w:val="000000"/>
                <w:sz w:val="21"/>
              </w:rPr>
              <w:t>19、积分管理</w:t>
            </w:r>
          </w:p>
          <w:p>
            <w:pPr>
              <w:pStyle w:val="null3"/>
              <w:ind w:firstLine="420"/>
              <w:jc w:val="left"/>
            </w:pPr>
            <w:r>
              <w:rPr>
                <w:rFonts w:ascii="宋体" w:hAnsi="宋体" w:cs="宋体" w:eastAsia="宋体"/>
                <w:color w:val="000000"/>
                <w:sz w:val="21"/>
              </w:rPr>
              <w:t>（</w:t>
            </w:r>
            <w:r>
              <w:rPr>
                <w:rFonts w:ascii="宋体" w:hAnsi="宋体" w:cs="宋体" w:eastAsia="宋体"/>
                <w:color w:val="000000"/>
                <w:sz w:val="21"/>
              </w:rPr>
              <w:t>1）支持面向登录用户设置平台积分任务、编辑任务分值，用户可通过完成任务获取相应积分。</w:t>
            </w:r>
          </w:p>
          <w:p>
            <w:pPr>
              <w:pStyle w:val="null3"/>
              <w:ind w:firstLine="420"/>
              <w:jc w:val="left"/>
            </w:pPr>
            <w:r>
              <w:rPr>
                <w:rFonts w:ascii="宋体" w:hAnsi="宋体" w:cs="宋体" w:eastAsia="宋体"/>
                <w:color w:val="000000"/>
                <w:sz w:val="21"/>
              </w:rPr>
              <w:t>（</w:t>
            </w:r>
            <w:r>
              <w:rPr>
                <w:rFonts w:ascii="宋体" w:hAnsi="宋体" w:cs="宋体" w:eastAsia="宋体"/>
                <w:color w:val="000000"/>
                <w:sz w:val="21"/>
              </w:rPr>
              <w:t>2）积分任务类型应包括但不限于用户登录、完成学习任务、获取学分、参与问卷调查、通过考核等。</w:t>
            </w:r>
          </w:p>
          <w:p>
            <w:pPr>
              <w:pStyle w:val="null3"/>
              <w:ind w:firstLine="420"/>
              <w:jc w:val="left"/>
            </w:pPr>
            <w:r>
              <w:rPr>
                <w:rFonts w:ascii="宋体" w:hAnsi="宋体" w:cs="宋体" w:eastAsia="宋体"/>
                <w:color w:val="000000"/>
                <w:sz w:val="21"/>
              </w:rPr>
              <w:t>（</w:t>
            </w:r>
            <w:r>
              <w:rPr>
                <w:rFonts w:ascii="宋体" w:hAnsi="宋体" w:cs="宋体" w:eastAsia="宋体"/>
                <w:color w:val="000000"/>
                <w:sz w:val="21"/>
              </w:rPr>
              <w:t>3）支持查询用户积分列表，追踪用户积分获取明细。</w:t>
            </w:r>
          </w:p>
          <w:p>
            <w:pPr>
              <w:pStyle w:val="null3"/>
              <w:ind w:firstLine="420"/>
              <w:jc w:val="left"/>
            </w:pPr>
            <w:r>
              <w:rPr>
                <w:rFonts w:ascii="宋体" w:hAnsi="宋体" w:cs="宋体" w:eastAsia="宋体"/>
                <w:color w:val="000000"/>
                <w:sz w:val="21"/>
              </w:rPr>
              <w:t>（</w:t>
            </w:r>
            <w:r>
              <w:rPr>
                <w:rFonts w:ascii="宋体" w:hAnsi="宋体" w:cs="宋体" w:eastAsia="宋体"/>
                <w:color w:val="000000"/>
                <w:sz w:val="21"/>
              </w:rPr>
              <w:t>4）支持面向特定用户或用户组添加、扣除积分。</w:t>
            </w:r>
          </w:p>
        </w:tc>
      </w:tr>
    </w:tbl>
    <w:p>
      <w:pPr>
        <w:pStyle w:val="null3"/>
        <w:outlineLvl w:val="2"/>
      </w:pPr>
      <w:r>
        <w:rPr>
          <w:b/>
          <w:sz w:val="28"/>
        </w:rPr>
        <w:t>3.2.3人员配置要求</w:t>
      </w:r>
    </w:p>
    <w:p>
      <w:pPr>
        <w:pStyle w:val="null3"/>
      </w:pPr>
      <w:r>
        <w:rPr/>
        <w:t>采购包1：</w:t>
      </w:r>
    </w:p>
    <w:p>
      <w:pPr>
        <w:pStyle w:val="null3"/>
      </w:pPr>
      <w:r>
        <w:rPr/>
        <w:t>满足采购服务要求</w:t>
      </w:r>
    </w:p>
    <w:p>
      <w:pPr>
        <w:pStyle w:val="null3"/>
        <w:outlineLvl w:val="2"/>
      </w:pPr>
      <w:r>
        <w:rPr>
          <w:b/>
          <w:sz w:val="28"/>
        </w:rPr>
        <w:t>3.2.4设施设备要求</w:t>
      </w:r>
    </w:p>
    <w:p>
      <w:pPr>
        <w:pStyle w:val="null3"/>
      </w:pPr>
      <w:r>
        <w:rPr/>
        <w:t>采购包1：</w:t>
      </w:r>
    </w:p>
    <w:p>
      <w:pPr>
        <w:pStyle w:val="null3"/>
      </w:pPr>
      <w:r>
        <w:rPr/>
        <w:t>满足采购服务要求</w:t>
      </w:r>
    </w:p>
    <w:p>
      <w:pPr>
        <w:pStyle w:val="null3"/>
        <w:outlineLvl w:val="2"/>
      </w:pPr>
      <w:r>
        <w:rPr>
          <w:b/>
          <w:sz w:val="28"/>
        </w:rPr>
        <w:t>3.2.5其他要求</w:t>
      </w:r>
    </w:p>
    <w:p>
      <w:pPr>
        <w:pStyle w:val="null3"/>
      </w:pPr>
      <w:r>
        <w:rPr/>
        <w:t>采购包1：</w:t>
      </w:r>
    </w:p>
    <w:p>
      <w:pPr>
        <w:pStyle w:val="null3"/>
      </w:pPr>
      <w:r>
        <w:rPr/>
        <w:t>详见采购服务要求</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自合同签订之日起365日</w:t>
      </w:r>
    </w:p>
    <w:p>
      <w:pPr>
        <w:pStyle w:val="null3"/>
        <w:outlineLvl w:val="3"/>
      </w:pPr>
      <w:r>
        <w:rPr>
          <w:b/>
          <w:sz w:val="24"/>
        </w:rPr>
        <w:t>3.3.2服务地点</w:t>
      </w:r>
    </w:p>
    <w:p>
      <w:pPr>
        <w:pStyle w:val="null3"/>
      </w:pPr>
      <w:r>
        <w:rPr/>
        <w:t>采购包1：</w:t>
      </w:r>
    </w:p>
    <w:p>
      <w:pPr>
        <w:pStyle w:val="null3"/>
      </w:pPr>
      <w:r>
        <w:rPr/>
        <w:t>采购人指定地点</w:t>
      </w:r>
    </w:p>
    <w:p>
      <w:pPr>
        <w:pStyle w:val="null3"/>
        <w:outlineLvl w:val="3"/>
      </w:pPr>
      <w:r>
        <w:rPr>
          <w:b/>
          <w:sz w:val="24"/>
        </w:rPr>
        <w:t>3.3.3考核（验收）标准和方法</w:t>
      </w:r>
    </w:p>
    <w:p>
      <w:pPr>
        <w:pStyle w:val="null3"/>
      </w:pPr>
      <w:r>
        <w:rPr/>
        <w:t>采购包1：</w:t>
      </w:r>
    </w:p>
    <w:p>
      <w:pPr>
        <w:pStyle w:val="null3"/>
      </w:pPr>
      <w:r>
        <w:rPr/>
        <w:t>以最终签订的合同为准</w:t>
      </w:r>
    </w:p>
    <w:p>
      <w:pPr>
        <w:pStyle w:val="null3"/>
        <w:outlineLvl w:val="3"/>
      </w:pPr>
      <w:r>
        <w:rPr>
          <w:b/>
          <w:sz w:val="24"/>
        </w:rPr>
        <w:t>3.3.4支付方式</w:t>
      </w:r>
    </w:p>
    <w:p>
      <w:pPr>
        <w:pStyle w:val="null3"/>
      </w:pPr>
      <w:r>
        <w:rPr/>
        <w:t>采购包1：</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合同签订后</w:t>
      </w:r>
      <w:r>
        <w:rPr/>
        <w:t xml:space="preserve"> ，达到付款条件起 </w:t>
      </w:r>
      <w:r>
        <w:rPr/>
        <w:t>30</w:t>
      </w:r>
      <w:r>
        <w:rPr/>
        <w:t xml:space="preserve"> 日内，支付合同总金额的 </w:t>
      </w:r>
      <w:r>
        <w:rPr/>
        <w:t>40.00</w:t>
      </w:r>
      <w:r>
        <w:rPr/>
        <w:t>%。</w:t>
      </w:r>
    </w:p>
    <w:p>
      <w:pPr>
        <w:pStyle w:val="null3"/>
      </w:pPr>
      <w:r>
        <w:rPr/>
        <w:t>采购包1：</w:t>
      </w:r>
      <w:r>
        <w:rPr/>
        <w:t xml:space="preserve"> 付款条件说明： </w:t>
      </w:r>
      <w:r>
        <w:rPr/>
        <w:t>合同签订6个月后，乙方交付截至该节点的项目执行情况统计表并提供相关佐证材料，经甲方审核确认</w:t>
      </w:r>
      <w:r>
        <w:rPr/>
        <w:t xml:space="preserve"> ，达到付款条件起 </w:t>
      </w:r>
      <w:r>
        <w:rPr/>
        <w:t>30</w:t>
      </w:r>
      <w:r>
        <w:rPr/>
        <w:t xml:space="preserve"> 日内，支付合同总金额的 </w:t>
      </w:r>
      <w:r>
        <w:rPr/>
        <w:t>50.00</w:t>
      </w:r>
      <w:r>
        <w:rPr/>
        <w:t>%。</w:t>
      </w:r>
    </w:p>
    <w:p>
      <w:pPr>
        <w:pStyle w:val="null3"/>
      </w:pPr>
      <w:r>
        <w:rPr/>
        <w:t>采购包1：</w:t>
      </w:r>
      <w:r>
        <w:rPr/>
        <w:t xml:space="preserve"> 付款条件说明： </w:t>
      </w:r>
      <w:r>
        <w:rPr/>
        <w:t>项目整体完成后，乙方交付项目执行情况统计表并提供相关佐证材料，经甲方审核确认</w:t>
      </w:r>
      <w:r>
        <w:rPr/>
        <w:t xml:space="preserve"> ，达到付款条件起 </w:t>
      </w:r>
      <w:r>
        <w:rPr/>
        <w:t>30</w:t>
      </w:r>
      <w:r>
        <w:rPr/>
        <w:t xml:space="preserve"> 日内，支付合同总金额的 </w:t>
      </w:r>
      <w:r>
        <w:rPr/>
        <w:t>10.00</w:t>
      </w:r>
      <w:r>
        <w:rPr/>
        <w:t>%。</w:t>
      </w:r>
    </w:p>
    <w:p>
      <w:pPr>
        <w:pStyle w:val="null3"/>
        <w:outlineLvl w:val="3"/>
      </w:pPr>
      <w:r>
        <w:rPr>
          <w:b/>
          <w:sz w:val="24"/>
        </w:rPr>
        <w:t>3.3.6违约责任及解决争议的方法</w:t>
      </w:r>
    </w:p>
    <w:p>
      <w:pPr>
        <w:pStyle w:val="null3"/>
      </w:pPr>
      <w:r>
        <w:rPr/>
        <w:t>采购包1：</w:t>
      </w:r>
    </w:p>
    <w:p>
      <w:pPr>
        <w:pStyle w:val="null3"/>
      </w:pPr>
      <w:r>
        <w:rPr/>
        <w:t>详见采购合同</w:t>
      </w:r>
    </w:p>
    <w:p>
      <w:pPr>
        <w:pStyle w:val="null3"/>
        <w:outlineLvl w:val="2"/>
      </w:pPr>
      <w:r>
        <w:rPr>
          <w:b/>
          <w:sz w:val="28"/>
        </w:rPr>
        <w:t>3.4其他要求</w:t>
      </w:r>
    </w:p>
    <w:p>
      <w:pPr>
        <w:pStyle w:val="null3"/>
      </w:pPr>
      <w:r>
        <w:rPr/>
        <w:t>3.4.1.竞争性磋商项目实行二轮报价，第一次报价后，磋商小组可以变更采购需求中的技术、服务要求以及合同草案条款，二轮报价为最终报价。 3.4.2.磋商开始后，出现下列情形之一的，采购代理机构将终止竞争性磋商采购活动，发布项目终止公告并说明原因，重新开展采购活动： （1）因情况变化，不再符合规定的竞争性磋商采购方式适用情形的； （2）出现影响采购公正的违法、违规行为的； （3）在采购过程中符合要求的供应商不足3家的 （不包含政府购买服务项目）； （4）报价未超过采购预算的供应商不足3家的。 （5）因重大变故，采购任务取消的。 3.4.3. 提交最后报价的供应商为2家时，可以继续进行磋商的情形： （1）市场竞争不充分的科研项目，以及需要扶持的科技成果转化项目； （2）政府购买服务项目（含政府和社会资本项目）。</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信用担保和信用融资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具有独立承担民事责任能力的法人、其他组织或自然人，提供合法有效的统一社会信用代码营业执照（事业单位法人证书/专业服务机构执业许可证/民办非企业单位登记证书，自然人提供身份证）。供应商需在项目电子化交易系统中按要求提供相关证明材料并进行电子签章。</w:t>
            </w:r>
          </w:p>
        </w:tc>
        <w:tc>
          <w:tcPr>
            <w:tcW w:type="dxa" w:w="1661"/>
          </w:tcPr>
          <w:p>
            <w:pPr>
              <w:pStyle w:val="null3"/>
            </w:pPr>
            <w:r>
              <w:rPr/>
              <w:t>供应商应提供的资格证明文件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财务状况报告：提供2022年度或2023年度经审计的财务报告（包括“四表一注”，即资产负债表、利润表、现金流量表、所有者权益变动表及其附注，成立时间至提交磋商响应文件截止时间不足一年的可提供成立后任意时段的财务报表） ，或其开标前三个月内基本开户银行出具的资信证明，或信用担保机构出具的投标担保函（以上三种形式的资料提供任何一种即可）。事业单位法人参与磋商可不提供财务状况报告、社会保障资金缴纳证明及税收缴纳证明。供应商需在项目电子化交易系统中按要求提供相关证明材料并进行电子签章。</w:t>
            </w:r>
          </w:p>
        </w:tc>
        <w:tc>
          <w:tcPr>
            <w:tcW w:type="dxa" w:w="1661"/>
          </w:tcPr>
          <w:p>
            <w:pPr>
              <w:pStyle w:val="null3"/>
            </w:pPr>
            <w:r>
              <w:rPr/>
              <w:t>供应商应提供的资格证明文件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税收缴纳证明：提供递交磋商响应文件截止之日前一年内任意一个月的依法缴纳税收的相关凭据，凭据应有税务机关或代收机关的公章或业务专用章。依法免税或无须缴纳税收的供应商，应提供相应证明文件。 事业单位法人参与磋商可不提供财务状况报告、社会保障资金缴纳证明及税收缴纳证明。供应商需在项目电子化交易系统中按要求提供相关证明材料并进行电子签章。</w:t>
            </w:r>
          </w:p>
        </w:tc>
        <w:tc>
          <w:tcPr>
            <w:tcW w:type="dxa" w:w="1661"/>
          </w:tcPr>
          <w:p>
            <w:pPr>
              <w:pStyle w:val="null3"/>
            </w:pPr>
            <w:r>
              <w:rPr/>
              <w:t>供应商应提供的资格证明文件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社会保障资金缴纳证明：提供递交磋商响应文件截止之日前一年内任意一个月的 社会保障资金缴存单据或社保机构开具的社会保险参保缴费情况证明。依法不需要缴纳社会保障资金的供应商应提供相关证明文件。事业单位法人参与磋商可不提供财务状况报告、社会保障资金缴纳证明及税收缴纳证明。供应商需在项目电子化交易系统中按要求提供相关证明材料并进行电子签章。</w:t>
            </w:r>
          </w:p>
        </w:tc>
        <w:tc>
          <w:tcPr>
            <w:tcW w:type="dxa" w:w="1661"/>
          </w:tcPr>
          <w:p>
            <w:pPr>
              <w:pStyle w:val="null3"/>
            </w:pPr>
            <w:r>
              <w:rPr/>
              <w:t>供应商应提供的资格证明文件</w:t>
            </w:r>
          </w:p>
        </w:tc>
      </w:tr>
      <w:tr>
        <w:tc>
          <w:tcPr>
            <w:tcW w:type="dxa" w:w="831"/>
          </w:tcPr>
          <w:p>
            <w:pPr>
              <w:pStyle w:val="null3"/>
            </w:pPr>
            <w:r>
              <w:rPr/>
              <w:t>5</w:t>
            </w:r>
          </w:p>
        </w:tc>
        <w:tc>
          <w:tcPr>
            <w:tcW w:type="dxa" w:w="2492"/>
          </w:tcPr>
          <w:p>
            <w:pPr>
              <w:pStyle w:val="null3"/>
            </w:pPr>
            <w:r>
              <w:rPr/>
              <w:t>具有履行合同所必需的设备和专业技术能力的书面声明</w:t>
            </w:r>
          </w:p>
        </w:tc>
        <w:tc>
          <w:tcPr>
            <w:tcW w:type="dxa" w:w="3322"/>
          </w:tcPr>
          <w:p>
            <w:pPr>
              <w:pStyle w:val="null3"/>
            </w:pPr>
            <w:r>
              <w:rPr/>
              <w:t>书面声明：提供书面声明，包括声明具有履行合同所必需的设备和专业技术能力。供应商需在项目电子化交易系统中按要求提供相关证明材料并进行电子签章。</w:t>
            </w:r>
          </w:p>
        </w:tc>
        <w:tc>
          <w:tcPr>
            <w:tcW w:type="dxa" w:w="1661"/>
          </w:tcPr>
          <w:p>
            <w:pPr>
              <w:pStyle w:val="null3"/>
            </w:pPr>
            <w:r>
              <w:rPr/>
              <w:t>履行合同所必需的设备和专业技术能力的书面声明</w:t>
            </w:r>
          </w:p>
        </w:tc>
      </w:tr>
      <w:tr>
        <w:tc>
          <w:tcPr>
            <w:tcW w:type="dxa" w:w="831"/>
          </w:tcPr>
          <w:p>
            <w:pPr>
              <w:pStyle w:val="null3"/>
            </w:pPr>
            <w:r>
              <w:rPr/>
              <w:t>6</w:t>
            </w:r>
          </w:p>
        </w:tc>
        <w:tc>
          <w:tcPr>
            <w:tcW w:type="dxa" w:w="2492"/>
          </w:tcPr>
          <w:p>
            <w:pPr>
              <w:pStyle w:val="null3"/>
            </w:pPr>
            <w:r>
              <w:rPr/>
              <w:t>3年内在经营活动中没有重大违纪书面声明</w:t>
            </w:r>
          </w:p>
        </w:tc>
        <w:tc>
          <w:tcPr>
            <w:tcW w:type="dxa" w:w="3322"/>
          </w:tcPr>
          <w:p>
            <w:pPr>
              <w:pStyle w:val="null3"/>
            </w:pPr>
            <w:r>
              <w:rPr/>
              <w:t>参加本次政府采购活动前3年内在经营活动中没有重大违纪，以及未被列入失信被执行人、重大税收违法失信主体、政府采购严重违法失信行为记录名单的书面声明；供应商需在项目电子化交易系统中按要求提供相关证明材料并进行电子签章。</w:t>
            </w:r>
          </w:p>
        </w:tc>
        <w:tc>
          <w:tcPr>
            <w:tcW w:type="dxa" w:w="1661"/>
          </w:tcPr>
          <w:p>
            <w:pPr>
              <w:pStyle w:val="null3"/>
            </w:pPr>
            <w:r>
              <w:rPr/>
              <w:t>无围标、串标行为承诺书 参加政府采购活动前3年内在经营活动中没有重大违法记录的书面声明</w:t>
            </w:r>
          </w:p>
        </w:tc>
      </w:tr>
      <w:tr>
        <w:tc>
          <w:tcPr>
            <w:tcW w:type="dxa" w:w="831"/>
          </w:tcPr>
          <w:p>
            <w:pPr>
              <w:pStyle w:val="null3"/>
            </w:pPr>
            <w:r>
              <w:rPr/>
              <w:t>7</w:t>
            </w:r>
          </w:p>
        </w:tc>
        <w:tc>
          <w:tcPr>
            <w:tcW w:type="dxa" w:w="2492"/>
          </w:tcPr>
          <w:p>
            <w:pPr>
              <w:pStyle w:val="null3"/>
            </w:pPr>
            <w:r>
              <w:rPr/>
              <w:t>法人授权书</w:t>
            </w:r>
          </w:p>
        </w:tc>
        <w:tc>
          <w:tcPr>
            <w:tcW w:type="dxa" w:w="3322"/>
          </w:tcPr>
          <w:p>
            <w:pPr>
              <w:pStyle w:val="null3"/>
            </w:pPr>
            <w:r>
              <w:rPr/>
              <w:t>法定代表人直接参加磋商的，须出具法定代表人身份证明；授权代表参加磋商的，须出具法定代表人授权书及授权代表身份证；供应商需在项目电子化交易系统中按要求提供相关证明材料并进行电子签章。</w:t>
            </w:r>
          </w:p>
        </w:tc>
        <w:tc>
          <w:tcPr>
            <w:tcW w:type="dxa" w:w="1661"/>
          </w:tcPr>
          <w:p>
            <w:pPr>
              <w:pStyle w:val="null3"/>
            </w:pPr>
            <w:r>
              <w:rPr/>
              <w:t>法人授权委托书 法定代表人身份证明</w:t>
            </w:r>
          </w:p>
        </w:tc>
      </w:tr>
      <w:tr>
        <w:tc>
          <w:tcPr>
            <w:tcW w:type="dxa" w:w="831"/>
          </w:tcPr>
          <w:p>
            <w:pPr>
              <w:pStyle w:val="null3"/>
            </w:pPr>
            <w:r>
              <w:rPr/>
              <w:t>8</w:t>
            </w:r>
          </w:p>
        </w:tc>
        <w:tc>
          <w:tcPr>
            <w:tcW w:type="dxa" w:w="2492"/>
          </w:tcPr>
          <w:p>
            <w:pPr>
              <w:pStyle w:val="null3"/>
            </w:pPr>
            <w:r>
              <w:rPr/>
              <w:t>信用中国</w:t>
            </w:r>
          </w:p>
        </w:tc>
        <w:tc>
          <w:tcPr>
            <w:tcW w:type="dxa" w:w="3322"/>
          </w:tcPr>
          <w:p>
            <w:pPr>
              <w:pStyle w:val="null3"/>
            </w:pPr>
            <w:r>
              <w:rPr/>
              <w:t>供应商未被“信用中国”网站（www.creditchina.gov.cn）中列入失信被执行人和重大税收违法失信主体，在中国政府采购网（www.ccgp.gov.cn）政府采购严重违法失信行为记录名单中未被财政部门禁止参加政府采购活动的供应商；</w:t>
            </w:r>
          </w:p>
        </w:tc>
        <w:tc>
          <w:tcPr>
            <w:tcW w:type="dxa" w:w="1661"/>
          </w:tcPr>
          <w:p>
            <w:pPr>
              <w:pStyle w:val="null3"/>
            </w:pPr>
            <w:r>
              <w:rPr/>
              <w:t>供应商应提供的资格证明文件</w:t>
            </w:r>
          </w:p>
        </w:tc>
      </w:tr>
      <w:tr>
        <w:tc>
          <w:tcPr>
            <w:tcW w:type="dxa" w:w="831"/>
          </w:tcPr>
          <w:p>
            <w:pPr>
              <w:pStyle w:val="null3"/>
            </w:pPr>
            <w:r>
              <w:rPr/>
              <w:t>9</w:t>
            </w:r>
          </w:p>
        </w:tc>
        <w:tc>
          <w:tcPr>
            <w:tcW w:type="dxa" w:w="2492"/>
          </w:tcPr>
          <w:p>
            <w:pPr>
              <w:pStyle w:val="null3"/>
            </w:pPr>
            <w:r>
              <w:rPr/>
              <w:t>供应商关联关系声明</w:t>
            </w:r>
          </w:p>
        </w:tc>
        <w:tc>
          <w:tcPr>
            <w:tcW w:type="dxa" w:w="3322"/>
          </w:tcPr>
          <w:p>
            <w:pPr>
              <w:pStyle w:val="null3"/>
            </w:pPr>
            <w:r>
              <w:rPr/>
              <w:t>供应商关联关系声明，包括：①控股管理关系（不得与参加本项目的其他投标单位负责人为同一人或者存在直接控股、管理关系），②未为本项目提供整体设计、规范编制或者项目管理、监理、检测等服务；供应商需在项目电子化交易系统中按要求提供相关证明材料并进行电子签章。</w:t>
            </w:r>
          </w:p>
        </w:tc>
        <w:tc>
          <w:tcPr>
            <w:tcW w:type="dxa" w:w="1661"/>
          </w:tcPr>
          <w:p>
            <w:pPr>
              <w:pStyle w:val="null3"/>
            </w:pPr>
            <w:r>
              <w:rPr/>
              <w:t>供应商企业关系关联声明</w:t>
            </w:r>
          </w:p>
        </w:tc>
      </w:tr>
    </w:tbl>
    <w:p>
      <w:pPr>
        <w:pStyle w:val="null3"/>
      </w:pPr>
      <w:r>
        <w:rPr/>
        <w:t xml:space="preserve"> </w:t>
        <w:br/>
        <w:br w:type="page"/>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供应商名称</w:t>
            </w:r>
          </w:p>
        </w:tc>
        <w:tc>
          <w:tcPr>
            <w:tcW w:type="dxa" w:w="3322"/>
          </w:tcPr>
          <w:p>
            <w:pPr>
              <w:pStyle w:val="null3"/>
            </w:pPr>
            <w:r>
              <w:rPr/>
              <w:t>供应商名称和公章、营业执照一致</w:t>
            </w:r>
          </w:p>
        </w:tc>
        <w:tc>
          <w:tcPr>
            <w:tcW w:type="dxa" w:w="1661"/>
          </w:tcPr>
          <w:p>
            <w:pPr>
              <w:pStyle w:val="null3"/>
            </w:pPr>
            <w:r>
              <w:rPr/>
              <w:t>响应文件封面</w:t>
            </w:r>
          </w:p>
        </w:tc>
      </w:tr>
      <w:tr>
        <w:tc>
          <w:tcPr>
            <w:tcW w:type="dxa" w:w="831"/>
          </w:tcPr>
          <w:p>
            <w:pPr>
              <w:pStyle w:val="null3"/>
            </w:pPr>
            <w:r>
              <w:rPr/>
              <w:t>3</w:t>
            </w:r>
          </w:p>
        </w:tc>
        <w:tc>
          <w:tcPr>
            <w:tcW w:type="dxa" w:w="2492"/>
          </w:tcPr>
          <w:p>
            <w:pPr>
              <w:pStyle w:val="null3"/>
            </w:pPr>
            <w:r>
              <w:rPr/>
              <w:t>磋商报价</w:t>
            </w:r>
          </w:p>
        </w:tc>
        <w:tc>
          <w:tcPr>
            <w:tcW w:type="dxa" w:w="3322"/>
          </w:tcPr>
          <w:p>
            <w:pPr>
              <w:pStyle w:val="null3"/>
            </w:pPr>
            <w:r>
              <w:rPr/>
              <w:t>完整无缺项，无选择性报价</w:t>
            </w:r>
          </w:p>
        </w:tc>
        <w:tc>
          <w:tcPr>
            <w:tcW w:type="dxa" w:w="1661"/>
          </w:tcPr>
          <w:p>
            <w:pPr>
              <w:pStyle w:val="null3"/>
            </w:pPr>
            <w:r>
              <w:rPr/>
              <w:t>标的清单 报价表</w:t>
            </w:r>
          </w:p>
        </w:tc>
      </w:tr>
      <w:tr>
        <w:tc>
          <w:tcPr>
            <w:tcW w:type="dxa" w:w="831"/>
          </w:tcPr>
          <w:p>
            <w:pPr>
              <w:pStyle w:val="null3"/>
            </w:pPr>
            <w:r>
              <w:rPr/>
              <w:t>4</w:t>
            </w:r>
          </w:p>
        </w:tc>
        <w:tc>
          <w:tcPr>
            <w:tcW w:type="dxa" w:w="2492"/>
          </w:tcPr>
          <w:p>
            <w:pPr>
              <w:pStyle w:val="null3"/>
            </w:pPr>
            <w:r>
              <w:rPr/>
              <w:t>响应文件的有效期</w:t>
            </w:r>
          </w:p>
        </w:tc>
        <w:tc>
          <w:tcPr>
            <w:tcW w:type="dxa" w:w="3322"/>
          </w:tcPr>
          <w:p>
            <w:pPr>
              <w:pStyle w:val="null3"/>
            </w:pPr>
            <w:r>
              <w:rPr/>
              <w:t>自开标之日起不少于90个日历日</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响应文件签字、盖章</w:t>
            </w:r>
          </w:p>
        </w:tc>
        <w:tc>
          <w:tcPr>
            <w:tcW w:type="dxa" w:w="3322"/>
          </w:tcPr>
          <w:p>
            <w:pPr>
              <w:pStyle w:val="null3"/>
            </w:pPr>
            <w:r>
              <w:rPr/>
              <w:t>响应文件的签字盖章合格有效</w:t>
            </w:r>
          </w:p>
        </w:tc>
        <w:tc>
          <w:tcPr>
            <w:tcW w:type="dxa" w:w="1661"/>
          </w:tcPr>
          <w:p>
            <w:pPr>
              <w:pStyle w:val="null3"/>
            </w:pPr>
            <w:r>
              <w:rPr/>
              <w:t>响应文件封面 拒绝商业贿赂承诺书 非联合体不分包响应声明 响应函</w:t>
            </w:r>
          </w:p>
        </w:tc>
      </w:tr>
      <w:tr>
        <w:tc>
          <w:tcPr>
            <w:tcW w:type="dxa" w:w="831"/>
          </w:tcPr>
          <w:p>
            <w:pPr>
              <w:pStyle w:val="null3"/>
            </w:pPr>
            <w:r>
              <w:rPr/>
              <w:t>6</w:t>
            </w:r>
          </w:p>
        </w:tc>
        <w:tc>
          <w:tcPr>
            <w:tcW w:type="dxa" w:w="2492"/>
          </w:tcPr>
          <w:p>
            <w:pPr>
              <w:pStyle w:val="null3"/>
            </w:pPr>
            <w:r>
              <w:rPr/>
              <w:t>服务期</w:t>
            </w:r>
          </w:p>
        </w:tc>
        <w:tc>
          <w:tcPr>
            <w:tcW w:type="dxa" w:w="3322"/>
          </w:tcPr>
          <w:p>
            <w:pPr>
              <w:pStyle w:val="null3"/>
            </w:pPr>
            <w:r>
              <w:rPr/>
              <w:t>满足磋商文件要求</w:t>
            </w:r>
          </w:p>
        </w:tc>
        <w:tc>
          <w:tcPr>
            <w:tcW w:type="dxa" w:w="1661"/>
          </w:tcPr>
          <w:p>
            <w:pPr>
              <w:pStyle w:val="null3"/>
            </w:pPr>
            <w:r>
              <w:rPr/>
              <w:t>标的清单 响应函</w:t>
            </w:r>
          </w:p>
        </w:tc>
      </w:tr>
      <w:tr>
        <w:tc>
          <w:tcPr>
            <w:tcW w:type="dxa" w:w="831"/>
          </w:tcPr>
          <w:p>
            <w:pPr>
              <w:pStyle w:val="null3"/>
            </w:pPr>
            <w:r>
              <w:rPr/>
              <w:t>7</w:t>
            </w:r>
          </w:p>
        </w:tc>
        <w:tc>
          <w:tcPr>
            <w:tcW w:type="dxa" w:w="2492"/>
          </w:tcPr>
          <w:p>
            <w:pPr>
              <w:pStyle w:val="null3"/>
            </w:pPr>
            <w:r>
              <w:rPr/>
              <w:t>付款方式</w:t>
            </w:r>
          </w:p>
        </w:tc>
        <w:tc>
          <w:tcPr>
            <w:tcW w:type="dxa" w:w="3322"/>
          </w:tcPr>
          <w:p>
            <w:pPr>
              <w:pStyle w:val="null3"/>
            </w:pPr>
            <w:r>
              <w:rPr/>
              <w:t>满足磋商文件要求</w:t>
            </w:r>
          </w:p>
        </w:tc>
        <w:tc>
          <w:tcPr>
            <w:tcW w:type="dxa" w:w="1661"/>
          </w:tcPr>
          <w:p>
            <w:pPr>
              <w:pStyle w:val="null3"/>
            </w:pPr>
            <w:r>
              <w:rPr/>
              <w:t>商务偏离表 标的清单</w:t>
            </w:r>
          </w:p>
        </w:tc>
      </w:tr>
      <w:tr>
        <w:tc>
          <w:tcPr>
            <w:tcW w:type="dxa" w:w="831"/>
          </w:tcPr>
          <w:p>
            <w:pPr>
              <w:pStyle w:val="null3"/>
            </w:pPr>
            <w:r>
              <w:rPr/>
              <w:t>8</w:t>
            </w:r>
          </w:p>
        </w:tc>
        <w:tc>
          <w:tcPr>
            <w:tcW w:type="dxa" w:w="2492"/>
          </w:tcPr>
          <w:p>
            <w:pPr>
              <w:pStyle w:val="null3"/>
            </w:pPr>
            <w:r>
              <w:rPr/>
              <w:t>磋商保证金</w:t>
            </w:r>
          </w:p>
        </w:tc>
        <w:tc>
          <w:tcPr>
            <w:tcW w:type="dxa" w:w="3322"/>
          </w:tcPr>
          <w:p>
            <w:pPr>
              <w:pStyle w:val="null3"/>
            </w:pPr>
            <w:r>
              <w:rPr/>
              <w:t>符合磋商文件要求</w:t>
            </w:r>
          </w:p>
        </w:tc>
        <w:tc>
          <w:tcPr>
            <w:tcW w:type="dxa" w:w="1661"/>
          </w:tcPr>
          <w:p>
            <w:pPr>
              <w:pStyle w:val="null3"/>
            </w:pPr>
            <w:r>
              <w:rPr/>
              <w:t>响应文件封面 保证金退还信息表 保证金缴纳凭证</w:t>
            </w:r>
          </w:p>
        </w:tc>
      </w:tr>
      <w:tr>
        <w:tc>
          <w:tcPr>
            <w:tcW w:type="dxa" w:w="831"/>
          </w:tcPr>
          <w:p>
            <w:pPr>
              <w:pStyle w:val="null3"/>
            </w:pPr>
            <w:r>
              <w:rPr/>
              <w:t>9</w:t>
            </w:r>
          </w:p>
        </w:tc>
        <w:tc>
          <w:tcPr>
            <w:tcW w:type="dxa" w:w="2492"/>
          </w:tcPr>
          <w:p>
            <w:pPr>
              <w:pStyle w:val="null3"/>
            </w:pPr>
            <w:r>
              <w:rPr/>
              <w:t>其他情形</w:t>
            </w:r>
          </w:p>
        </w:tc>
        <w:tc>
          <w:tcPr>
            <w:tcW w:type="dxa" w:w="3322"/>
          </w:tcPr>
          <w:p>
            <w:pPr>
              <w:pStyle w:val="null3"/>
            </w:pPr>
            <w:r>
              <w:rPr/>
              <w:t>无不符合法律法规或磋商文件规定的无效条款</w:t>
            </w:r>
          </w:p>
        </w:tc>
        <w:tc>
          <w:tcPr>
            <w:tcW w:type="dxa" w:w="1661"/>
          </w:tcPr>
          <w:p>
            <w:pPr>
              <w:pStyle w:val="null3"/>
            </w:pPr>
            <w:r>
              <w:rPr/>
              <w:t>无围标、串标行为承诺书 拒绝商业贿赂承诺书 供应商企业关系关联声明 保证金缴纳凭证 非联合体不分包响应声明</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培训平台</w:t>
            </w:r>
          </w:p>
        </w:tc>
        <w:tc>
          <w:tcPr>
            <w:tcW w:type="dxa" w:w="2492"/>
          </w:tcPr>
          <w:p>
            <w:pPr>
              <w:pStyle w:val="null3"/>
            </w:pPr>
            <w:r>
              <w:rPr/>
              <w:t>针对本文件第三章 3.2.2服务要求“第五条培训平台技术参数”中罗列的共计19个功能需求条款进行逐条响应，每满足一条（完整满足该条下所有子条目视为满足）得1分，共计19分。供应商需针对该部分罗列的每个子条目，明确答复所提供的平台是否满足其描述的功能需求，并就有关功能做出尽可能详实的描述，简单答复（如有此功能、能满足、可实现等）不得分，复制磋商文件内容不得分，每有一个子条目未满足扣0.5分、每条最多扣1分。</w:t>
            </w:r>
          </w:p>
        </w:tc>
        <w:tc>
          <w:tcPr>
            <w:tcW w:type="dxa" w:w="831"/>
          </w:tcPr>
          <w:p>
            <w:pPr>
              <w:pStyle w:val="null3"/>
              <w:jc w:val="right"/>
            </w:pPr>
            <w:r>
              <w:rPr/>
              <w:t>19.00</w:t>
            </w:r>
          </w:p>
        </w:tc>
        <w:tc>
          <w:tcPr>
            <w:tcW w:type="dxa" w:w="831"/>
          </w:tcPr>
          <w:p>
            <w:pPr>
              <w:pStyle w:val="null3"/>
            </w:pPr>
            <w:r>
              <w:rPr/>
              <w:t>客观</w:t>
            </w:r>
          </w:p>
        </w:tc>
        <w:tc>
          <w:tcPr>
            <w:tcW w:type="dxa" w:w="1661"/>
          </w:tcPr>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培训平台运维服务方案</w:t>
            </w:r>
          </w:p>
        </w:tc>
        <w:tc>
          <w:tcPr>
            <w:tcW w:type="dxa" w:w="2492"/>
          </w:tcPr>
          <w:p>
            <w:pPr>
              <w:pStyle w:val="null3"/>
            </w:pPr>
            <w:r>
              <w:rPr/>
              <w:t>根据供应商针对本项目提供的培训平台运维服务方案（包含但不限于①在线培训平台运维目标②实施规划③人员分配等方面）进行评审。方案完整，完全包含以上三项且满足实际工作需求，每一项内容描述详细内容全面得6分，每缺少一项扣2分，每有一项缺陷（缺陷是指不适用项目实际情况、凭空编造、存在逻辑漏洞、科学原理错误、不可能实现的夸大情形以及涉及的规范、标准与本项目要求不一致等）扣1分，扣完为止。 说明：未提供不得分。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项目团队、人员构成</w:t>
            </w:r>
          </w:p>
        </w:tc>
        <w:tc>
          <w:tcPr>
            <w:tcW w:type="dxa" w:w="2492"/>
          </w:tcPr>
          <w:p>
            <w:pPr>
              <w:pStyle w:val="null3"/>
            </w:pPr>
            <w:r>
              <w:rPr/>
              <w:t>拟派项目人2021年1月至今的类似项目业绩（提供体现项目负责人姓名的合同或中标通知书或甲方提供的证明材料等），每提供一个得1分，最多得2分。 根据供应商提供运维团队的①成员人数②成员分工及专业等进行评审。 团队成员人数合理、专业性强、项目经验丰富、分工明确合理。完全包含以上两项且满足实际工作需求，每一项内容描述详细内容全面得4分，每缺少一项扣2分，每有一项缺陷（缺陷是指不适用项目实际情况、凭空编造、存在逻辑漏洞、科学原理错误、不可能实现的夸大情形以及涉及的规范、标准与本项目要求不一致等）扣1分，扣完为止。 说明：未提供不得分。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服务方案</w:t>
            </w:r>
          </w:p>
          <w:p>
            <w:pPr>
              <w:pStyle w:val="null3"/>
            </w:pPr>
            <w:r>
              <w:rPr/>
              <w:t>拟派项目负责人简历表</w:t>
            </w:r>
          </w:p>
          <w:p>
            <w:pPr>
              <w:pStyle w:val="null3"/>
            </w:pPr>
            <w:r>
              <w:rPr/>
              <w:t>拟派项目团队人员清单</w:t>
            </w:r>
          </w:p>
        </w:tc>
      </w:tr>
      <w:tr>
        <w:tc>
          <w:tcPr>
            <w:tcW w:type="dxa" w:w="831"/>
            <w:vMerge/>
          </w:tcPr>
          <w:p/>
        </w:tc>
        <w:tc>
          <w:tcPr>
            <w:tcW w:type="dxa" w:w="1661"/>
          </w:tcPr>
          <w:p>
            <w:pPr>
              <w:pStyle w:val="null3"/>
            </w:pPr>
            <w:r>
              <w:rPr/>
              <w:t>服务响应方案</w:t>
            </w:r>
          </w:p>
        </w:tc>
        <w:tc>
          <w:tcPr>
            <w:tcW w:type="dxa" w:w="2492"/>
          </w:tcPr>
          <w:p>
            <w:pPr>
              <w:pStyle w:val="null3"/>
            </w:pPr>
            <w:r>
              <w:rPr/>
              <w:t>根据供应商针对本项目提供的服务响应方案（包含但不限于①现场服务②网络服务③电话服务等） 方案完整，完全包含以上三项且满足实际工作需求，每一项内容描述详细内容全面得6分，每缺少一项扣2分，每有一项缺陷（缺陷是指不适用项目实际情况、凭空编造、存在逻辑漏洞、科学原理错误、不可能实现的夸大情形以及涉及的规范、标准与本项目要求不一致等）扣1分，扣完为止。 说明：未提供不得分。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日常培训方案</w:t>
            </w:r>
          </w:p>
        </w:tc>
        <w:tc>
          <w:tcPr>
            <w:tcW w:type="dxa" w:w="2492"/>
          </w:tcPr>
          <w:p>
            <w:pPr>
              <w:pStyle w:val="null3"/>
            </w:pPr>
            <w:r>
              <w:rPr/>
              <w:t>供应商根据本文件服务内容部分的描述，针对服务期内所有日常性（每周、每月须提供的课程）视频微课和直播课程，提供包含但不限于①培训理念②培训目标③课程类别、各类别课程数量④学习任务推送计划等方面的服务方案。 方案完整，完全包含以上四项且满足实际工作需求，每一项内容描述详细内容全面得6分，每缺少一项扣1.5分，每有一项缺陷（缺陷是指不适用项目实际情况、凭空编造、存在逻辑漏洞、科学原理错误、不可能实现的夸大情形以及涉及的规范、标准与本项目要求不一致等）扣1分，扣完为止。 说明：未提供不得分。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培训师资</w:t>
            </w:r>
          </w:p>
        </w:tc>
        <w:tc>
          <w:tcPr>
            <w:tcW w:type="dxa" w:w="2492"/>
          </w:tcPr>
          <w:p>
            <w:pPr>
              <w:pStyle w:val="null3"/>
            </w:pPr>
            <w:r>
              <w:rPr/>
              <w:t>供应商罗列将为本项目提供培训服务的行业讲师及相关培训履历，并附近两年内的行业培训课程列表，每提供一人计1分，最多6分。未提供履历或履历中未附培训课程列表者不得分，行业授课经验低于两年者不得分，近两年内培训场次低于5场者不得分，无线上培训经验者不得分。</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课件供应</w:t>
            </w:r>
          </w:p>
        </w:tc>
        <w:tc>
          <w:tcPr>
            <w:tcW w:type="dxa" w:w="2492"/>
          </w:tcPr>
          <w:p>
            <w:pPr>
              <w:pStyle w:val="null3"/>
            </w:pPr>
            <w:r>
              <w:rPr/>
              <w:t>供应商就自身行业①课程来源②课件标准③课程开发能力等做出详细说明等进行评审。 课程来源稳定、课程质量可靠、对项目服务对象业务课件需求的理解精准，完全包含以上三项且满足实际工作需求，每一项内容描述详细内容全面得6分，每缺少一项扣2分，每有一项缺陷（缺陷是指不适用项目实际情况、凭空编造、存在逻辑漏洞、科学原理错误、不可能实现的夸大情形以及涉及的规范、标准与本项目要求不一致等）扣1分，扣完为止。 说明：未提供不得分。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质量保证措施</w:t>
            </w:r>
          </w:p>
        </w:tc>
        <w:tc>
          <w:tcPr>
            <w:tcW w:type="dxa" w:w="2492"/>
          </w:tcPr>
          <w:p>
            <w:pPr>
              <w:pStyle w:val="null3"/>
            </w:pPr>
            <w:r>
              <w:rPr/>
              <w:t>供应商就培训平台的系统稳定性访问流畅性功能合理性可扩展性等提供相关说明，并针对平台出现①故障②卡顿③功能、参数④操作不符合采购人业务需求的情况提供质量保障措施。 保障措施的周密、合理，完全包含以上四项且满足实际工作需求，每一项内容描述详细内容全面得10分，每缺少一项扣2.5分，每有一项缺陷（缺陷是指不适用项目实际情况、凭空编造、存在逻辑漏洞、科学原理错误、不可能实现的夸大情形以及涉及的规范、标准与本项目要求不一致等）扣1分，扣完为止。 说明：未提供不得分。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进度计划</w:t>
            </w:r>
          </w:p>
        </w:tc>
        <w:tc>
          <w:tcPr>
            <w:tcW w:type="dxa" w:w="2492"/>
          </w:tcPr>
          <w:p>
            <w:pPr>
              <w:pStyle w:val="null3"/>
            </w:pPr>
            <w:r>
              <w:rPr/>
              <w:t>供应商提供项目实施的整体进度规划，将各项服务内容进行工作包拆分并明确每个分包的时间节点，就项目实施节点①难点、关键点②风险点等做出分析并提出合理化建议进行评审。 项目分包系统化、细致、时间节点设置的合理，项目难点、关键点和风险点分析准确，以及合理化建议可行。完全包含以上两项且满足实际工作需求，每一项内容描述详细内容全面得5分，每缺少一项扣2.5分，每有一项缺陷（缺陷是指不适用项目实际情况、凭空编造、存在逻辑漏洞、科学原理错误、不可能实现的夸大情形以及涉及的规范、标准与本项目要求不一致等）扣1分，扣完为止。 说明：未提供不得分。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突发情况 解决方案</w:t>
            </w:r>
          </w:p>
        </w:tc>
        <w:tc>
          <w:tcPr>
            <w:tcW w:type="dxa" w:w="2492"/>
          </w:tcPr>
          <w:p>
            <w:pPr>
              <w:pStyle w:val="null3"/>
            </w:pPr>
            <w:r>
              <w:rPr/>
              <w:t>根据供应商针对本项目执行过程中①可能发生的各类突发情况分析②根据各类突发情况提供解决方案等进行评审。 方案合理、可行和有充足可行的保障制度。完全包含以上两项且满足实际工作需求，每一项内容描述详细内容全面得5分，每缺少一项扣2.5分，每有一项缺陷（缺陷是指不适用项目实际情况、凭空编造、存在逻辑漏洞、科学原理错误、不可能实现的夸大情形以及涉及的规范、标准与本项目要求不一致等）扣1分，扣完为止。 说明：未提供不得分。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安全保障措施</w:t>
            </w:r>
          </w:p>
        </w:tc>
        <w:tc>
          <w:tcPr>
            <w:tcW w:type="dxa" w:w="2492"/>
          </w:tcPr>
          <w:p>
            <w:pPr>
              <w:pStyle w:val="null3"/>
            </w:pPr>
            <w:r>
              <w:rPr/>
              <w:t>根据供应商针对如何保障培训平台的①系统安全保障②网络安全和信息安全保障等，提供详尽的安全保障方案并出具相关佐证材料进行评审。 安全保障方案完整、可靠、合理，以及佐证材料权威、丰富。完全包含以上两项且满足实际工作需求，每一项内容描述详细内容全面得5分，每缺少一项扣2.5分，每有一项缺陷（缺陷是指不适用项目实际情况、凭空编造、存在逻辑漏洞、科学原理错误、不可能实现的夸大情形以及涉及的规范、标准与本项目要求不一致等）扣1分，扣完为止。 说明：未提供不得分。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法律风险分析及承诺保障措施</w:t>
            </w:r>
          </w:p>
        </w:tc>
        <w:tc>
          <w:tcPr>
            <w:tcW w:type="dxa" w:w="2492"/>
          </w:tcPr>
          <w:p>
            <w:pPr>
              <w:pStyle w:val="null3"/>
            </w:pPr>
            <w:r>
              <w:rPr/>
              <w:t>供应商应确保项目实施过程中提供的培训课件、设计素材及其它服务内容不涉及任何知识产权或其它涉及第三方的法律纠纷，根据对相关法律条文的理解①罗列出可能存在的风险点②就出现此类问题后的保障措施做出承诺等进行评审。 风险点罗列完整、合理，保障措施力度大，可行性强，完全包含以上两项且满足实际工作需求，每一项内容描述详细内容全面得5分，每缺少一项扣2.5分，每有一项缺陷（缺陷是指不适用项目实际情况、凭空编造、存在逻辑漏洞、科学原理错误、不可能实现的夸大情形以及涉及的规范、标准与本项目要求不一致等）扣1分，扣完为止。 说明：未提供不得分。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提供供应商2021年1月至今同类项目业绩，提供一个得1分，最多得5分；未提供不计分。（提供合同复印件并加盖公章）</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类似项目情况表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采用低价优先法计算即满足磋商文件要求且投标价格最低的投标报价为评标基准价，其价格为10分。其他供应商的价格分按照下列公式计算：投标报价得分＝（评标基准价/投标报价）×10%×100。</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详见附件：供应商应提供的资格证明文件</w:t>
      </w:r>
    </w:p>
    <w:p>
      <w:pPr>
        <w:pStyle w:val="null3"/>
        <w:ind w:firstLine="960"/>
      </w:pPr>
      <w:r>
        <w:rPr/>
        <w:t>详见附件：参加政府采购活动前3年内在经营活动中没有重大违法记录的书面声明</w:t>
      </w:r>
    </w:p>
    <w:p>
      <w:pPr>
        <w:pStyle w:val="null3"/>
        <w:ind w:firstLine="960"/>
      </w:pPr>
      <w:r>
        <w:rPr/>
        <w:t>详见附件：履行合同所必需的设备和专业技术能力的书面声明</w:t>
      </w:r>
    </w:p>
    <w:p>
      <w:pPr>
        <w:pStyle w:val="null3"/>
        <w:ind w:firstLine="960"/>
      </w:pPr>
      <w:r>
        <w:rPr/>
        <w:t>详见附件：服务内容及服务邀请应答表</w:t>
      </w:r>
    </w:p>
    <w:p>
      <w:pPr>
        <w:pStyle w:val="null3"/>
        <w:ind w:firstLine="960"/>
      </w:pPr>
      <w:r>
        <w:rPr/>
        <w:t>详见附件：报价表</w:t>
      </w:r>
    </w:p>
    <w:p>
      <w:pPr>
        <w:pStyle w:val="null3"/>
        <w:ind w:firstLine="960"/>
      </w:pPr>
      <w:r>
        <w:rPr/>
        <w:t>详见附件：服务方案</w:t>
      </w:r>
    </w:p>
    <w:p>
      <w:pPr>
        <w:pStyle w:val="null3"/>
        <w:ind w:firstLine="960"/>
      </w:pPr>
      <w:r>
        <w:rPr/>
        <w:t>详见附件：标的清单</w:t>
      </w:r>
    </w:p>
    <w:p>
      <w:pPr>
        <w:pStyle w:val="null3"/>
        <w:ind w:firstLine="960"/>
      </w:pPr>
      <w:r>
        <w:rPr/>
        <w:t>详见附件：保证金退还信息表</w:t>
      </w:r>
    </w:p>
    <w:p>
      <w:pPr>
        <w:pStyle w:val="null3"/>
        <w:ind w:firstLine="960"/>
      </w:pPr>
      <w:r>
        <w:rPr/>
        <w:t>详见附件：法定代表人身份证明</w:t>
      </w:r>
    </w:p>
    <w:p>
      <w:pPr>
        <w:pStyle w:val="null3"/>
        <w:ind w:firstLine="960"/>
      </w:pPr>
      <w:r>
        <w:rPr/>
        <w:t>详见附件：法人授权委托书</w:t>
      </w:r>
    </w:p>
    <w:p>
      <w:pPr>
        <w:pStyle w:val="null3"/>
        <w:ind w:firstLine="960"/>
      </w:pPr>
      <w:r>
        <w:rPr/>
        <w:t>详见附件：非联合体不分包响应声明</w:t>
      </w:r>
    </w:p>
    <w:p>
      <w:pPr>
        <w:pStyle w:val="null3"/>
        <w:ind w:firstLine="960"/>
      </w:pPr>
      <w:r>
        <w:rPr/>
        <w:t>详见附件：拒绝商业贿赂承诺书</w:t>
      </w:r>
    </w:p>
    <w:p>
      <w:pPr>
        <w:pStyle w:val="null3"/>
        <w:ind w:firstLine="960"/>
      </w:pPr>
      <w:r>
        <w:rPr/>
        <w:t>详见附件：拟派项目负责人简历表</w:t>
      </w:r>
    </w:p>
    <w:p>
      <w:pPr>
        <w:pStyle w:val="null3"/>
        <w:ind w:firstLine="960"/>
      </w:pPr>
      <w:r>
        <w:rPr/>
        <w:t>详见附件：拟派项目团队人员清单</w:t>
      </w:r>
    </w:p>
    <w:p>
      <w:pPr>
        <w:pStyle w:val="null3"/>
        <w:ind w:firstLine="960"/>
      </w:pPr>
      <w:r>
        <w:rPr/>
        <w:t>详见附件：保证金缴纳凭证</w:t>
      </w:r>
    </w:p>
    <w:p>
      <w:pPr>
        <w:pStyle w:val="null3"/>
        <w:ind w:firstLine="960"/>
      </w:pPr>
      <w:r>
        <w:rPr/>
        <w:t>详见附件：供应商企业关系关联声明</w:t>
      </w:r>
    </w:p>
    <w:p>
      <w:pPr>
        <w:pStyle w:val="null3"/>
        <w:ind w:firstLine="960"/>
      </w:pPr>
      <w:r>
        <w:rPr/>
        <w:t>详见附件：无围标、串标行为承诺书</w:t>
      </w:r>
    </w:p>
    <w:p>
      <w:pPr>
        <w:pStyle w:val="null3"/>
        <w:ind w:firstLine="960"/>
      </w:pPr>
      <w:r>
        <w:rPr/>
        <w:t>详见附件：类似项目情况表</w:t>
      </w:r>
    </w:p>
    <w:p>
      <w:pPr>
        <w:pStyle w:val="null3"/>
        <w:ind w:firstLine="960"/>
      </w:pPr>
      <w:r>
        <w:rPr/>
        <w:t>详见附件：信用担保和信用融资</w:t>
      </w:r>
    </w:p>
    <w:p>
      <w:pPr>
        <w:pStyle w:val="null3"/>
        <w:ind w:firstLine="960"/>
      </w:pPr>
      <w:r>
        <w:rPr/>
        <w:t>详见附件：商务偏离表</w:t>
      </w:r>
    </w:p>
    <w:p>
      <w:pPr>
        <w:pStyle w:val="null3"/>
      </w:pPr>
      <w:r>
        <w:rPr/>
        <w:t xml:space="preserve"> </w:t>
        <w:br/>
        <w:br w:type="page"/>
      </w:r>
    </w:p>
    <w:p>
      <w:pPr>
        <w:pStyle w:val="null3"/>
        <w:jc w:val="center"/>
        <w:outlineLvl w:val="1"/>
      </w:pPr>
      <w:r>
        <w:rPr>
          <w:b/>
          <w:sz w:val="36"/>
        </w:rPr>
        <w:t>第八章 拟签订采购合同文本</w:t>
      </w:r>
    </w:p>
    <w:p>
      <w:pPr>
        <w:pStyle w:val="null3"/>
      </w:pPr>
      <w:r>
        <w:rPr/>
        <w:t>详见附件：陕西福彩学院培训服务项目合同.docx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