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ind w:firstLine="641"/>
        <w:jc w:val="center"/>
        <w:textAlignment w:val="baseline"/>
        <w:rPr>
          <w:rFonts w:ascii="仿宋" w:hAnsi="仿宋" w:eastAsia="仿宋" w:cs="仿宋"/>
          <w:b/>
          <w:bCs/>
          <w:kern w:val="2"/>
          <w:sz w:val="48"/>
          <w:szCs w:val="48"/>
          <w:lang w:eastAsia="zh-CN"/>
        </w:rPr>
      </w:pPr>
      <w:r>
        <w:rPr>
          <w:rFonts w:hint="eastAsia" w:ascii="仿宋" w:hAnsi="仿宋" w:eastAsia="仿宋" w:cs="仿宋"/>
          <w:b/>
          <w:bCs/>
          <w:spacing w:val="9"/>
          <w:sz w:val="44"/>
          <w:szCs w:val="44"/>
          <w:lang w:val="en-US" w:eastAsia="zh-CN"/>
        </w:rPr>
        <w:t>采购需求</w:t>
      </w:r>
    </w:p>
    <w:p>
      <w:pPr>
        <w:spacing w:line="480" w:lineRule="auto"/>
        <w:ind w:firstLine="643"/>
        <w:jc w:val="both"/>
        <w:rPr>
          <w:rFonts w:ascii="仿宋" w:hAnsi="仿宋" w:eastAsia="仿宋" w:cs="仿宋"/>
          <w:b/>
          <w:bCs/>
          <w:kern w:val="2"/>
          <w:sz w:val="32"/>
          <w:szCs w:val="32"/>
          <w:lang w:eastAsia="zh-CN"/>
        </w:rPr>
      </w:pPr>
      <w:r>
        <w:rPr>
          <w:rFonts w:hint="eastAsia" w:ascii="仿宋" w:hAnsi="仿宋" w:eastAsia="仿宋" w:cs="仿宋"/>
          <w:b/>
          <w:bCs/>
          <w:kern w:val="2"/>
          <w:sz w:val="32"/>
          <w:szCs w:val="32"/>
          <w:lang w:val="en-US" w:eastAsia="zh-CN"/>
        </w:rPr>
        <w:t>一、</w:t>
      </w:r>
      <w:r>
        <w:rPr>
          <w:rFonts w:hint="eastAsia" w:ascii="仿宋" w:hAnsi="仿宋" w:eastAsia="仿宋" w:cs="仿宋"/>
          <w:b/>
          <w:bCs/>
          <w:kern w:val="2"/>
          <w:sz w:val="32"/>
          <w:szCs w:val="32"/>
          <w:lang w:eastAsia="zh-CN"/>
        </w:rPr>
        <w:t>项目背景</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根据《陕西省数字政府建设“十四五”规划》和《陕西省数字政府建设2023年工作要点》任务，确定启动陕西省电子政务外网骨干网专网接入区运营服务项目。该项目为支撑省政府组成部门的非涉密专网和省电子政务专网（网信办）的清理整合工作。根据现场调研结果，并与非涉密专网省级单位初步沟通后，对初步确定的16个非涉密专网中12个以迁移（撤线穿网）的方式完成，4个以整合（撤网并入）的方式完成。</w:t>
      </w:r>
    </w:p>
    <w:p>
      <w:pPr>
        <w:spacing w:line="377" w:lineRule="auto"/>
        <w:ind w:firstLine="420"/>
        <w:rPr>
          <w:rFonts w:ascii="仿宋" w:hAnsi="仿宋" w:eastAsia="仿宋" w:cs="仿宋"/>
          <w:lang w:eastAsia="zh-CN"/>
        </w:rPr>
      </w:pPr>
    </w:p>
    <w:p>
      <w:pPr>
        <w:spacing w:line="360" w:lineRule="auto"/>
        <w:ind w:firstLine="562"/>
        <w:rPr>
          <w:rFonts w:ascii="仿宋" w:hAnsi="仿宋" w:eastAsia="仿宋" w:cs="仿宋"/>
          <w:sz w:val="28"/>
          <w:szCs w:val="28"/>
          <w:lang w:eastAsia="zh-CN"/>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lang w:eastAsia="zh-CN"/>
        </w:rPr>
        <w:t>采购项目目标</w:t>
      </w:r>
    </w:p>
    <w:p>
      <w:pPr>
        <w:spacing w:line="360" w:lineRule="auto"/>
        <w:ind w:firstLine="560"/>
        <w:rPr>
          <w:rFonts w:ascii="仿宋" w:hAnsi="仿宋" w:eastAsia="仿宋" w:cs="仿宋"/>
          <w:sz w:val="28"/>
          <w:szCs w:val="28"/>
          <w:lang w:eastAsia="zh-CN"/>
        </w:rPr>
      </w:pPr>
      <w:r>
        <w:rPr>
          <w:rFonts w:hint="eastAsia" w:ascii="仿宋" w:hAnsi="仿宋" w:eastAsia="仿宋" w:cs="宋体"/>
          <w:snapToGrid/>
          <w:kern w:val="2"/>
          <w:sz w:val="28"/>
          <w:szCs w:val="28"/>
          <w:lang w:eastAsia="zh-Hans"/>
        </w:rPr>
        <w:t>依据《陕西省数字政府建设“十四五”规划》</w:t>
      </w:r>
      <w:r>
        <w:rPr>
          <w:rFonts w:hint="eastAsia" w:ascii="仿宋" w:hAnsi="仿宋" w:eastAsia="仿宋" w:cs="宋体"/>
          <w:snapToGrid/>
          <w:kern w:val="2"/>
          <w:sz w:val="28"/>
          <w:szCs w:val="28"/>
          <w:lang w:eastAsia="zh-CN"/>
        </w:rPr>
        <w:t>、</w:t>
      </w:r>
      <w:r>
        <w:rPr>
          <w:rFonts w:hint="eastAsia" w:ascii="仿宋" w:hAnsi="仿宋" w:eastAsia="仿宋" w:cs="仿宋"/>
          <w:sz w:val="28"/>
          <w:szCs w:val="28"/>
          <w:lang w:eastAsia="zh-CN"/>
        </w:rPr>
        <w:t>《陕西省数字政府建设2023年工作要点》</w:t>
      </w:r>
      <w:r>
        <w:rPr>
          <w:rFonts w:hint="eastAsia" w:ascii="仿宋" w:hAnsi="仿宋" w:eastAsia="仿宋" w:cs="宋体"/>
          <w:snapToGrid/>
          <w:kern w:val="2"/>
          <w:sz w:val="28"/>
          <w:szCs w:val="28"/>
          <w:lang w:eastAsia="zh-Hans"/>
        </w:rPr>
        <w:t>及《陕西省省级政务信息化项目建设管理办法（暂行）》，为规范项目方案编制，加快推动陕西省电子政务外网骨干网专网接入区运营服务项目实施，拟采购陕西省电子政务外网骨干网专网接入区运营服务项目</w:t>
      </w:r>
      <w:r>
        <w:rPr>
          <w:rFonts w:hint="eastAsia" w:ascii="仿宋" w:hAnsi="仿宋" w:eastAsia="仿宋" w:cs="宋体"/>
          <w:snapToGrid/>
          <w:kern w:val="2"/>
          <w:sz w:val="28"/>
          <w:szCs w:val="28"/>
          <w:lang w:eastAsia="zh-CN"/>
        </w:rPr>
        <w:t>服务</w:t>
      </w:r>
      <w:r>
        <w:rPr>
          <w:rFonts w:hint="eastAsia" w:ascii="仿宋" w:hAnsi="仿宋" w:eastAsia="仿宋" w:cs="宋体"/>
          <w:snapToGrid/>
          <w:kern w:val="2"/>
          <w:sz w:val="28"/>
          <w:szCs w:val="28"/>
          <w:lang w:eastAsia="zh-Hans"/>
        </w:rPr>
        <w:t>方案编制服务。方案编制</w:t>
      </w:r>
      <w:r>
        <w:rPr>
          <w:rFonts w:hint="eastAsia" w:ascii="仿宋" w:hAnsi="仿宋" w:eastAsia="仿宋" w:cs="宋体"/>
          <w:snapToGrid/>
          <w:kern w:val="2"/>
          <w:sz w:val="28"/>
          <w:szCs w:val="28"/>
          <w:lang w:eastAsia="zh-CN"/>
        </w:rPr>
        <w:t>目标：</w:t>
      </w:r>
      <w:r>
        <w:rPr>
          <w:rFonts w:hint="eastAsia" w:ascii="仿宋" w:hAnsi="仿宋" w:eastAsia="仿宋" w:cs="宋体"/>
          <w:snapToGrid/>
          <w:kern w:val="2"/>
          <w:sz w:val="28"/>
          <w:szCs w:val="28"/>
          <w:lang w:eastAsia="zh-Hans"/>
        </w:rPr>
        <w:t>以</w:t>
      </w:r>
      <w:r>
        <w:rPr>
          <w:rFonts w:hint="eastAsia" w:ascii="仿宋" w:hAnsi="仿宋" w:eastAsia="仿宋" w:cs="仿宋"/>
          <w:sz w:val="28"/>
          <w:szCs w:val="28"/>
          <w:lang w:eastAsia="zh-CN"/>
        </w:rPr>
        <w:t>提升完善非涉密专网清理整合工作中政务外网侧的接入支撑能力和网络智能化服务能力，充分发挥国家电子政务外网广覆盖、全互联、高可用、强安全的优势，完成省政府组成部门非涉密专网向陕西省电子政务外网进行迁移整合的政务外网侧配合支撑工作，为跨层级、跨区域、跨部门的网络互联、数据互通、应用协同提供支撑，提升数字政府行政管理效率和管理服务能力。</w:t>
      </w:r>
    </w:p>
    <w:p>
      <w:pPr>
        <w:ind w:firstLine="420"/>
        <w:rPr>
          <w:rFonts w:eastAsiaTheme="minorEastAsia"/>
          <w:lang w:eastAsia="zh-CN"/>
        </w:rPr>
      </w:pPr>
    </w:p>
    <w:p>
      <w:pPr>
        <w:spacing w:line="360" w:lineRule="auto"/>
        <w:ind w:firstLine="562" w:firstLineChars="200"/>
        <w:rPr>
          <w:rFonts w:ascii="仿宋" w:hAnsi="仿宋" w:eastAsia="仿宋" w:cs="仿宋"/>
          <w:b/>
          <w:bCs/>
          <w:sz w:val="28"/>
          <w:szCs w:val="28"/>
          <w:lang w:eastAsia="zh-CN"/>
        </w:rPr>
      </w:pPr>
      <w:r>
        <w:rPr>
          <w:rFonts w:hint="eastAsia" w:ascii="仿宋" w:hAnsi="仿宋" w:eastAsia="仿宋" w:cs="仿宋"/>
          <w:b/>
          <w:bCs/>
          <w:sz w:val="28"/>
          <w:szCs w:val="28"/>
          <w:lang w:val="en-US" w:eastAsia="zh-CN"/>
        </w:rPr>
        <w:t>三、</w:t>
      </w:r>
      <w:r>
        <w:rPr>
          <w:rFonts w:hint="eastAsia" w:ascii="仿宋" w:hAnsi="仿宋" w:eastAsia="仿宋" w:cs="仿宋"/>
          <w:b/>
          <w:bCs/>
          <w:sz w:val="28"/>
          <w:szCs w:val="28"/>
          <w:lang w:eastAsia="zh-CN"/>
        </w:rPr>
        <w:t>服务价格</w:t>
      </w:r>
    </w:p>
    <w:p>
      <w:pPr>
        <w:pStyle w:val="8"/>
        <w:ind w:firstLine="560"/>
        <w:rPr>
          <w:rFonts w:ascii="仿宋" w:hAnsi="仿宋" w:eastAsia="仿宋" w:cs="仿宋"/>
          <w:sz w:val="28"/>
          <w:szCs w:val="28"/>
          <w:lang w:eastAsia="zh-CN"/>
        </w:rPr>
      </w:pPr>
      <w:r>
        <w:rPr>
          <w:rFonts w:hint="eastAsia" w:ascii="仿宋" w:hAnsi="仿宋" w:eastAsia="仿宋" w:cs="仿宋"/>
          <w:sz w:val="28"/>
          <w:szCs w:val="28"/>
          <w:lang w:eastAsia="zh-CN"/>
        </w:rPr>
        <w:t>预算金额（元）:91,900.00  最高限价（元）:91,900.00</w:t>
      </w:r>
    </w:p>
    <w:p>
      <w:pPr>
        <w:pStyle w:val="8"/>
        <w:ind w:firstLine="560"/>
        <w:rPr>
          <w:rFonts w:ascii="仿宋" w:hAnsi="仿宋" w:eastAsia="仿宋" w:cs="仿宋"/>
          <w:sz w:val="28"/>
          <w:szCs w:val="28"/>
          <w:lang w:eastAsia="zh-CN"/>
        </w:rPr>
      </w:pPr>
      <w:r>
        <w:rPr>
          <w:rFonts w:hint="eastAsia" w:ascii="仿宋" w:hAnsi="仿宋" w:eastAsia="仿宋" w:cs="仿宋"/>
          <w:sz w:val="28"/>
          <w:szCs w:val="28"/>
          <w:lang w:eastAsia="zh-CN"/>
        </w:rPr>
        <w:t>供应商报价不允许超过标的金额</w:t>
      </w:r>
    </w:p>
    <w:p>
      <w:pPr>
        <w:pStyle w:val="8"/>
        <w:ind w:firstLine="560"/>
        <w:rPr>
          <w:rFonts w:ascii="仿宋" w:hAnsi="仿宋" w:eastAsia="仿宋" w:cs="仿宋"/>
          <w:sz w:val="28"/>
          <w:szCs w:val="28"/>
          <w:lang w:eastAsia="zh-CN"/>
        </w:rPr>
      </w:pPr>
      <w:r>
        <w:rPr>
          <w:rFonts w:hint="eastAsia" w:ascii="仿宋" w:hAnsi="仿宋" w:eastAsia="仿宋" w:cs="仿宋"/>
          <w:sz w:val="28"/>
          <w:szCs w:val="28"/>
          <w:lang w:eastAsia="zh-CN"/>
        </w:rPr>
        <w:t>（招单价的）供应商报价不允许超过标的单价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100"/>
        <w:gridCol w:w="933"/>
        <w:gridCol w:w="1100"/>
        <w:gridCol w:w="667"/>
        <w:gridCol w:w="1966"/>
        <w:gridCol w:w="817"/>
        <w:gridCol w:w="913"/>
        <w:gridCol w:w="914"/>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Pr>
          <w:p>
            <w:pPr>
              <w:pStyle w:val="8"/>
              <w:widowControl w:val="0"/>
              <w:ind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序号</w:t>
            </w:r>
          </w:p>
        </w:tc>
        <w:tc>
          <w:tcPr>
            <w:tcW w:w="1100" w:type="dxa"/>
          </w:tcPr>
          <w:p>
            <w:pPr>
              <w:pStyle w:val="8"/>
              <w:widowControl w:val="0"/>
              <w:ind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标的</w:t>
            </w:r>
          </w:p>
          <w:p>
            <w:pPr>
              <w:pStyle w:val="8"/>
              <w:widowControl w:val="0"/>
              <w:ind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名称</w:t>
            </w:r>
          </w:p>
        </w:tc>
        <w:tc>
          <w:tcPr>
            <w:tcW w:w="933" w:type="dxa"/>
          </w:tcPr>
          <w:p>
            <w:pPr>
              <w:pStyle w:val="8"/>
              <w:widowControl w:val="0"/>
              <w:ind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数量</w:t>
            </w:r>
          </w:p>
        </w:tc>
        <w:tc>
          <w:tcPr>
            <w:tcW w:w="1100" w:type="dxa"/>
          </w:tcPr>
          <w:p>
            <w:pPr>
              <w:pStyle w:val="8"/>
              <w:widowControl w:val="0"/>
              <w:ind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标的金额</w:t>
            </w:r>
          </w:p>
          <w:p>
            <w:pPr>
              <w:pStyle w:val="8"/>
              <w:widowControl w:val="0"/>
              <w:ind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（元）</w:t>
            </w:r>
          </w:p>
        </w:tc>
        <w:tc>
          <w:tcPr>
            <w:tcW w:w="667" w:type="dxa"/>
          </w:tcPr>
          <w:p>
            <w:pPr>
              <w:pStyle w:val="8"/>
              <w:widowControl w:val="0"/>
              <w:ind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计量单位</w:t>
            </w:r>
          </w:p>
        </w:tc>
        <w:tc>
          <w:tcPr>
            <w:tcW w:w="1966" w:type="dxa"/>
          </w:tcPr>
          <w:p>
            <w:pPr>
              <w:pStyle w:val="8"/>
              <w:widowControl w:val="0"/>
              <w:ind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所属行业</w:t>
            </w:r>
          </w:p>
        </w:tc>
        <w:tc>
          <w:tcPr>
            <w:tcW w:w="817" w:type="dxa"/>
          </w:tcPr>
          <w:p>
            <w:pPr>
              <w:pStyle w:val="8"/>
              <w:widowControl w:val="0"/>
              <w:ind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是否核心产品</w:t>
            </w:r>
          </w:p>
        </w:tc>
        <w:tc>
          <w:tcPr>
            <w:tcW w:w="913" w:type="dxa"/>
          </w:tcPr>
          <w:p>
            <w:pPr>
              <w:pStyle w:val="8"/>
              <w:widowControl w:val="0"/>
              <w:ind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是否允许进口产品</w:t>
            </w:r>
          </w:p>
        </w:tc>
        <w:tc>
          <w:tcPr>
            <w:tcW w:w="914" w:type="dxa"/>
          </w:tcPr>
          <w:p>
            <w:pPr>
              <w:pStyle w:val="8"/>
              <w:widowControl w:val="0"/>
              <w:ind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是否属于节能产品</w:t>
            </w:r>
          </w:p>
        </w:tc>
        <w:tc>
          <w:tcPr>
            <w:tcW w:w="914" w:type="dxa"/>
          </w:tcPr>
          <w:p>
            <w:pPr>
              <w:pStyle w:val="8"/>
              <w:widowControl w:val="0"/>
              <w:ind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是否属于环境标志产品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Pr>
          <w:p>
            <w:pPr>
              <w:pStyle w:val="8"/>
              <w:widowControl w:val="0"/>
              <w:ind w:firstLine="560"/>
              <w:jc w:val="both"/>
              <w:rPr>
                <w:rFonts w:ascii="仿宋" w:hAnsi="仿宋" w:eastAsia="仿宋" w:cs="仿宋"/>
                <w:sz w:val="28"/>
                <w:szCs w:val="28"/>
                <w:lang w:eastAsia="zh-CN"/>
              </w:rPr>
            </w:pPr>
            <w:r>
              <w:rPr>
                <w:rFonts w:hint="eastAsia" w:ascii="仿宋" w:hAnsi="仿宋" w:eastAsia="仿宋" w:cs="仿宋"/>
                <w:sz w:val="28"/>
                <w:szCs w:val="28"/>
                <w:lang w:eastAsia="zh-CN"/>
              </w:rPr>
              <w:t>1</w:t>
            </w:r>
          </w:p>
        </w:tc>
        <w:tc>
          <w:tcPr>
            <w:tcW w:w="1100" w:type="dxa"/>
          </w:tcPr>
          <w:p>
            <w:pPr>
              <w:pStyle w:val="8"/>
              <w:widowControl w:val="0"/>
              <w:ind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方案编制</w:t>
            </w:r>
          </w:p>
        </w:tc>
        <w:tc>
          <w:tcPr>
            <w:tcW w:w="933" w:type="dxa"/>
          </w:tcPr>
          <w:p>
            <w:pPr>
              <w:pStyle w:val="8"/>
              <w:widowControl w:val="0"/>
              <w:ind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1.00</w:t>
            </w:r>
          </w:p>
        </w:tc>
        <w:tc>
          <w:tcPr>
            <w:tcW w:w="1100" w:type="dxa"/>
          </w:tcPr>
          <w:p>
            <w:pPr>
              <w:pStyle w:val="8"/>
              <w:widowControl w:val="0"/>
              <w:ind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91,900.00</w:t>
            </w:r>
          </w:p>
        </w:tc>
        <w:tc>
          <w:tcPr>
            <w:tcW w:w="667" w:type="dxa"/>
          </w:tcPr>
          <w:p>
            <w:pPr>
              <w:pStyle w:val="8"/>
              <w:widowControl w:val="0"/>
              <w:ind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项</w:t>
            </w:r>
          </w:p>
        </w:tc>
        <w:tc>
          <w:tcPr>
            <w:tcW w:w="1966" w:type="dxa"/>
          </w:tcPr>
          <w:p>
            <w:pPr>
              <w:pStyle w:val="8"/>
              <w:widowControl w:val="0"/>
              <w:ind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软件和信息技术服务业</w:t>
            </w:r>
          </w:p>
        </w:tc>
        <w:tc>
          <w:tcPr>
            <w:tcW w:w="817" w:type="dxa"/>
          </w:tcPr>
          <w:p>
            <w:pPr>
              <w:pStyle w:val="8"/>
              <w:widowControl w:val="0"/>
              <w:ind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 xml:space="preserve">否 </w:t>
            </w:r>
          </w:p>
          <w:p>
            <w:pPr>
              <w:pStyle w:val="8"/>
              <w:widowControl w:val="0"/>
              <w:ind w:firstLine="0" w:firstLineChars="0"/>
              <w:jc w:val="both"/>
              <w:rPr>
                <w:rFonts w:ascii="仿宋" w:hAnsi="仿宋" w:eastAsia="仿宋" w:cs="仿宋"/>
                <w:sz w:val="28"/>
                <w:szCs w:val="28"/>
                <w:lang w:eastAsia="zh-CN"/>
              </w:rPr>
            </w:pPr>
          </w:p>
        </w:tc>
        <w:tc>
          <w:tcPr>
            <w:tcW w:w="913" w:type="dxa"/>
          </w:tcPr>
          <w:p>
            <w:pPr>
              <w:pStyle w:val="8"/>
              <w:widowControl w:val="0"/>
              <w:ind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 xml:space="preserve">否 </w:t>
            </w:r>
          </w:p>
          <w:p>
            <w:pPr>
              <w:pStyle w:val="8"/>
              <w:widowControl w:val="0"/>
              <w:ind w:firstLine="0" w:firstLineChars="0"/>
              <w:jc w:val="both"/>
              <w:rPr>
                <w:rFonts w:ascii="仿宋" w:hAnsi="仿宋" w:eastAsia="仿宋" w:cs="仿宋"/>
                <w:sz w:val="28"/>
                <w:szCs w:val="28"/>
                <w:lang w:eastAsia="zh-CN"/>
              </w:rPr>
            </w:pPr>
          </w:p>
        </w:tc>
        <w:tc>
          <w:tcPr>
            <w:tcW w:w="914" w:type="dxa"/>
          </w:tcPr>
          <w:p>
            <w:pPr>
              <w:pStyle w:val="8"/>
              <w:widowControl w:val="0"/>
              <w:ind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 xml:space="preserve">否 </w:t>
            </w:r>
          </w:p>
          <w:p>
            <w:pPr>
              <w:pStyle w:val="8"/>
              <w:widowControl w:val="0"/>
              <w:ind w:firstLine="0" w:firstLineChars="0"/>
              <w:jc w:val="both"/>
              <w:rPr>
                <w:rFonts w:ascii="仿宋" w:hAnsi="仿宋" w:eastAsia="仿宋" w:cs="仿宋"/>
                <w:sz w:val="28"/>
                <w:szCs w:val="28"/>
                <w:lang w:eastAsia="zh-CN"/>
              </w:rPr>
            </w:pPr>
          </w:p>
        </w:tc>
        <w:tc>
          <w:tcPr>
            <w:tcW w:w="914" w:type="dxa"/>
          </w:tcPr>
          <w:p>
            <w:pPr>
              <w:pStyle w:val="8"/>
              <w:widowControl w:val="0"/>
              <w:ind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 xml:space="preserve">否 </w:t>
            </w:r>
          </w:p>
          <w:p>
            <w:pPr>
              <w:pStyle w:val="8"/>
              <w:widowControl w:val="0"/>
              <w:ind w:firstLine="0" w:firstLineChars="0"/>
              <w:jc w:val="both"/>
              <w:rPr>
                <w:rFonts w:ascii="仿宋" w:hAnsi="仿宋" w:eastAsia="仿宋" w:cs="仿宋"/>
                <w:sz w:val="28"/>
                <w:szCs w:val="28"/>
                <w:lang w:eastAsia="zh-CN"/>
              </w:rPr>
            </w:pPr>
          </w:p>
        </w:tc>
      </w:tr>
    </w:tbl>
    <w:p>
      <w:pPr>
        <w:pStyle w:val="8"/>
        <w:ind w:firstLine="562"/>
        <w:rPr>
          <w:rFonts w:ascii="仿宋" w:hAnsi="仿宋" w:eastAsia="仿宋" w:cs="仿宋"/>
          <w:b/>
          <w:bCs/>
          <w:sz w:val="28"/>
          <w:szCs w:val="28"/>
          <w:lang w:eastAsia="zh-CN"/>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lang w:eastAsia="zh-CN"/>
        </w:rPr>
        <w:t>服务要求</w:t>
      </w:r>
    </w:p>
    <w:p>
      <w:pPr>
        <w:spacing w:line="360" w:lineRule="auto"/>
        <w:ind w:firstLine="280" w:firstLineChars="100"/>
        <w:rPr>
          <w:rFonts w:ascii="仿宋" w:hAnsi="仿宋" w:eastAsia="仿宋" w:cs="仿宋"/>
          <w:sz w:val="28"/>
          <w:szCs w:val="28"/>
          <w:lang w:eastAsia="zh-CN"/>
        </w:rPr>
      </w:pPr>
      <w:r>
        <w:rPr>
          <w:rFonts w:hint="eastAsia" w:ascii="仿宋" w:hAnsi="仿宋" w:eastAsia="仿宋" w:cs="仿宋"/>
          <w:sz w:val="28"/>
          <w:szCs w:val="28"/>
          <w:lang w:eastAsia="zh-CN"/>
        </w:rPr>
        <w:t>供应商报价不允许超过标的金额</w:t>
      </w:r>
    </w:p>
    <w:p>
      <w:pPr>
        <w:pStyle w:val="3"/>
        <w:ind w:firstLine="280" w:firstLineChars="100"/>
        <w:rPr>
          <w:lang w:eastAsia="zh-CN"/>
        </w:rPr>
      </w:pPr>
      <w:r>
        <w:rPr>
          <w:rFonts w:hint="eastAsia" w:ascii="仿宋" w:hAnsi="仿宋" w:eastAsia="仿宋" w:cs="仿宋"/>
          <w:sz w:val="28"/>
          <w:szCs w:val="28"/>
          <w:lang w:eastAsia="zh-CN"/>
        </w:rPr>
        <w:t>标的名称：方案编制</w:t>
      </w:r>
    </w:p>
    <w:tbl>
      <w:tblPr>
        <w:tblStyle w:val="9"/>
        <w:tblpPr w:leftFromText="180" w:rightFromText="180" w:vertAnchor="text" w:horzAnchor="page" w:tblpX="1342" w:tblpY="504"/>
        <w:tblOverlap w:val="never"/>
        <w:tblW w:w="91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0"/>
        <w:gridCol w:w="83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820" w:type="dxa"/>
          </w:tcPr>
          <w:p>
            <w:pPr>
              <w:rPr>
                <w:rFonts w:ascii="仿宋" w:hAnsi="仿宋" w:eastAsia="仿宋" w:cs="仿宋"/>
                <w:sz w:val="28"/>
                <w:szCs w:val="28"/>
              </w:rPr>
            </w:pPr>
            <w:r>
              <w:rPr>
                <w:rFonts w:hint="eastAsia" w:ascii="仿宋" w:hAnsi="仿宋" w:eastAsia="仿宋" w:cs="仿宋"/>
                <w:sz w:val="28"/>
                <w:szCs w:val="28"/>
              </w:rPr>
              <w:t>序号</w:t>
            </w:r>
          </w:p>
        </w:tc>
        <w:tc>
          <w:tcPr>
            <w:tcW w:w="8339" w:type="dxa"/>
          </w:tcPr>
          <w:p>
            <w:pPr>
              <w:rPr>
                <w:rFonts w:ascii="仿宋" w:hAnsi="仿宋" w:eastAsia="仿宋" w:cs="仿宋"/>
                <w:sz w:val="28"/>
                <w:szCs w:val="28"/>
              </w:rPr>
            </w:pPr>
            <w:r>
              <w:rPr>
                <w:rFonts w:hint="eastAsia" w:ascii="仿宋" w:hAnsi="仿宋" w:eastAsia="仿宋" w:cs="仿宋"/>
                <w:sz w:val="28"/>
                <w:szCs w:val="28"/>
              </w:rPr>
              <w:t>技术参数与性能指标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3" w:hRule="atLeast"/>
        </w:trPr>
        <w:tc>
          <w:tcPr>
            <w:tcW w:w="820" w:type="dxa"/>
          </w:tcPr>
          <w:p>
            <w:pPr>
              <w:rPr>
                <w:rFonts w:ascii="仿宋" w:hAnsi="仿宋" w:eastAsia="仿宋" w:cs="仿宋"/>
                <w:sz w:val="28"/>
                <w:szCs w:val="28"/>
                <w:lang w:eastAsia="zh-CN"/>
              </w:rPr>
            </w:pPr>
            <w:r>
              <w:rPr>
                <w:rFonts w:hint="eastAsia" w:ascii="仿宋" w:hAnsi="仿宋" w:eastAsia="仿宋" w:cs="仿宋"/>
                <w:sz w:val="28"/>
                <w:szCs w:val="28"/>
                <w:lang w:eastAsia="zh-CN"/>
              </w:rPr>
              <w:t>1</w:t>
            </w:r>
          </w:p>
        </w:tc>
        <w:tc>
          <w:tcPr>
            <w:tcW w:w="8339" w:type="dxa"/>
          </w:tcPr>
          <w:p>
            <w:pPr>
              <w:pStyle w:val="10"/>
              <w:spacing w:before="143" w:line="360" w:lineRule="auto"/>
              <w:ind w:left="253"/>
              <w:rPr>
                <w:rFonts w:ascii="仿宋" w:hAnsi="仿宋" w:eastAsia="仿宋" w:cs="仿宋"/>
                <w:sz w:val="28"/>
                <w:szCs w:val="28"/>
                <w:lang w:eastAsia="zh-CN"/>
              </w:rPr>
            </w:pPr>
            <w:r>
              <w:rPr>
                <w:rFonts w:hint="eastAsia" w:ascii="仿宋" w:hAnsi="仿宋" w:eastAsia="仿宋" w:cs="仿宋"/>
                <w:sz w:val="28"/>
                <w:szCs w:val="28"/>
                <w:lang w:eastAsia="zh-CN"/>
              </w:rPr>
              <w:t>一、采购内容及要求</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按照采购人需求，对陕西省电子政务外网骨干网专网接入区运营服务项目进行方案设计，编制项目服务方案，编制格式、内容和深度需达到省级政务信息化项目编制指南规定要求。形成的文件包括项目服务方案、投资概算及相关技术方案，需包含具体需求分析、服务总体方案、服务内容、服务考核、项目验收管理、集约化方案、项目部署方案、等级保护、项目投资概算等内容。同时对陕西省电子政务外网骨干网专网接入区运营服务项目申请立项进行全过程配合，完成设计方案各环节评审及修改完善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9" w:hRule="atLeast"/>
        </w:trPr>
        <w:tc>
          <w:tcPr>
            <w:tcW w:w="820" w:type="dxa"/>
          </w:tcPr>
          <w:p>
            <w:pPr>
              <w:rPr>
                <w:rFonts w:ascii="仿宋" w:hAnsi="仿宋" w:eastAsia="仿宋" w:cs="仿宋"/>
                <w:sz w:val="28"/>
                <w:szCs w:val="28"/>
                <w:lang w:eastAsia="zh-CN"/>
              </w:rPr>
            </w:pPr>
            <w:r>
              <w:rPr>
                <w:rFonts w:hint="eastAsia" w:ascii="仿宋" w:hAnsi="仿宋" w:eastAsia="仿宋" w:cs="仿宋"/>
                <w:sz w:val="28"/>
                <w:szCs w:val="28"/>
                <w:lang w:eastAsia="zh-CN"/>
              </w:rPr>
              <w:t>2</w:t>
            </w:r>
          </w:p>
        </w:tc>
        <w:tc>
          <w:tcPr>
            <w:tcW w:w="8339" w:type="dxa"/>
          </w:tcPr>
          <w:p>
            <w:pPr>
              <w:pStyle w:val="10"/>
              <w:spacing w:before="87" w:line="360" w:lineRule="auto"/>
              <w:ind w:left="264"/>
              <w:rPr>
                <w:rFonts w:ascii="仿宋" w:hAnsi="仿宋" w:eastAsia="仿宋" w:cs="仿宋"/>
                <w:sz w:val="28"/>
                <w:szCs w:val="28"/>
                <w:lang w:eastAsia="zh-CN"/>
              </w:rPr>
            </w:pPr>
            <w:r>
              <w:rPr>
                <w:rFonts w:hint="eastAsia" w:ascii="仿宋" w:hAnsi="仿宋" w:eastAsia="仿宋" w:cs="仿宋"/>
                <w:sz w:val="28"/>
                <w:szCs w:val="28"/>
                <w:lang w:eastAsia="zh-CN"/>
              </w:rPr>
              <w:t>二．编制要求</w:t>
            </w:r>
          </w:p>
          <w:p>
            <w:pPr>
              <w:pStyle w:val="10"/>
              <w:spacing w:before="156" w:line="360" w:lineRule="auto"/>
              <w:rPr>
                <w:rFonts w:ascii="仿宋" w:hAnsi="仿宋" w:eastAsia="仿宋" w:cs="仿宋"/>
                <w:sz w:val="28"/>
                <w:szCs w:val="28"/>
                <w:lang w:eastAsia="zh-CN"/>
              </w:rPr>
            </w:pPr>
            <w:r>
              <w:rPr>
                <w:rFonts w:hint="eastAsia" w:ascii="仿宋" w:hAnsi="仿宋" w:eastAsia="仿宋" w:cs="仿宋"/>
                <w:sz w:val="28"/>
                <w:szCs w:val="28"/>
                <w:lang w:eastAsia="zh-CN"/>
              </w:rPr>
              <w:t>1、通过需求调研，掌握相关业务信息化现状与需求，结合陕西省本地实际情况，梳理部门专网现状，编制服务内容、明晰技术路线，项目服务方案包含服务目标、服务内容、服务范围、服务方案、服务考核、投资概算、风险及效益分析等内容。</w:t>
            </w:r>
          </w:p>
          <w:p>
            <w:pPr>
              <w:pStyle w:val="10"/>
              <w:spacing w:before="156" w:line="360" w:lineRule="auto"/>
              <w:rPr>
                <w:rFonts w:ascii="仿宋" w:hAnsi="仿宋" w:eastAsia="仿宋" w:cs="仿宋"/>
                <w:sz w:val="28"/>
                <w:szCs w:val="28"/>
                <w:lang w:eastAsia="zh-CN"/>
              </w:rPr>
            </w:pPr>
            <w:r>
              <w:rPr>
                <w:rFonts w:hint="eastAsia" w:ascii="仿宋" w:hAnsi="仿宋" w:eastAsia="仿宋" w:cs="仿宋"/>
                <w:sz w:val="28"/>
                <w:szCs w:val="28"/>
                <w:lang w:eastAsia="zh-CN"/>
              </w:rPr>
              <w:t>2、按照等级保护和关键基础设施风评的标准和规范进行项目的规划、设计。</w:t>
            </w:r>
          </w:p>
          <w:p>
            <w:pPr>
              <w:pStyle w:val="10"/>
              <w:spacing w:before="128" w:line="360" w:lineRule="auto"/>
              <w:ind w:right="146"/>
              <w:rPr>
                <w:rFonts w:ascii="仿宋" w:hAnsi="仿宋" w:eastAsia="仿宋" w:cs="仿宋"/>
                <w:sz w:val="28"/>
                <w:szCs w:val="28"/>
                <w:lang w:eastAsia="zh-CN"/>
              </w:rPr>
            </w:pPr>
            <w:r>
              <w:rPr>
                <w:rFonts w:hint="eastAsia" w:ascii="仿宋" w:hAnsi="仿宋" w:eastAsia="仿宋" w:cs="仿宋"/>
                <w:sz w:val="28"/>
                <w:szCs w:val="28"/>
                <w:lang w:eastAsia="zh-CN"/>
              </w:rPr>
              <w:t>3、方案需符合《省级政务信息化项目实施方案编制指南（服务类）（试行）》、《省级政务信息化项目投资编制指南（服务类）》等编制要求。根据省政务信息化项目及项目立项评审要求，对编制的陕西省电子政务外网骨干网专网接入区运营服务项目服务方案及附件进行完善修改，直至项目招标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8" w:hRule="atLeast"/>
        </w:trPr>
        <w:tc>
          <w:tcPr>
            <w:tcW w:w="820" w:type="dxa"/>
            <w:tcBorders>
              <w:bottom w:val="single" w:color="auto" w:sz="4" w:space="0"/>
            </w:tcBorders>
          </w:tcPr>
          <w:p>
            <w:pPr>
              <w:rPr>
                <w:rFonts w:ascii="仿宋" w:hAnsi="仿宋" w:eastAsia="仿宋" w:cs="仿宋"/>
                <w:sz w:val="28"/>
                <w:szCs w:val="28"/>
                <w:lang w:eastAsia="zh-CN"/>
              </w:rPr>
            </w:pPr>
            <w:r>
              <w:rPr>
                <w:rFonts w:hint="eastAsia" w:ascii="仿宋" w:hAnsi="仿宋" w:eastAsia="仿宋" w:cs="仿宋"/>
                <w:sz w:val="28"/>
                <w:szCs w:val="28"/>
                <w:lang w:eastAsia="zh-CN"/>
              </w:rPr>
              <w:t>3</w:t>
            </w:r>
          </w:p>
        </w:tc>
        <w:tc>
          <w:tcPr>
            <w:tcW w:w="8339" w:type="dxa"/>
            <w:tcBorders>
              <w:bottom w:val="single" w:color="auto" w:sz="4" w:space="0"/>
            </w:tcBorders>
          </w:tcPr>
          <w:p>
            <w:pPr>
              <w:pStyle w:val="10"/>
              <w:spacing w:before="157" w:line="360" w:lineRule="auto"/>
              <w:ind w:left="264"/>
              <w:rPr>
                <w:rFonts w:ascii="仿宋" w:hAnsi="仿宋" w:eastAsia="仿宋" w:cs="仿宋"/>
                <w:sz w:val="28"/>
                <w:szCs w:val="28"/>
                <w:lang w:eastAsia="zh-CN"/>
              </w:rPr>
            </w:pPr>
            <w:r>
              <w:rPr>
                <w:rFonts w:hint="eastAsia" w:ascii="仿宋" w:hAnsi="仿宋" w:eastAsia="仿宋" w:cs="仿宋"/>
                <w:sz w:val="28"/>
                <w:szCs w:val="28"/>
                <w:lang w:eastAsia="zh-CN"/>
              </w:rPr>
              <w:t>三、进度要求</w:t>
            </w:r>
          </w:p>
          <w:p>
            <w:pPr>
              <w:pStyle w:val="10"/>
              <w:spacing w:before="156" w:line="360" w:lineRule="auto"/>
              <w:ind w:left="271"/>
              <w:rPr>
                <w:rFonts w:ascii="仿宋" w:hAnsi="仿宋" w:eastAsia="仿宋" w:cs="仿宋"/>
                <w:sz w:val="28"/>
                <w:szCs w:val="28"/>
                <w:lang w:eastAsia="zh-CN"/>
              </w:rPr>
            </w:pPr>
            <w:r>
              <w:rPr>
                <w:rFonts w:hint="eastAsia" w:ascii="仿宋" w:hAnsi="仿宋" w:eastAsia="仿宋" w:cs="仿宋"/>
                <w:sz w:val="28"/>
                <w:szCs w:val="28"/>
                <w:lang w:eastAsia="zh-CN"/>
              </w:rPr>
              <w:t>1、中标人须在签订合同后10个工作日内提交本项目的服务方案和投资概算报告终稿。</w:t>
            </w:r>
          </w:p>
          <w:p>
            <w:pPr>
              <w:pStyle w:val="10"/>
              <w:spacing w:before="156" w:line="360" w:lineRule="auto"/>
              <w:ind w:left="271"/>
              <w:rPr>
                <w:rFonts w:ascii="仿宋" w:hAnsi="仿宋" w:eastAsia="仿宋" w:cs="仿宋"/>
                <w:sz w:val="28"/>
                <w:szCs w:val="28"/>
                <w:lang w:eastAsia="zh-CN"/>
              </w:rPr>
            </w:pPr>
            <w:r>
              <w:rPr>
                <w:rFonts w:hint="eastAsia" w:ascii="仿宋" w:hAnsi="仿宋" w:eastAsia="仿宋" w:cs="仿宋"/>
                <w:sz w:val="28"/>
                <w:szCs w:val="28"/>
                <w:lang w:eastAsia="zh-CN"/>
              </w:rPr>
              <w:t>2、投标供应商应承诺按照招标文件要求工期如期完工。投标供应商应制定具体的保证措施和工作进度计划，保证实现本项目按质按量完成。</w:t>
            </w:r>
          </w:p>
          <w:p>
            <w:pPr>
              <w:pStyle w:val="10"/>
              <w:spacing w:before="156" w:line="360" w:lineRule="auto"/>
              <w:ind w:left="271"/>
              <w:rPr>
                <w:rFonts w:ascii="仿宋" w:hAnsi="仿宋" w:eastAsia="仿宋" w:cs="仿宋"/>
                <w:sz w:val="28"/>
                <w:szCs w:val="28"/>
                <w:lang w:eastAsia="zh-CN"/>
              </w:rPr>
            </w:pPr>
            <w:r>
              <w:rPr>
                <w:rFonts w:hint="eastAsia" w:ascii="仿宋" w:hAnsi="仿宋" w:eastAsia="仿宋" w:cs="仿宋"/>
                <w:sz w:val="28"/>
                <w:szCs w:val="28"/>
                <w:lang w:eastAsia="zh-CN"/>
              </w:rPr>
              <w:t>3、合理安排工程进度，对项目设计阶段进行合理划分，并明确每个阶段应完成的工作及每个阶段</w:t>
            </w:r>
          </w:p>
          <w:p>
            <w:pPr>
              <w:pStyle w:val="10"/>
              <w:spacing w:before="128" w:line="360" w:lineRule="auto"/>
              <w:ind w:left="264"/>
              <w:rPr>
                <w:rFonts w:ascii="仿宋" w:hAnsi="仿宋" w:eastAsia="仿宋" w:cs="仿宋"/>
                <w:sz w:val="28"/>
                <w:szCs w:val="28"/>
                <w:lang w:eastAsia="zh-CN"/>
              </w:rPr>
            </w:pPr>
            <w:r>
              <w:rPr>
                <w:rFonts w:hint="eastAsia" w:ascii="仿宋" w:hAnsi="仿宋" w:eastAsia="仿宋" w:cs="仿宋"/>
                <w:sz w:val="28"/>
                <w:szCs w:val="28"/>
                <w:lang w:val="en-US" w:eastAsia="zh-CN"/>
              </w:rPr>
              <w:t>四、</w:t>
            </w:r>
            <w:r>
              <w:rPr>
                <w:rFonts w:hint="eastAsia" w:ascii="仿宋" w:hAnsi="仿宋" w:eastAsia="仿宋" w:cs="仿宋"/>
                <w:sz w:val="28"/>
                <w:szCs w:val="28"/>
                <w:lang w:eastAsia="zh-CN"/>
              </w:rPr>
              <w:t>提交文档及最终交付成果要求</w:t>
            </w:r>
          </w:p>
          <w:p>
            <w:pPr>
              <w:pStyle w:val="10"/>
              <w:spacing w:before="156" w:line="360" w:lineRule="auto"/>
              <w:ind w:left="271"/>
              <w:rPr>
                <w:rFonts w:ascii="仿宋" w:hAnsi="仿宋" w:eastAsia="仿宋" w:cs="仿宋"/>
                <w:sz w:val="28"/>
                <w:szCs w:val="28"/>
                <w:lang w:eastAsia="zh-CN"/>
              </w:rPr>
            </w:pPr>
            <w:r>
              <w:rPr>
                <w:rFonts w:hint="eastAsia" w:ascii="仿宋" w:hAnsi="仿宋" w:eastAsia="仿宋" w:cs="仿宋"/>
                <w:sz w:val="28"/>
                <w:szCs w:val="28"/>
                <w:lang w:eastAsia="zh-CN"/>
              </w:rPr>
              <w:t>1、中标方提交的所有文档产品应当结构清晰，容易阅读和理解。</w:t>
            </w:r>
          </w:p>
          <w:p>
            <w:pPr>
              <w:pStyle w:val="10"/>
              <w:spacing w:before="156" w:line="360" w:lineRule="auto"/>
              <w:ind w:left="271"/>
              <w:rPr>
                <w:rFonts w:ascii="仿宋" w:hAnsi="仿宋" w:eastAsia="仿宋" w:cs="仿宋"/>
                <w:sz w:val="28"/>
                <w:szCs w:val="28"/>
                <w:lang w:eastAsia="zh-CN"/>
              </w:rPr>
            </w:pPr>
            <w:r>
              <w:rPr>
                <w:rFonts w:hint="eastAsia" w:ascii="仿宋" w:hAnsi="仿宋" w:eastAsia="仿宋" w:cs="仿宋"/>
                <w:sz w:val="28"/>
                <w:szCs w:val="28"/>
                <w:lang w:eastAsia="zh-CN"/>
              </w:rPr>
              <w:t>2、最终设计成果是项目服务方案及相关附件方案。</w:t>
            </w:r>
          </w:p>
          <w:p>
            <w:pPr>
              <w:pStyle w:val="10"/>
              <w:spacing w:before="156" w:line="360" w:lineRule="auto"/>
              <w:ind w:left="271"/>
              <w:rPr>
                <w:rFonts w:ascii="仿宋" w:hAnsi="仿宋" w:eastAsia="仿宋" w:cs="仿宋"/>
                <w:sz w:val="28"/>
                <w:szCs w:val="28"/>
                <w:lang w:eastAsia="zh-CN"/>
              </w:rPr>
            </w:pPr>
            <w:r>
              <w:rPr>
                <w:rFonts w:hint="eastAsia" w:ascii="仿宋" w:hAnsi="仿宋" w:eastAsia="仿宋" w:cs="仿宋"/>
                <w:sz w:val="28"/>
                <w:szCs w:val="28"/>
                <w:lang w:eastAsia="zh-CN"/>
              </w:rPr>
              <w:t>3、最终设计提交：本项目书面服务方案及相关附件方案，并以光盘的形式交付电子版，其中：服务方案及相关附件方案（终定稿）一式5份。</w:t>
            </w:r>
          </w:p>
          <w:p>
            <w:pPr>
              <w:pStyle w:val="10"/>
              <w:spacing w:before="156" w:line="360" w:lineRule="auto"/>
              <w:ind w:left="271"/>
              <w:rPr>
                <w:rFonts w:ascii="仿宋" w:hAnsi="仿宋" w:eastAsia="仿宋" w:cs="仿宋"/>
                <w:sz w:val="28"/>
                <w:szCs w:val="28"/>
                <w:lang w:eastAsia="zh-CN"/>
              </w:rPr>
            </w:pPr>
            <w:r>
              <w:rPr>
                <w:rFonts w:hint="eastAsia" w:ascii="仿宋" w:hAnsi="仿宋" w:eastAsia="仿宋" w:cs="仿宋"/>
                <w:sz w:val="28"/>
                <w:szCs w:val="28"/>
                <w:lang w:eastAsia="zh-CN"/>
              </w:rPr>
              <w:t>4、最终设计成果应满足陕西省省级政务信息化项目相关要求。</w:t>
            </w:r>
          </w:p>
          <w:p>
            <w:pPr>
              <w:pStyle w:val="10"/>
              <w:spacing w:before="128" w:line="360" w:lineRule="auto"/>
              <w:ind w:left="264"/>
              <w:rPr>
                <w:rFonts w:ascii="仿宋" w:hAnsi="仿宋" w:eastAsia="仿宋" w:cs="仿宋"/>
                <w:sz w:val="28"/>
                <w:szCs w:val="28"/>
                <w:lang w:eastAsia="zh-CN"/>
              </w:rPr>
            </w:pPr>
            <w:r>
              <w:rPr>
                <w:rFonts w:hint="eastAsia" w:ascii="仿宋" w:hAnsi="仿宋" w:eastAsia="仿宋" w:cs="仿宋"/>
                <w:sz w:val="28"/>
                <w:szCs w:val="28"/>
                <w:lang w:val="en-US" w:eastAsia="zh-CN"/>
              </w:rPr>
              <w:t>五、</w:t>
            </w:r>
            <w:r>
              <w:rPr>
                <w:rFonts w:hint="eastAsia" w:ascii="仿宋" w:hAnsi="仿宋" w:eastAsia="仿宋" w:cs="仿宋"/>
                <w:sz w:val="28"/>
                <w:szCs w:val="28"/>
                <w:lang w:eastAsia="zh-CN"/>
              </w:rPr>
              <w:t>组织机构要求</w:t>
            </w:r>
          </w:p>
          <w:p>
            <w:pPr>
              <w:pStyle w:val="10"/>
              <w:spacing w:before="157" w:line="360" w:lineRule="auto"/>
              <w:ind w:left="271"/>
              <w:rPr>
                <w:rFonts w:ascii="仿宋" w:hAnsi="仿宋" w:eastAsia="仿宋" w:cs="仿宋"/>
                <w:sz w:val="28"/>
                <w:szCs w:val="28"/>
                <w:lang w:eastAsia="zh-CN"/>
              </w:rPr>
            </w:pPr>
            <w:r>
              <w:rPr>
                <w:rFonts w:hint="eastAsia" w:ascii="仿宋" w:hAnsi="仿宋" w:eastAsia="仿宋" w:cs="仿宋"/>
                <w:sz w:val="28"/>
                <w:szCs w:val="28"/>
                <w:lang w:eastAsia="zh-CN"/>
              </w:rPr>
              <w:t>1、投标供应商应认真组织好设计、咨询、技术、服务及管理等方面的人员队伍，做好工作计划。</w:t>
            </w:r>
          </w:p>
          <w:p>
            <w:pPr>
              <w:pStyle w:val="10"/>
              <w:spacing w:before="157" w:line="360" w:lineRule="auto"/>
              <w:ind w:left="271"/>
              <w:rPr>
                <w:rFonts w:ascii="仿宋" w:hAnsi="仿宋" w:eastAsia="仿宋" w:cs="仿宋"/>
                <w:sz w:val="28"/>
                <w:szCs w:val="28"/>
                <w:lang w:eastAsia="zh-CN"/>
              </w:rPr>
            </w:pPr>
            <w:r>
              <w:rPr>
                <w:rFonts w:hint="eastAsia" w:ascii="仿宋" w:hAnsi="仿宋" w:eastAsia="仿宋" w:cs="仿宋"/>
                <w:sz w:val="28"/>
                <w:szCs w:val="28"/>
                <w:lang w:eastAsia="zh-CN"/>
              </w:rPr>
              <w:t>2、投标供应商针对本项目的特点，指派具备项目管理经验和工程设计咨询经验的高素质人才担任项目经理，形成一个高效的设计实施团队和管理组织机构，以确保使初步设计能按质、按量、按时完成，并有序的组织实施工作。</w:t>
            </w:r>
          </w:p>
          <w:p>
            <w:pPr>
              <w:pStyle w:val="10"/>
              <w:spacing w:before="157" w:line="360" w:lineRule="auto"/>
              <w:ind w:left="271"/>
              <w:rPr>
                <w:rFonts w:ascii="仿宋" w:hAnsi="仿宋" w:eastAsia="仿宋" w:cs="仿宋"/>
                <w:sz w:val="28"/>
                <w:szCs w:val="28"/>
                <w:lang w:eastAsia="zh-CN"/>
              </w:rPr>
            </w:pPr>
            <w:r>
              <w:rPr>
                <w:rFonts w:hint="eastAsia" w:ascii="仿宋" w:hAnsi="仿宋" w:eastAsia="仿宋" w:cs="仿宋"/>
                <w:sz w:val="28"/>
                <w:szCs w:val="28"/>
                <w:lang w:eastAsia="zh-CN"/>
              </w:rPr>
              <w:t>3、投标供应商在投标时应提交项目组织机构的规划以及主要人员的详细资料，包括姓名、职务、职称及承担过的类似项目。</w:t>
            </w:r>
          </w:p>
        </w:tc>
      </w:tr>
    </w:tbl>
    <w:p>
      <w:pPr>
        <w:spacing w:line="221" w:lineRule="auto"/>
        <w:ind w:firstLine="380"/>
        <w:rPr>
          <w:rFonts w:ascii="仿宋" w:hAnsi="仿宋" w:eastAsia="仿宋" w:cs="仿宋"/>
          <w:sz w:val="19"/>
          <w:szCs w:val="19"/>
          <w:lang w:eastAsia="zh-CN"/>
        </w:rPr>
        <w:sectPr>
          <w:footerReference r:id="rId3" w:type="default"/>
          <w:pgSz w:w="11900" w:h="16840"/>
          <w:pgMar w:top="1440" w:right="1083" w:bottom="1440" w:left="1083" w:header="0" w:footer="0" w:gutter="0"/>
          <w:cols w:space="720" w:num="1"/>
        </w:sectPr>
      </w:pPr>
    </w:p>
    <w:p>
      <w:pPr>
        <w:spacing w:line="360" w:lineRule="auto"/>
        <w:ind w:firstLine="643"/>
        <w:rPr>
          <w:rFonts w:ascii="仿宋" w:hAnsi="仿宋" w:eastAsia="仿宋" w:cs="仿宋"/>
          <w:b/>
          <w:bCs/>
          <w:sz w:val="32"/>
          <w:szCs w:val="32"/>
          <w:lang w:eastAsia="zh-CN"/>
        </w:rPr>
      </w:pPr>
      <w:r>
        <w:rPr>
          <w:rFonts w:hint="eastAsia" w:ascii="仿宋" w:hAnsi="仿宋" w:eastAsia="仿宋" w:cs="仿宋"/>
          <w:b/>
          <w:bCs/>
          <w:sz w:val="32"/>
          <w:szCs w:val="32"/>
          <w:lang w:val="en-US" w:eastAsia="zh-CN"/>
        </w:rPr>
        <w:t>五、</w:t>
      </w:r>
      <w:r>
        <w:rPr>
          <w:rFonts w:hint="eastAsia" w:ascii="仿宋" w:hAnsi="仿宋" w:eastAsia="仿宋" w:cs="仿宋"/>
          <w:b/>
          <w:bCs/>
          <w:sz w:val="32"/>
          <w:szCs w:val="32"/>
          <w:lang w:eastAsia="zh-CN"/>
        </w:rPr>
        <w:t>商务要求</w:t>
      </w:r>
    </w:p>
    <w:p>
      <w:pPr>
        <w:spacing w:line="360" w:lineRule="auto"/>
        <w:rPr>
          <w:rFonts w:ascii="仿宋" w:hAnsi="仿宋" w:eastAsia="仿宋" w:cs="仿宋"/>
          <w:sz w:val="28"/>
          <w:szCs w:val="28"/>
          <w:lang w:eastAsia="zh-CN"/>
        </w:rPr>
      </w:pPr>
      <w:r>
        <w:rPr>
          <w:rFonts w:hint="eastAsia" w:ascii="仿宋" w:hAnsi="仿宋" w:eastAsia="仿宋" w:cs="仿宋"/>
          <w:sz w:val="28"/>
          <w:szCs w:val="28"/>
          <w:lang w:eastAsia="zh-CN"/>
        </w:rPr>
        <w:t>3.5.1服务期限：</w:t>
      </w:r>
    </w:p>
    <w:p>
      <w:pPr>
        <w:spacing w:line="360" w:lineRule="auto"/>
        <w:rPr>
          <w:rFonts w:ascii="仿宋" w:hAnsi="仿宋" w:eastAsia="仿宋" w:cs="仿宋"/>
          <w:sz w:val="28"/>
          <w:szCs w:val="28"/>
          <w:lang w:eastAsia="zh-CN"/>
        </w:rPr>
      </w:pPr>
      <w:r>
        <w:rPr>
          <w:rFonts w:hint="eastAsia" w:ascii="仿宋" w:hAnsi="仿宋" w:eastAsia="仿宋" w:cs="仿宋"/>
          <w:sz w:val="28"/>
          <w:szCs w:val="28"/>
          <w:lang w:eastAsia="zh-CN"/>
        </w:rPr>
        <w:t>自合同签订之日起10个工作日内</w:t>
      </w:r>
    </w:p>
    <w:p>
      <w:pPr>
        <w:spacing w:line="360" w:lineRule="auto"/>
        <w:rPr>
          <w:rFonts w:ascii="仿宋" w:hAnsi="仿宋" w:eastAsia="仿宋" w:cs="仿宋"/>
          <w:sz w:val="28"/>
          <w:szCs w:val="28"/>
          <w:lang w:eastAsia="zh-CN"/>
        </w:rPr>
      </w:pPr>
      <w:r>
        <w:rPr>
          <w:rFonts w:hint="eastAsia" w:ascii="仿宋" w:hAnsi="仿宋" w:eastAsia="仿宋" w:cs="仿宋"/>
          <w:sz w:val="28"/>
          <w:szCs w:val="28"/>
          <w:lang w:eastAsia="zh-CN"/>
        </w:rPr>
        <w:t>3.5.2服务地点：</w:t>
      </w:r>
    </w:p>
    <w:p>
      <w:pPr>
        <w:spacing w:line="360" w:lineRule="auto"/>
        <w:rPr>
          <w:rFonts w:ascii="仿宋" w:hAnsi="仿宋" w:eastAsia="仿宋" w:cs="仿宋"/>
          <w:sz w:val="28"/>
          <w:szCs w:val="28"/>
          <w:lang w:eastAsia="zh-CN"/>
        </w:rPr>
      </w:pPr>
      <w:r>
        <w:rPr>
          <w:rFonts w:hint="eastAsia" w:ascii="仿宋" w:hAnsi="仿宋" w:eastAsia="仿宋" w:cs="仿宋"/>
          <w:sz w:val="28"/>
          <w:szCs w:val="28"/>
          <w:lang w:eastAsia="zh-CN"/>
        </w:rPr>
        <w:t>采购人指定地点</w:t>
      </w:r>
    </w:p>
    <w:p>
      <w:pPr>
        <w:spacing w:line="360" w:lineRule="auto"/>
        <w:rPr>
          <w:rFonts w:ascii="仿宋" w:hAnsi="仿宋" w:eastAsia="仿宋" w:cs="仿宋"/>
          <w:sz w:val="28"/>
          <w:szCs w:val="28"/>
          <w:lang w:eastAsia="zh-CN"/>
        </w:rPr>
      </w:pPr>
      <w:r>
        <w:rPr>
          <w:rFonts w:hint="eastAsia" w:ascii="仿宋" w:hAnsi="仿宋" w:eastAsia="仿宋" w:cs="仿宋"/>
          <w:sz w:val="28"/>
          <w:szCs w:val="28"/>
          <w:lang w:eastAsia="zh-CN"/>
        </w:rPr>
        <w:t>3.5.3考核（验收）标准和方法：</w:t>
      </w:r>
    </w:p>
    <w:p>
      <w:pPr>
        <w:numPr>
          <w:ilvl w:val="0"/>
          <w:numId w:val="1"/>
        </w:numPr>
        <w:spacing w:line="360" w:lineRule="auto"/>
        <w:rPr>
          <w:rFonts w:ascii="仿宋" w:hAnsi="仿宋" w:eastAsia="仿宋" w:cs="仿宋"/>
          <w:sz w:val="28"/>
          <w:szCs w:val="28"/>
          <w:lang w:eastAsia="zh-CN"/>
        </w:rPr>
      </w:pPr>
      <w:r>
        <w:rPr>
          <w:rFonts w:hint="eastAsia" w:ascii="仿宋" w:hAnsi="仿宋" w:eastAsia="仿宋" w:cs="仿宋"/>
          <w:sz w:val="28"/>
          <w:szCs w:val="28"/>
          <w:lang w:eastAsia="zh-CN"/>
        </w:rPr>
        <w:t>供应商向采购人提交项目实施过程中的所有资料。</w:t>
      </w:r>
    </w:p>
    <w:p>
      <w:pPr>
        <w:spacing w:line="360" w:lineRule="auto"/>
        <w:rPr>
          <w:rFonts w:ascii="仿宋" w:hAnsi="仿宋" w:eastAsia="仿宋" w:cs="仿宋"/>
          <w:sz w:val="28"/>
          <w:szCs w:val="28"/>
          <w:lang w:eastAsia="zh-CN"/>
        </w:rPr>
      </w:pPr>
      <w:r>
        <w:rPr>
          <w:rFonts w:hint="eastAsia" w:ascii="仿宋" w:hAnsi="仿宋" w:eastAsia="仿宋" w:cs="仿宋"/>
          <w:sz w:val="28"/>
          <w:szCs w:val="28"/>
          <w:lang w:eastAsia="zh-CN"/>
        </w:rPr>
        <w:t>2、验收须以合同、招标文件及投标文件、澄清、及国家相应的标准、规范等为依据。</w:t>
      </w:r>
    </w:p>
    <w:p>
      <w:pPr>
        <w:spacing w:line="360" w:lineRule="auto"/>
        <w:rPr>
          <w:rFonts w:ascii="仿宋" w:hAnsi="仿宋" w:eastAsia="仿宋" w:cs="仿宋"/>
          <w:sz w:val="28"/>
          <w:szCs w:val="28"/>
          <w:lang w:eastAsia="zh-CN"/>
        </w:rPr>
      </w:pPr>
      <w:r>
        <w:rPr>
          <w:rFonts w:hint="eastAsia" w:ascii="仿宋" w:hAnsi="仿宋" w:eastAsia="仿宋" w:cs="仿宋"/>
          <w:sz w:val="28"/>
          <w:szCs w:val="28"/>
          <w:lang w:eastAsia="zh-CN"/>
        </w:rPr>
        <w:t>3.5.4支付方式：</w:t>
      </w:r>
    </w:p>
    <w:p>
      <w:pPr>
        <w:spacing w:line="360" w:lineRule="auto"/>
        <w:rPr>
          <w:rFonts w:ascii="仿宋" w:hAnsi="仿宋" w:eastAsia="仿宋" w:cs="仿宋"/>
          <w:sz w:val="28"/>
          <w:szCs w:val="28"/>
          <w:lang w:eastAsia="zh-CN"/>
        </w:rPr>
      </w:pPr>
      <w:r>
        <w:rPr>
          <w:rFonts w:hint="eastAsia" w:ascii="仿宋" w:hAnsi="仿宋" w:eastAsia="仿宋" w:cs="仿宋"/>
          <w:sz w:val="28"/>
          <w:szCs w:val="28"/>
          <w:lang w:eastAsia="zh-CN"/>
        </w:rPr>
        <w:t>一次付清</w:t>
      </w:r>
    </w:p>
    <w:p>
      <w:pPr>
        <w:spacing w:line="360" w:lineRule="auto"/>
        <w:rPr>
          <w:rFonts w:ascii="仿宋" w:hAnsi="仿宋" w:eastAsia="仿宋" w:cs="仿宋"/>
          <w:sz w:val="28"/>
          <w:szCs w:val="28"/>
          <w:lang w:eastAsia="zh-CN"/>
        </w:rPr>
      </w:pPr>
      <w:r>
        <w:rPr>
          <w:rFonts w:hint="eastAsia" w:ascii="仿宋" w:hAnsi="仿宋" w:eastAsia="仿宋" w:cs="仿宋"/>
          <w:sz w:val="28"/>
          <w:szCs w:val="28"/>
          <w:lang w:eastAsia="zh-CN"/>
        </w:rPr>
        <w:t>3.5.5.支付约定：</w:t>
      </w:r>
    </w:p>
    <w:p>
      <w:pPr>
        <w:spacing w:line="360" w:lineRule="auto"/>
        <w:rPr>
          <w:rFonts w:ascii="仿宋" w:hAnsi="仿宋" w:eastAsia="仿宋" w:cs="仿宋"/>
          <w:sz w:val="28"/>
          <w:szCs w:val="28"/>
          <w:lang w:eastAsia="zh-CN"/>
        </w:rPr>
      </w:pPr>
      <w:r>
        <w:rPr>
          <w:rFonts w:hint="eastAsia" w:ascii="仿宋" w:hAnsi="仿宋" w:eastAsia="仿宋" w:cs="仿宋"/>
          <w:sz w:val="28"/>
          <w:szCs w:val="28"/>
          <w:lang w:eastAsia="zh-CN"/>
        </w:rPr>
        <w:t>付款条件说明：验收合格后支付合同总金额的100%，达到付款条件起10日内，支付合同总金额的100.00%。</w:t>
      </w:r>
    </w:p>
    <w:p>
      <w:pPr>
        <w:spacing w:line="360" w:lineRule="auto"/>
        <w:rPr>
          <w:rFonts w:ascii="仿宋" w:hAnsi="仿宋" w:eastAsia="仿宋" w:cs="仿宋"/>
          <w:sz w:val="28"/>
          <w:szCs w:val="28"/>
          <w:lang w:eastAsia="zh-CN"/>
        </w:rPr>
      </w:pPr>
      <w:r>
        <w:rPr>
          <w:rFonts w:hint="eastAsia" w:ascii="仿宋" w:hAnsi="仿宋" w:eastAsia="仿宋" w:cs="仿宋"/>
          <w:sz w:val="28"/>
          <w:szCs w:val="28"/>
          <w:lang w:eastAsia="zh-CN"/>
        </w:rPr>
        <w:t>3.5.6违约责任与解决争议的方法：</w:t>
      </w:r>
    </w:p>
    <w:p>
      <w:pPr>
        <w:spacing w:line="360" w:lineRule="auto"/>
      </w:pPr>
      <w:r>
        <w:rPr>
          <w:rFonts w:hint="eastAsia" w:ascii="仿宋" w:hAnsi="仿宋" w:eastAsia="仿宋" w:cs="仿宋"/>
          <w:sz w:val="28"/>
          <w:szCs w:val="28"/>
          <w:lang w:eastAsia="zh-CN"/>
        </w:rPr>
        <w:t>详见合同格式与主要条款</w:t>
      </w:r>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3" w:lineRule="auto"/>
      <w:ind w:left="4813"/>
      <w:rPr>
        <w:rFonts w:ascii="Lucida Sans Unicode" w:hAnsi="Lucida Sans Unicode" w:eastAsia="Lucida Sans Unicode" w:cs="Lucida Sans Unicode"/>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3" w:lineRule="auto"/>
      <w:ind w:left="4804"/>
      <w:rPr>
        <w:rFonts w:ascii="Lucida Sans Unicode" w:hAnsi="Lucida Sans Unicode" w:eastAsia="Lucida Sans Unicode" w:cs="Lucida Sans Unicode"/>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42C24"/>
    <w:multiLevelType w:val="singleLevel"/>
    <w:tmpl w:val="0DD42C2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OTc2YzQzYjU4N2VmMWEwZWU3YzBlY2Q4Yjk5OGYifQ=="/>
  </w:docVars>
  <w:rsids>
    <w:rsidRoot w:val="16A5616A"/>
    <w:rsid w:val="16A5616A"/>
    <w:rsid w:val="23FD2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style>
  <w:style w:type="paragraph" w:styleId="3">
    <w:name w:val="toa heading"/>
    <w:basedOn w:val="1"/>
    <w:next w:val="1"/>
    <w:qFormat/>
    <w:uiPriority w:val="99"/>
    <w:pPr>
      <w:spacing w:before="120"/>
    </w:pPr>
    <w:rPr>
      <w:sz w:val="24"/>
      <w:szCs w:val="24"/>
    </w:rPr>
  </w:style>
  <w:style w:type="paragraph" w:styleId="4">
    <w:name w:val="Body Text"/>
    <w:basedOn w:val="1"/>
    <w:autoRedefine/>
    <w:semiHidden/>
    <w:qFormat/>
    <w:uiPriority w:val="0"/>
    <w:rPr>
      <w:rFonts w:ascii="宋体" w:hAnsi="宋体" w:eastAsia="宋体" w:cs="宋体"/>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正文-Q"/>
    <w:basedOn w:val="1"/>
    <w:autoRedefine/>
    <w:qFormat/>
    <w:uiPriority w:val="0"/>
    <w:pPr>
      <w:spacing w:line="360" w:lineRule="auto"/>
      <w:ind w:firstLine="480" w:firstLineChars="200"/>
    </w:pPr>
    <w:rPr>
      <w:rFonts w:ascii="Times New Roman" w:hAnsi="Times New Roman" w:eastAsia="宋体"/>
      <w:sz w:val="24"/>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19"/>
      <w:szCs w:val="19"/>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2024-04-29T09:40:00Z</dcterms:created>
  <dc:creator>A-Sa</dc:creator>
  <cp:lastModifiedBy>A-Sa</cp:lastModifiedBy>
  <dcterms:modified xsi:type="dcterms:W3CDTF">2024-05-21T03:21:05Z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29D296FCFD5B40A0ADF7A3311A4747CB_11</vt:lpwstr>
  </property>
</Properties>
</file>