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highlight w:val="none"/>
        </w:rPr>
        <w:t>甲方（采购人）：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highlight w:val="none"/>
          <w:u w:val="single"/>
          <w:lang w:eastAsia="zh-CN"/>
        </w:rPr>
        <w:t>陕西省应急救援与航空护林中心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highlight w:val="non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highlight w:val="none"/>
        </w:rPr>
        <w:t>乙方（成交供应商）：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2024年陕西省航空应急救援综合演练服务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(项目编号：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ZZGJ-ZFCG2024XA028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)由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中洲国际项目管理有限公司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组织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公开招标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eastAsia="zh-CN"/>
        </w:rPr>
        <w:t>陕西省应急救援与航空护林中心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(以下简称“甲方”)确定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（以下简称“乙方”）为该项目的成交供应商。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依据《中华人民共和国民法典》和《中华人民共和国政府采购法》之规定，经双方在平等、自愿、互利的基础上，签订本合同，共同信守。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合同价款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合同价款为人民币（大写）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（¥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合同价款确定方式：固定总价合同。合同价款包括但不限于完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成该项目的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策划费、方案编制费、专家评审费、</w:t>
      </w:r>
      <w:r>
        <w:rPr>
          <w:rFonts w:hint="default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制作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费、物资保障费等各项管理费用，相关税费、利润、后续服务等的全部费用。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合同价款一次性包死，不受市场价格变化因素的影响。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委托工作内容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2024年陕西省航空应急救援综合演练服务包含以下全部内容：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需求分析与情景设计；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演练现场设计与搭建；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影音视频制作；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演练现场设备保障；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人员物资准备安排；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启动会、方案评审会场安排；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演练组织策划；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演练成果；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其他与2024年陕西省航空应急救援综合演练相关的一切事宜。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同时还包括整个演练期间的咨询、组织以及后勤保障等工作。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款项结算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付款方式：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bookmarkStart w:id="0" w:name="_Toc942964"/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根据项目进度向供应商拨付服务费。</w:t>
      </w:r>
      <w:bookmarkEnd w:id="0"/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合同签订后，采购人向供应商支付合同总价款的60%；待供应商完成采购人全部委托事项，并提交最终演练成果，采购人确认供应商如约履行各项义务、完成各项善后工作，无任何对本次演练可能造成不良影响的遗留问题后，采购人向供应商付至合同总价款的40%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结算方式：银行转账。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结算单位：由甲方负责结算，乙方开具合同价款的全额发票给甲方。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服务地点及服务期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服务地点：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宝鸡市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服务期：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自合同签订之日起至活动结束，并完成与本项目相关的所有服务事项。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双方的权利和义务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甲方的权利与义务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甲方负责配合本次项目演练工作；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甲方应按本合同的约定向乙方支付合同价款；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甲方根据需要对乙方提供的服务方案进行审核，提供建议及意见，确定最终实施的服务方案，以便乙方遵照执行；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甲方有权对乙方的工作进行监督和考核。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乙方的权利与义务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对本合同规定的委托服务范围内的项目享有管理权及服务义务。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根据本合同的规定向甲方收取相关服务费用，并有权在本项目管理范围内管理及合理使用；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乙方提交的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演练成果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及报告编制应及时递交甲方予以确认；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乙方应服从甲方统筹管理并按流程开展工作；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乙方对项目实施中涉及甲方的各种信息、数据或技术材料等具有保密义务；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国家法律、法规所规定由乙方承担的其它责任。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  <w:t>服务质量保证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以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合同及其相关附件、投标文件、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、澄清表的相关文件为准，但至少应包括：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乙方需派一名项目经理，直接与甲方沟通，项目经理接收甲方提出的问题与要求，并及时反馈给工作组，解决在项目实施过程中遇到的问题。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项目在实施过程中会出现不可预料的需求变更，乙方需积极配合甲方的需求变更，并按照变更后的需求继续进行方案实施。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乙方需提交所有实施方案流程及说明文档。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乙方需建立高效的管理团队，项目团队组成合理。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乙方需设有详细的技术资料档案和服务档案，将保存项目的详细资料以便于更好地提供服务。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  <w:t>保密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对于在项目服务过程中所接触到的甲方各种信息、数据或技术资料，在未征得甲方书面许可的情况下不得向任何第三方泄漏，否则，甲方将追究乙方的泄密责任及由此而带来的各种损失。本合同的解除或终止不免除乙方应承担的保密义务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乙方工作人员在甲方现场进行项目实施过程中，应严格遵守甲方的各项规章制度，因乙方原因造成原有设备损坏、数据泄露或者丢失，甲方保留追究乙方责任的权利，给甲方造成的损失，由乙方负责赔偿。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  <w:t>知识产权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shd w:val="clear" w:color="auto" w:fill="auto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乙方应对所供产品具有或已取得合法知识产权，乙方应保证所供产品及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，给甲方造成损失的，由乙方一并赔偿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trike/>
          <w:dstrike w:val="0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本项目形成的成果（包括知识产权）归甲方所有，乙方不得用于本合同之外的用途，不得通过任何方式透露给第三方。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验收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shd w:val="clear" w:color="auto" w:fill="auto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strike/>
          <w:dstrike w:val="0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strike w:val="0"/>
          <w:dstrike w:val="0"/>
          <w:color w:val="auto"/>
          <w:sz w:val="24"/>
          <w:szCs w:val="24"/>
          <w:highlight w:val="none"/>
        </w:rPr>
        <w:t>本项目验收费用，由乙方自行承担。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服务期满后，由乙方向甲方递交验收通知书，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 xml:space="preserve"> 乙方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提出验收申请之日起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日内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甲方应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进行系统验收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验收合格后，填写政府采购项目验收单作为对本次服务的最终认可。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（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）验收依据：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合同文本；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投标文件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及澄清函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国家和行业制定的相应的标准和规范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验收标准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与演练有关的设计产品（含源文件）、数据资料和分析成果所有权归采购单位所有。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采购人将按工作要求分阶段进行采购项目的检查验收，如果发现与采购要求不符或与响应文件不符等问题，成交人应当按要求采取补救处理措施，并承担相关质量保证责任。若演练结束时仍未按采购要求完成补救处理的，采购人将按未落实项目扣除相应费用。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对于在演练筹备、举办期间突发且与活动组织、宣传等有关的工作内容，但未在采购文件中体现与明确的，供应商有义务配合采购人调整工作方案，并开展相关具体工作。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违约责任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overflowPunct/>
        <w:topLinePunct w:val="0"/>
        <w:bidi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依据《中华人民共和国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民法典</w:t>
      </w:r>
      <w:r>
        <w:rPr>
          <w:rFonts w:hint="eastAsia" w:ascii="宋体" w:hAnsi="宋体" w:eastAsia="宋体" w:cs="宋体"/>
          <w:bCs/>
          <w:sz w:val="24"/>
          <w:szCs w:val="24"/>
        </w:rPr>
        <w:t>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overflowPunct/>
        <w:topLinePunct w:val="0"/>
        <w:bidi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sz w:val="24"/>
          <w:szCs w:val="24"/>
        </w:rPr>
        <w:t>未经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宋体"/>
          <w:bCs/>
          <w:sz w:val="24"/>
          <w:szCs w:val="24"/>
        </w:rPr>
        <w:t>同意，以任何形式向第三人泄露项目信息及秘密的，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宋体"/>
          <w:bCs/>
          <w:sz w:val="24"/>
          <w:szCs w:val="24"/>
        </w:rPr>
        <w:t>有权解除合同且要求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sz w:val="24"/>
          <w:szCs w:val="24"/>
        </w:rPr>
        <w:t>承担违约责任。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overflowPunct/>
        <w:topLinePunct w:val="0"/>
        <w:bidi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sz w:val="24"/>
          <w:szCs w:val="24"/>
        </w:rPr>
        <w:t>应在收到解除通知后5天内退还已收取的款项，履行合同的相关费用由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sz w:val="24"/>
          <w:szCs w:val="24"/>
        </w:rPr>
        <w:t>承担。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overflowPunct/>
        <w:topLinePunct w:val="0"/>
        <w:bidi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因解除合同造成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宋体"/>
          <w:bCs/>
          <w:sz w:val="24"/>
          <w:szCs w:val="24"/>
        </w:rPr>
        <w:t>损失的应予赔偿，损失无法计算时，每日应按合同价款的 千分之一承担。上述约定的违约条款可合并适用，合并适用后仍不能弥补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宋体"/>
          <w:bCs/>
          <w:sz w:val="24"/>
          <w:szCs w:val="24"/>
        </w:rPr>
        <w:t>损失的，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宋体"/>
          <w:bCs/>
          <w:sz w:val="24"/>
          <w:szCs w:val="24"/>
        </w:rPr>
        <w:t>有权继续追偿，由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sz w:val="24"/>
          <w:szCs w:val="24"/>
        </w:rPr>
        <w:t>承担相应责任，由此给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宋体"/>
          <w:bCs/>
          <w:sz w:val="24"/>
          <w:szCs w:val="24"/>
        </w:rPr>
        <w:t>造成的损失，也应承担。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overflowPunct/>
        <w:topLinePunct w:val="0"/>
        <w:bidi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未经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宋体"/>
          <w:bCs/>
          <w:sz w:val="24"/>
          <w:szCs w:val="24"/>
        </w:rPr>
        <w:t>书面同意，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sz w:val="24"/>
          <w:szCs w:val="24"/>
        </w:rPr>
        <w:t>不得转让或部分转让合同，如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sz w:val="24"/>
          <w:szCs w:val="24"/>
        </w:rPr>
        <w:t>违约，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宋体"/>
          <w:bCs/>
          <w:sz w:val="24"/>
          <w:szCs w:val="24"/>
        </w:rPr>
        <w:t>有权解除合同或要求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sz w:val="24"/>
          <w:szCs w:val="24"/>
        </w:rPr>
        <w:t>承担违约责任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合同争议解决的方式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本合同在履行过程中发生的争议，由甲、乙双方当事人协商解决，协商不成的按下列第（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）种方式解决：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提交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西安市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仲裁委员会仲裁；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依法向甲方所在地法院起诉。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合同生效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本合同须经甲、乙双方的法定代表人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授权代表在合同书上签字并加盖本单位公章后正式生效。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合同生效后，甲、乙双方须严格执行本合同条款的规定，全面履行合同，违者按《中华人民共和国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lang w:eastAsia="zh-CN"/>
        </w:rPr>
        <w:t>民法典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》的有关规定承担相应责任。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本合同一式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份，甲乙双方各执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份。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t>本合同如有未尽事宜，甲、乙双方协商解决。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tbl>
      <w:tblPr>
        <w:tblStyle w:val="8"/>
        <w:tblW w:w="84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乙  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700" w:firstLineChars="35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800" w:firstLineChars="4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邮编：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法定代表人：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被授权代表：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600" w:hanging="600" w:hangingChars="3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传真：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开户银行：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kern w:val="0"/>
                <w:sz w:val="24"/>
                <w:szCs w:val="24"/>
                <w:highlight w:val="none"/>
              </w:rPr>
              <w:t>日期：</w:t>
            </w:r>
          </w:p>
        </w:tc>
      </w:tr>
    </w:tbl>
    <w:p/>
    <w:sectPr>
      <w:pgSz w:w="11906" w:h="16838"/>
      <w:pgMar w:top="1440" w:right="1797" w:bottom="1440" w:left="1797" w:header="851" w:footer="992" w:gutter="0"/>
      <w:pgNumType w:fmt="decimal"/>
      <w:cols w:space="0" w:num="1"/>
      <w:titlePg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772339"/>
    <w:multiLevelType w:val="singleLevel"/>
    <w:tmpl w:val="8277233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8A1BC447"/>
    <w:multiLevelType w:val="singleLevel"/>
    <w:tmpl w:val="8A1BC44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  <w:strike w:val="0"/>
        <w:dstrike w:val="0"/>
      </w:rPr>
    </w:lvl>
  </w:abstractNum>
  <w:abstractNum w:abstractNumId="2">
    <w:nsid w:val="956599E6"/>
    <w:multiLevelType w:val="singleLevel"/>
    <w:tmpl w:val="956599E6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AFF63419"/>
    <w:multiLevelType w:val="singleLevel"/>
    <w:tmpl w:val="AFF6341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  <w:strike w:val="0"/>
        <w:dstrike w:val="0"/>
      </w:rPr>
    </w:lvl>
  </w:abstractNum>
  <w:abstractNum w:abstractNumId="4">
    <w:nsid w:val="B4002320"/>
    <w:multiLevelType w:val="singleLevel"/>
    <w:tmpl w:val="B400232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CA84E541"/>
    <w:multiLevelType w:val="singleLevel"/>
    <w:tmpl w:val="CA84E54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ED57571A"/>
    <w:multiLevelType w:val="singleLevel"/>
    <w:tmpl w:val="ED57571A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7">
    <w:nsid w:val="F029EBC2"/>
    <w:multiLevelType w:val="singleLevel"/>
    <w:tmpl w:val="F029EBC2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8">
    <w:nsid w:val="F333A71E"/>
    <w:multiLevelType w:val="singleLevel"/>
    <w:tmpl w:val="F333A71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9">
    <w:nsid w:val="10633C7B"/>
    <w:multiLevelType w:val="singleLevel"/>
    <w:tmpl w:val="10633C7B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0">
    <w:nsid w:val="11B30831"/>
    <w:multiLevelType w:val="singleLevel"/>
    <w:tmpl w:val="11B30831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1">
    <w:nsid w:val="176D2D4F"/>
    <w:multiLevelType w:val="singleLevel"/>
    <w:tmpl w:val="176D2D4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2">
    <w:nsid w:val="205B56C9"/>
    <w:multiLevelType w:val="singleLevel"/>
    <w:tmpl w:val="205B56C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3">
    <w:nsid w:val="240AD2DC"/>
    <w:multiLevelType w:val="singleLevel"/>
    <w:tmpl w:val="240AD2DC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4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0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abstractNum w:abstractNumId="15">
    <w:nsid w:val="54C75CBA"/>
    <w:multiLevelType w:val="singleLevel"/>
    <w:tmpl w:val="54C75CBA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6">
    <w:nsid w:val="674CF22B"/>
    <w:multiLevelType w:val="singleLevel"/>
    <w:tmpl w:val="674CF22B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  <w:b w:val="0"/>
        <w:bCs w:val="0"/>
      </w:rPr>
    </w:lvl>
  </w:abstractNum>
  <w:abstractNum w:abstractNumId="17">
    <w:nsid w:val="7D02338F"/>
    <w:multiLevelType w:val="singleLevel"/>
    <w:tmpl w:val="7D02338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17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0"/>
  </w:num>
  <w:num w:numId="10">
    <w:abstractNumId w:val="12"/>
  </w:num>
  <w:num w:numId="11">
    <w:abstractNumId w:val="2"/>
  </w:num>
  <w:num w:numId="12">
    <w:abstractNumId w:val="1"/>
  </w:num>
  <w:num w:numId="13">
    <w:abstractNumId w:val="3"/>
  </w:num>
  <w:num w:numId="14">
    <w:abstractNumId w:val="6"/>
  </w:num>
  <w:num w:numId="15">
    <w:abstractNumId w:val="11"/>
  </w:num>
  <w:num w:numId="16">
    <w:abstractNumId w:val="13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1NjU0NDAwMGNhOWMzNmQyN2I3OGMzMWFlYzQ5ODgifQ=="/>
  </w:docVars>
  <w:rsids>
    <w:rsidRoot w:val="79DE5F9A"/>
    <w:rsid w:val="077406B9"/>
    <w:rsid w:val="223A11F3"/>
    <w:rsid w:val="24C30177"/>
    <w:rsid w:val="2D0B24A8"/>
    <w:rsid w:val="37287A16"/>
    <w:rsid w:val="38AC010D"/>
    <w:rsid w:val="45F20390"/>
    <w:rsid w:val="49B92C8B"/>
    <w:rsid w:val="4AA30562"/>
    <w:rsid w:val="4EB90155"/>
    <w:rsid w:val="697D506C"/>
    <w:rsid w:val="79DE5F9A"/>
    <w:rsid w:val="7A7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宋体" w:hAnsi="宋体" w:eastAsia="宋体" w:cs="Times New Roman"/>
      <w:b/>
      <w:color w:val="000000"/>
      <w:kern w:val="44"/>
      <w:sz w:val="32"/>
      <w:u w:color="000000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宋体" w:cs="Times New Roman"/>
      <w:b/>
      <w:color w:val="000000"/>
      <w:sz w:val="28"/>
      <w:u w:color="00000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kern w:val="0"/>
      <w:sz w:val="20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标题 5（有编号）（绿盟科技）"/>
    <w:basedOn w:val="1"/>
    <w:next w:val="11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 w:cs="黑体"/>
      <w:b/>
      <w:kern w:val="0"/>
      <w:sz w:val="24"/>
      <w:szCs w:val="28"/>
    </w:rPr>
  </w:style>
  <w:style w:type="paragraph" w:customStyle="1" w:styleId="11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2740</Words>
  <Characters>2772</Characters>
  <Lines>0</Lines>
  <Paragraphs>0</Paragraphs>
  <TotalTime>1</TotalTime>
  <ScaleCrop>false</ScaleCrop>
  <LinksUpToDate>false</LinksUpToDate>
  <CharactersWithSpaces>2874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2024-05-21T06:10:00Z</dcterms:created>
  <dc:creator>三言两语</dc:creator>
  <cp:lastModifiedBy>三言两语</cp:lastModifiedBy>
  <dcterms:modified xsi:type="dcterms:W3CDTF">2024-05-22T06:30:31Z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590242A12F0A45628F1764BA05282A1F_13</vt:lpwstr>
  </property>
</Properties>
</file>