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120" w:line="240" w:lineRule="auto"/>
        <w:ind w:firstLine="28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理化所阴阳离子双系统离子色谱仪</w:t>
      </w:r>
    </w:p>
    <w:p>
      <w:pPr>
        <w:pStyle w:val="14"/>
        <w:spacing w:after="120" w:line="240" w:lineRule="auto"/>
        <w:ind w:firstLine="28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w:t>
      </w:r>
      <w:r>
        <w:rPr>
          <w:rFonts w:hint="eastAsia" w:asciiTheme="minorEastAsia" w:hAnsiTheme="minorEastAsia" w:eastAsiaTheme="minorEastAsia" w:cstheme="minorEastAsia"/>
          <w:b/>
          <w:bCs/>
          <w:sz w:val="32"/>
          <w:szCs w:val="32"/>
          <w:lang w:val="en-US" w:eastAsia="zh-CN"/>
        </w:rPr>
        <w:t>采</w:t>
      </w:r>
      <w:r>
        <w:rPr>
          <w:rFonts w:hint="eastAsia" w:asciiTheme="minorEastAsia" w:hAnsiTheme="minorEastAsia" w:eastAsiaTheme="minorEastAsia" w:cstheme="minorEastAsia"/>
          <w:b/>
          <w:bCs/>
          <w:sz w:val="32"/>
          <w:szCs w:val="32"/>
        </w:rPr>
        <w:t>购需求书</w:t>
      </w:r>
    </w:p>
    <w:tbl>
      <w:tblPr>
        <w:tblStyle w:val="1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序号</w:t>
            </w:r>
          </w:p>
        </w:tc>
        <w:tc>
          <w:tcPr>
            <w:tcW w:w="1559" w:type="dxa"/>
            <w:vAlign w:val="center"/>
          </w:tcPr>
          <w:p>
            <w:pPr>
              <w:pStyle w:val="15"/>
              <w:keepNext w:val="0"/>
              <w:keepLines w:val="0"/>
              <w:suppressLineNumbers w:val="0"/>
              <w:spacing w:before="0" w:beforeAutospacing="0" w:after="0" w:afterAutospacing="0" w:line="360" w:lineRule="auto"/>
              <w:ind w:left="0" w:right="0" w:firstLine="28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关键事项</w:t>
            </w:r>
          </w:p>
        </w:tc>
        <w:tc>
          <w:tcPr>
            <w:tcW w:w="6429" w:type="dxa"/>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28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1</w:t>
            </w:r>
          </w:p>
        </w:tc>
        <w:tc>
          <w:tcPr>
            <w:tcW w:w="1559" w:type="dxa"/>
            <w:vAlign w:val="center"/>
          </w:tcPr>
          <w:p>
            <w:pPr>
              <w:pStyle w:val="15"/>
              <w:keepNext w:val="0"/>
              <w:keepLines w:val="0"/>
              <w:suppressLineNumbers w:val="0"/>
              <w:spacing w:before="0" w:beforeAutospacing="0" w:after="0" w:afterAutospacing="0" w:line="360" w:lineRule="auto"/>
              <w:ind w:left="0" w:right="0" w:firstLine="28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釆购预算</w:t>
            </w:r>
          </w:p>
        </w:tc>
        <w:tc>
          <w:tcPr>
            <w:tcW w:w="6429" w:type="dxa"/>
            <w:vAlign w:val="center"/>
          </w:tcPr>
          <w:p>
            <w:pPr>
              <w:pStyle w:val="15"/>
              <w:keepNext w:val="0"/>
              <w:keepLines w:val="0"/>
              <w:suppressLineNumbers w:val="0"/>
              <w:tabs>
                <w:tab w:val="left" w:leader="underscore" w:pos="2026"/>
              </w:tabs>
              <w:spacing w:before="0" w:beforeAutospacing="0" w:after="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rPr>
              <w:t>人民币</w:t>
            </w:r>
            <w:r>
              <w:rPr>
                <w:rFonts w:hint="eastAsia" w:asciiTheme="minorEastAsia" w:hAnsiTheme="minorEastAsia" w:eastAsiaTheme="minorEastAsia" w:cstheme="minorEastAsia"/>
                <w:kern w:val="2"/>
                <w:sz w:val="21"/>
                <w:szCs w:val="22"/>
                <w:u w:val="single"/>
                <w:lang w:val="en-US" w:eastAsia="zh-CN"/>
              </w:rPr>
              <w:t>90</w:t>
            </w:r>
            <w:r>
              <w:rPr>
                <w:rFonts w:hint="eastAsia" w:asciiTheme="minorEastAsia" w:hAnsiTheme="minorEastAsia" w:eastAsiaTheme="minorEastAsia" w:cstheme="minorEastAsia"/>
                <w:kern w:val="2"/>
                <w:sz w:val="21"/>
                <w:szCs w:val="22"/>
                <w:u w:val="single"/>
              </w:rPr>
              <w:t>0000.00元</w:t>
            </w:r>
          </w:p>
          <w:p>
            <w:pPr>
              <w:pStyle w:val="15"/>
              <w:keepNext w:val="0"/>
              <w:keepLines w:val="0"/>
              <w:suppressLineNumbers w:val="0"/>
              <w:spacing w:before="0" w:beforeAutospacing="0" w:after="0" w:afterAutospacing="0" w:line="360" w:lineRule="auto"/>
              <w:ind w:left="0" w:right="0" w:firstLine="0"/>
              <w:jc w:val="both"/>
              <w:rPr>
                <w:rFonts w:hint="eastAsia" w:asciiTheme="minorEastAsia" w:hAnsiTheme="minorEastAsia" w:eastAsiaTheme="minorEastAsia"/>
                <w:kern w:val="2"/>
                <w:sz w:val="21"/>
                <w:szCs w:val="22"/>
                <w:lang w:eastAsia="zh-CN"/>
              </w:rPr>
            </w:pPr>
            <w:r>
              <w:rPr>
                <w:rFonts w:hint="eastAsia" w:asciiTheme="minorEastAsia" w:hAnsiTheme="minorEastAsia" w:eastAsiaTheme="minorEastAsia" w:cstheme="minorEastAsia"/>
                <w:kern w:val="2"/>
                <w:sz w:val="21"/>
                <w:szCs w:val="22"/>
              </w:rPr>
              <w:t>仅指与</w:t>
            </w:r>
            <w:r>
              <w:rPr>
                <w:rFonts w:hint="eastAsia" w:asciiTheme="minorEastAsia" w:hAnsiTheme="minorEastAsia" w:eastAsiaTheme="minorEastAsia" w:cstheme="minorEastAsia"/>
                <w:kern w:val="2"/>
                <w:sz w:val="21"/>
                <w:szCs w:val="22"/>
                <w:highlight w:val="none"/>
              </w:rPr>
              <w:t>本次采购标的直接相关的费用</w:t>
            </w:r>
            <w:r>
              <w:rPr>
                <w:rFonts w:hint="eastAsia" w:asciiTheme="minorEastAsia" w:hAnsiTheme="minorEastAsia" w:eastAsiaTheme="minorEastAsia" w:cstheme="minorEastAsia"/>
                <w:kern w:val="2"/>
                <w:sz w:val="21"/>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28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2</w:t>
            </w:r>
          </w:p>
        </w:tc>
        <w:tc>
          <w:tcPr>
            <w:tcW w:w="1559" w:type="dxa"/>
            <w:vAlign w:val="center"/>
          </w:tcPr>
          <w:p>
            <w:pPr>
              <w:pStyle w:val="15"/>
              <w:keepNext w:val="0"/>
              <w:keepLines w:val="0"/>
              <w:suppressLineNumbers w:val="0"/>
              <w:spacing w:before="0" w:beforeAutospacing="0" w:after="0" w:afterAutospacing="0" w:line="360" w:lineRule="auto"/>
              <w:ind w:left="0" w:right="0" w:firstLine="28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最高限价</w:t>
            </w:r>
          </w:p>
        </w:tc>
        <w:tc>
          <w:tcPr>
            <w:tcW w:w="6429" w:type="dxa"/>
            <w:vAlign w:val="bottom"/>
          </w:tcPr>
          <w:p>
            <w:pPr>
              <w:pStyle w:val="15"/>
              <w:keepNext w:val="0"/>
              <w:keepLines w:val="0"/>
              <w:suppressLineNumbers w:val="0"/>
              <w:tabs>
                <w:tab w:val="left" w:leader="underscore" w:pos="2035"/>
              </w:tabs>
              <w:spacing w:before="0" w:beforeAutospacing="0" w:after="12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rPr>
              <w:t>人民币</w:t>
            </w:r>
            <w:r>
              <w:rPr>
                <w:rFonts w:hint="eastAsia" w:asciiTheme="minorEastAsia" w:hAnsiTheme="minorEastAsia" w:eastAsiaTheme="minorEastAsia" w:cstheme="minorEastAsia"/>
                <w:kern w:val="2"/>
                <w:sz w:val="21"/>
                <w:szCs w:val="22"/>
                <w:u w:val="single"/>
                <w:lang w:val="en-US" w:eastAsia="zh-CN"/>
              </w:rPr>
              <w:t>90</w:t>
            </w:r>
            <w:r>
              <w:rPr>
                <w:rFonts w:hint="eastAsia" w:asciiTheme="minorEastAsia" w:hAnsiTheme="minorEastAsia" w:eastAsiaTheme="minorEastAsia" w:cstheme="minorEastAsia"/>
                <w:kern w:val="2"/>
                <w:sz w:val="21"/>
                <w:szCs w:val="22"/>
                <w:u w:val="single"/>
              </w:rPr>
              <w:t>0000.00</w:t>
            </w:r>
            <w:r>
              <w:rPr>
                <w:rFonts w:hint="eastAsia" w:asciiTheme="minorEastAsia" w:hAnsiTheme="minorEastAsia" w:eastAsiaTheme="minorEastAsia" w:cstheme="minorEastAsia"/>
                <w:kern w:val="2"/>
                <w:sz w:val="21"/>
                <w:szCs w:val="22"/>
              </w:rPr>
              <w:t>元</w:t>
            </w:r>
          </w:p>
          <w:p>
            <w:pPr>
              <w:pStyle w:val="15"/>
              <w:keepNext w:val="0"/>
              <w:keepLines w:val="0"/>
              <w:suppressLineNumbers w:val="0"/>
              <w:spacing w:before="0" w:beforeAutospacing="0" w:after="0" w:afterAutospacing="0" w:line="360" w:lineRule="auto"/>
              <w:ind w:left="0" w:right="0" w:firstLine="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28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3</w:t>
            </w:r>
          </w:p>
        </w:tc>
        <w:tc>
          <w:tcPr>
            <w:tcW w:w="1559" w:type="dxa"/>
            <w:vAlign w:val="center"/>
          </w:tcPr>
          <w:p>
            <w:pPr>
              <w:pStyle w:val="15"/>
              <w:keepNext w:val="0"/>
              <w:keepLines w:val="0"/>
              <w:suppressLineNumbers w:val="0"/>
              <w:spacing w:before="0" w:beforeAutospacing="0" w:after="0" w:afterAutospacing="0" w:line="360" w:lineRule="auto"/>
              <w:ind w:left="0" w:right="0" w:firstLine="280"/>
              <w:jc w:val="both"/>
              <w:rPr>
                <w:rFonts w:asciiTheme="minorEastAsia" w:hAnsiTheme="minorEastAsia" w:eastAsiaTheme="minorEastAsia"/>
                <w:kern w:val="2"/>
                <w:sz w:val="21"/>
                <w:szCs w:val="22"/>
                <w:highlight w:val="none"/>
              </w:rPr>
            </w:pPr>
            <w:r>
              <w:rPr>
                <w:rFonts w:hint="eastAsia" w:asciiTheme="minorEastAsia" w:hAnsiTheme="minorEastAsia" w:eastAsiaTheme="minorEastAsia" w:cstheme="minorEastAsia"/>
                <w:kern w:val="2"/>
                <w:sz w:val="21"/>
                <w:szCs w:val="22"/>
                <w:highlight w:val="none"/>
              </w:rPr>
              <w:t>项目性质</w:t>
            </w:r>
          </w:p>
        </w:tc>
        <w:tc>
          <w:tcPr>
            <w:tcW w:w="6429" w:type="dxa"/>
          </w:tcPr>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stheme="minorEastAsia"/>
                <w:kern w:val="2"/>
                <w:sz w:val="21"/>
                <w:szCs w:val="22"/>
                <w:highlight w:val="none"/>
              </w:rPr>
            </w:pPr>
            <w:r>
              <w:rPr>
                <w:rFonts w:hint="eastAsia" w:asciiTheme="minorEastAsia" w:hAnsiTheme="minorEastAsia" w:eastAsiaTheme="minorEastAsia" w:cstheme="minorEastAsia"/>
                <w:kern w:val="2"/>
                <w:sz w:val="21"/>
                <w:szCs w:val="22"/>
                <w:highlight w:val="none"/>
                <w:lang w:val="en-US" w:eastAsia="zh-CN" w:bidi="en-US"/>
              </w:rPr>
              <w:t>○</w:t>
            </w:r>
            <w:r>
              <w:rPr>
                <w:rFonts w:hint="eastAsia" w:asciiTheme="minorEastAsia" w:hAnsiTheme="minorEastAsia" w:eastAsiaTheme="minorEastAsia" w:cstheme="minorEastAsia"/>
                <w:kern w:val="2"/>
                <w:sz w:val="21"/>
                <w:szCs w:val="22"/>
                <w:highlight w:val="none"/>
              </w:rPr>
              <w:t>专门面向中小企业釆购</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stheme="minorEastAsia"/>
                <w:kern w:val="2"/>
                <w:sz w:val="21"/>
                <w:szCs w:val="22"/>
                <w:highlight w:val="none"/>
              </w:rPr>
            </w:pPr>
            <w:r>
              <w:rPr>
                <w:rFonts w:hint="eastAsia" w:asciiTheme="minorEastAsia" w:hAnsiTheme="minorEastAsia" w:eastAsiaTheme="minorEastAsia" w:cstheme="minorEastAsia"/>
                <w:kern w:val="2"/>
                <w:sz w:val="21"/>
                <w:szCs w:val="22"/>
                <w:highlight w:val="none"/>
              </w:rPr>
              <w:t>仅允许中小企业或小型、微型企业参与投标。</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stheme="minorEastAsia"/>
                <w:kern w:val="2"/>
                <w:sz w:val="21"/>
                <w:szCs w:val="22"/>
                <w:highlight w:val="none"/>
              </w:rPr>
            </w:pPr>
            <w:r>
              <w:rPr>
                <w:rFonts w:hint="eastAsia" w:asciiTheme="minorEastAsia" w:hAnsiTheme="minorEastAsia" w:eastAsiaTheme="minorEastAsia" w:cstheme="minorEastAsia"/>
                <w:kern w:val="2"/>
                <w:sz w:val="21"/>
                <w:szCs w:val="22"/>
                <w:highlight w:val="none"/>
              </w:rPr>
              <w:t>√非专门面向中小企业釆购</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kern w:val="2"/>
                <w:sz w:val="21"/>
                <w:szCs w:val="22"/>
                <w:highlight w:val="none"/>
              </w:rPr>
            </w:pPr>
            <w:r>
              <w:rPr>
                <w:rFonts w:hint="eastAsia" w:asciiTheme="minorEastAsia" w:hAnsiTheme="minorEastAsia" w:eastAsiaTheme="minorEastAsia" w:cstheme="minorEastAsia"/>
                <w:kern w:val="2"/>
                <w:sz w:val="21"/>
                <w:szCs w:val="22"/>
                <w:highlight w:val="none"/>
              </w:rPr>
              <w:t>对符合（财库</w:t>
            </w:r>
            <w:r>
              <w:rPr>
                <w:rFonts w:hint="eastAsia" w:asciiTheme="minorEastAsia" w:hAnsiTheme="minorEastAsia" w:eastAsiaTheme="minorEastAsia" w:cstheme="minorEastAsia"/>
                <w:kern w:val="2"/>
                <w:sz w:val="21"/>
                <w:szCs w:val="22"/>
                <w:highlight w:val="none"/>
                <w:lang w:val="en-US" w:eastAsia="en-US" w:bidi="en-US"/>
              </w:rPr>
              <w:t xml:space="preserve">[2020] </w:t>
            </w:r>
            <w:r>
              <w:rPr>
                <w:rFonts w:hint="eastAsia" w:asciiTheme="minorEastAsia" w:hAnsiTheme="minorEastAsia" w:eastAsiaTheme="minorEastAsia" w:cstheme="minorEastAsia"/>
                <w:kern w:val="2"/>
                <w:sz w:val="21"/>
                <w:szCs w:val="22"/>
                <w:highlight w:val="none"/>
              </w:rPr>
              <w:t>46号）规定的小微企业（监狱企业视同小型、微型企业） 的报价给予%的扣除，用扣除后的价格参加评审。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28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4</w:t>
            </w:r>
          </w:p>
        </w:tc>
        <w:tc>
          <w:tcPr>
            <w:tcW w:w="1559" w:type="dxa"/>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对供应商的资 格要求</w:t>
            </w:r>
          </w:p>
        </w:tc>
        <w:tc>
          <w:tcPr>
            <w:tcW w:w="6429" w:type="dxa"/>
            <w:vAlign w:val="bottom"/>
          </w:tcPr>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1、满足《中华人民共和国政府采购法》第二十二条规定；</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2、落实政府采购政策需满足的资格要求：</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（1）《政府采购促进中小企业发展管理办法》（财库〔2020〕46号）；</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（2）《财政部司法部关于政府采购支持监狱企业发展有关问题的通知》（财库〔2014〕68号）；    </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（3）《财政部 发展改革委 生态环境部 市场监管总局关于调整优化节能产品、环境标志产品政府采购执行机制的通知》（财库〔2019〕9号）；</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（4）《财政部、民政部、中国残疾人联合会关于促进残疾人就业政府采购政策的通知》（财库〔2017〕141号）；</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（5）《关于运用政府采购政策支持乡村产业振兴的通知》（财库〔2021〕19 号）</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（6）陕西省财政厅关于印发《陕西省中小企业政府采购信用融资办法》（陕财办采〔2018〕23号）；</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（7）陕西省财政厅《关于进一步加强政府绿色采购有关问题的通知》（陕财办采〔2021〕29号）；</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（8）《财政部 国家发展改革委关于印发&lt;节能产品政府采购实施意见&gt;的通知》(财库〔2004〕185号) ；</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（9）《国务院办公厅关于建立政府强制采购节能产品制度的通知》(国办发〔2007〕51号) ；</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（10）《财政部环保总局关于环境标志产品政府采购实施的章见》(财库〔2006〕90号) ；</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（11）《关于进一步加大政府采购支持中小企业力度的通知》（财库〔2022〕19号）；</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（12）《陕西省财政厅关于加快推进我省中小企业政府采购信用融资工作的通知》（陕财办采〔2020〕15号）</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（13） 《财政部关于在政府采购活动中查询及使用信用记录有关问题的通知》（财库〔2016〕125号）</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（14）其他落实的政府采购政策。若享受以上政策优惠的企业，需提供相应声明函或品目清单范围内产品的有效认证证书。</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3、本项目的特定资格要求：</w:t>
            </w:r>
          </w:p>
          <w:p>
            <w:pPr>
              <w:pStyle w:val="15"/>
              <w:keepNext w:val="0"/>
              <w:keepLines w:val="0"/>
              <w:suppressLineNumbers w:val="0"/>
              <w:spacing w:before="0" w:beforeAutospacing="0" w:after="60" w:afterAutospacing="0" w:line="360" w:lineRule="auto"/>
              <w:ind w:left="0" w:right="0" w:firstLine="0"/>
              <w:jc w:val="both"/>
              <w:rPr>
                <w:rFonts w:hint="eastAsia" w:asciiTheme="minorEastAsia" w:hAnsiTheme="minorEastAsia" w:eastAsiaTheme="minorEastAsia" w:cstheme="minorEastAsia"/>
                <w:kern w:val="2"/>
                <w:sz w:val="21"/>
                <w:szCs w:val="22"/>
                <w:lang w:val="zh-TW" w:eastAsia="zh-CN"/>
              </w:rPr>
            </w:pPr>
            <w:r>
              <w:rPr>
                <w:rFonts w:hint="eastAsia" w:asciiTheme="minorEastAsia" w:hAnsiTheme="minorEastAsia" w:eastAsiaTheme="minorEastAsia" w:cstheme="minorEastAsia"/>
                <w:kern w:val="2"/>
                <w:sz w:val="21"/>
                <w:szCs w:val="22"/>
                <w:lang w:val="zh-TW" w:eastAsia="zh-CN"/>
              </w:rPr>
              <w:t>合同包1(理化所阴阳离子双系统离子色谱仪)特定资格要求如下:</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olor w:val="333333"/>
                <w:kern w:val="2"/>
                <w:sz w:val="21"/>
                <w:szCs w:val="28"/>
                <w:lang w:eastAsia="zh-CN"/>
              </w:rPr>
            </w:pPr>
            <w:r>
              <w:rPr>
                <w:rFonts w:asciiTheme="minorEastAsia" w:hAnsiTheme="minorEastAsia" w:eastAsiaTheme="minorEastAsia"/>
                <w:color w:val="333333"/>
                <w:kern w:val="2"/>
                <w:sz w:val="21"/>
                <w:szCs w:val="28"/>
                <w:lang w:eastAsia="zh-CN"/>
              </w:rPr>
              <w:t>(1)供应商为具有独立承担民事责任能力的法人或其他组织或自然人，并提供法人或者其他组织合法有效的营业执照等证明文件，事业单位应提供事业单位法人证书，自然人应提供身份证明文件；</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olor w:val="333333"/>
                <w:kern w:val="2"/>
                <w:sz w:val="21"/>
                <w:szCs w:val="28"/>
                <w:lang w:eastAsia="zh-CN"/>
              </w:rPr>
            </w:pPr>
            <w:r>
              <w:rPr>
                <w:rFonts w:hint="eastAsia" w:asciiTheme="minorEastAsia" w:hAnsiTheme="minorEastAsia" w:eastAsiaTheme="minorEastAsia"/>
                <w:color w:val="333333"/>
                <w:kern w:val="2"/>
                <w:sz w:val="21"/>
                <w:szCs w:val="28"/>
                <w:lang w:eastAsia="zh-CN"/>
              </w:rPr>
              <w:t>(2)供应商应授权合法的人员参加投标全过程，其中法定代表人直接参加投标的，须出具法人身份证复印件，并与营业执照上信息一致。法定代表人授权他人参加投标的，须出具法定代表人授权书及被授权人身份证复印件；</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olor w:val="333333"/>
                <w:kern w:val="2"/>
                <w:sz w:val="21"/>
                <w:szCs w:val="28"/>
                <w:lang w:eastAsia="zh-CN"/>
              </w:rPr>
            </w:pPr>
            <w:r>
              <w:rPr>
                <w:rFonts w:hint="eastAsia" w:asciiTheme="minorEastAsia" w:hAnsiTheme="minorEastAsia" w:eastAsiaTheme="minorEastAsia"/>
                <w:color w:val="333333"/>
                <w:kern w:val="2"/>
                <w:sz w:val="21"/>
                <w:szCs w:val="28"/>
                <w:lang w:eastAsia="zh-CN"/>
              </w:rPr>
              <w:t>(3)供应商应提供财务状况报告（以下两种方式任选其一）1．2022年度或2023年度经审计的财务会计报告（至少包括审计报告、资产负债表、利润表、现金流量表、所有者权益变动表及其附注，成立时间至提交投标文件截止时间不足一年的可提供成立后任意时段的资产负债表）； 2．提交投标文件截止时间前三个月内其基本账户开户银行出具的资信证明（附基本存款账户信息）。</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olor w:val="333333"/>
                <w:kern w:val="2"/>
                <w:sz w:val="21"/>
                <w:szCs w:val="28"/>
                <w:lang w:eastAsia="zh-CN"/>
              </w:rPr>
            </w:pPr>
            <w:r>
              <w:rPr>
                <w:rFonts w:hint="eastAsia" w:asciiTheme="minorEastAsia" w:hAnsiTheme="minorEastAsia" w:eastAsiaTheme="minorEastAsia"/>
                <w:color w:val="333333"/>
                <w:kern w:val="2"/>
                <w:sz w:val="21"/>
                <w:szCs w:val="28"/>
                <w:lang w:eastAsia="zh-CN"/>
              </w:rPr>
              <w:t>(</w:t>
            </w:r>
            <w:r>
              <w:rPr>
                <w:rFonts w:hint="eastAsia" w:asciiTheme="minorEastAsia" w:hAnsiTheme="minorEastAsia" w:eastAsiaTheme="minorEastAsia"/>
                <w:color w:val="333333"/>
                <w:kern w:val="2"/>
                <w:sz w:val="21"/>
                <w:szCs w:val="28"/>
                <w:lang w:val="en-US" w:eastAsia="zh-CN"/>
              </w:rPr>
              <w:t>4</w:t>
            </w:r>
            <w:r>
              <w:rPr>
                <w:rFonts w:hint="eastAsia" w:asciiTheme="minorEastAsia" w:hAnsiTheme="minorEastAsia" w:eastAsiaTheme="minorEastAsia"/>
                <w:color w:val="333333"/>
                <w:kern w:val="2"/>
                <w:sz w:val="21"/>
                <w:szCs w:val="28"/>
                <w:lang w:eastAsia="zh-CN"/>
              </w:rPr>
              <w:t>)提供2023年7月至今任意一个月已缴纳完税凭证或税务机关开具的完税证明（任意税种）；依法免税的应提供相关文件证明；</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olor w:val="333333"/>
                <w:kern w:val="2"/>
                <w:sz w:val="21"/>
                <w:szCs w:val="28"/>
                <w:lang w:eastAsia="zh-CN"/>
              </w:rPr>
            </w:pPr>
            <w:r>
              <w:rPr>
                <w:rFonts w:hint="eastAsia" w:asciiTheme="minorEastAsia" w:hAnsiTheme="minorEastAsia" w:eastAsiaTheme="minorEastAsia"/>
                <w:color w:val="333333"/>
                <w:kern w:val="2"/>
                <w:sz w:val="21"/>
                <w:szCs w:val="28"/>
                <w:lang w:eastAsia="zh-CN"/>
              </w:rPr>
              <w:t>(</w:t>
            </w:r>
            <w:r>
              <w:rPr>
                <w:rFonts w:hint="eastAsia" w:asciiTheme="minorEastAsia" w:hAnsiTheme="minorEastAsia" w:eastAsiaTheme="minorEastAsia"/>
                <w:color w:val="333333"/>
                <w:kern w:val="2"/>
                <w:sz w:val="21"/>
                <w:szCs w:val="28"/>
                <w:lang w:val="en-US" w:eastAsia="zh-CN"/>
              </w:rPr>
              <w:t>5</w:t>
            </w:r>
            <w:r>
              <w:rPr>
                <w:rFonts w:hint="eastAsia" w:asciiTheme="minorEastAsia" w:hAnsiTheme="minorEastAsia" w:eastAsiaTheme="minorEastAsia"/>
                <w:color w:val="333333"/>
                <w:kern w:val="2"/>
                <w:sz w:val="21"/>
                <w:szCs w:val="28"/>
                <w:lang w:eastAsia="zh-CN"/>
              </w:rPr>
              <w:t>)提供2023年7月至今任意一个月已缴纳的社会保障资金缴存单据或社保机构开具的社会保险参保缴费情况证明；依法不需要缴纳社会保障资金的应提供相关文件证明；</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olor w:val="333333"/>
                <w:kern w:val="2"/>
                <w:sz w:val="21"/>
                <w:szCs w:val="28"/>
                <w:lang w:eastAsia="zh-CN"/>
              </w:rPr>
            </w:pPr>
            <w:r>
              <w:rPr>
                <w:rFonts w:hint="eastAsia" w:asciiTheme="minorEastAsia" w:hAnsiTheme="minorEastAsia" w:eastAsiaTheme="minorEastAsia"/>
                <w:color w:val="333333"/>
                <w:kern w:val="2"/>
                <w:sz w:val="21"/>
                <w:szCs w:val="28"/>
                <w:lang w:eastAsia="zh-CN"/>
              </w:rPr>
              <w:t>(</w:t>
            </w:r>
            <w:r>
              <w:rPr>
                <w:rFonts w:hint="eastAsia" w:asciiTheme="minorEastAsia" w:hAnsiTheme="minorEastAsia" w:eastAsiaTheme="minorEastAsia"/>
                <w:color w:val="333333"/>
                <w:kern w:val="2"/>
                <w:sz w:val="21"/>
                <w:szCs w:val="28"/>
                <w:lang w:val="en-US" w:eastAsia="zh-CN"/>
              </w:rPr>
              <w:t>6</w:t>
            </w:r>
            <w:r>
              <w:rPr>
                <w:rFonts w:hint="eastAsia" w:asciiTheme="minorEastAsia" w:hAnsiTheme="minorEastAsia" w:eastAsiaTheme="minorEastAsia"/>
                <w:color w:val="333333"/>
                <w:kern w:val="2"/>
                <w:sz w:val="21"/>
                <w:szCs w:val="28"/>
                <w:lang w:eastAsia="zh-CN"/>
              </w:rPr>
              <w:t>)具备履行合同所必需的设备和专业技术能力(由供应商根据项目需求提供说明材料或者承诺)；</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olor w:val="333333"/>
                <w:kern w:val="2"/>
                <w:sz w:val="21"/>
                <w:szCs w:val="28"/>
                <w:lang w:eastAsia="zh-CN"/>
              </w:rPr>
            </w:pPr>
            <w:r>
              <w:rPr>
                <w:rFonts w:hint="eastAsia" w:asciiTheme="minorEastAsia" w:hAnsiTheme="minorEastAsia" w:eastAsiaTheme="minorEastAsia"/>
                <w:color w:val="333333"/>
                <w:kern w:val="2"/>
                <w:sz w:val="21"/>
                <w:szCs w:val="28"/>
                <w:lang w:eastAsia="zh-CN"/>
              </w:rPr>
              <w:t>(</w:t>
            </w:r>
            <w:r>
              <w:rPr>
                <w:rFonts w:hint="eastAsia" w:asciiTheme="minorEastAsia" w:hAnsiTheme="minorEastAsia" w:eastAsiaTheme="minorEastAsia"/>
                <w:color w:val="333333"/>
                <w:kern w:val="2"/>
                <w:sz w:val="21"/>
                <w:szCs w:val="28"/>
                <w:lang w:val="en-US" w:eastAsia="zh-CN"/>
              </w:rPr>
              <w:t>7</w:t>
            </w:r>
            <w:r>
              <w:rPr>
                <w:rFonts w:hint="eastAsia" w:asciiTheme="minorEastAsia" w:hAnsiTheme="minorEastAsia" w:eastAsiaTheme="minorEastAsia"/>
                <w:color w:val="333333"/>
                <w:kern w:val="2"/>
                <w:sz w:val="21"/>
                <w:szCs w:val="28"/>
                <w:lang w:eastAsia="zh-CN"/>
              </w:rPr>
              <w:t>)参加政府采购活动前3年内，在经营活动中没有重大违法记录的书面声明</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olor w:val="333333"/>
                <w:kern w:val="2"/>
                <w:sz w:val="21"/>
                <w:szCs w:val="28"/>
                <w:lang w:eastAsia="zh-CN"/>
              </w:rPr>
            </w:pPr>
            <w:r>
              <w:rPr>
                <w:rFonts w:hint="eastAsia" w:asciiTheme="minorEastAsia" w:hAnsiTheme="minorEastAsia" w:eastAsiaTheme="minorEastAsia"/>
                <w:color w:val="333333"/>
                <w:kern w:val="2"/>
                <w:sz w:val="21"/>
                <w:szCs w:val="28"/>
                <w:lang w:eastAsia="zh-CN"/>
              </w:rPr>
              <w:t>(</w:t>
            </w:r>
            <w:r>
              <w:rPr>
                <w:rFonts w:hint="eastAsia" w:asciiTheme="minorEastAsia" w:hAnsiTheme="minorEastAsia" w:eastAsiaTheme="minorEastAsia"/>
                <w:color w:val="333333"/>
                <w:kern w:val="2"/>
                <w:sz w:val="21"/>
                <w:szCs w:val="28"/>
                <w:lang w:val="en-US" w:eastAsia="zh-CN"/>
              </w:rPr>
              <w:t>8</w:t>
            </w:r>
            <w:r>
              <w:rPr>
                <w:rFonts w:hint="eastAsia" w:asciiTheme="minorEastAsia" w:hAnsiTheme="minorEastAsia" w:eastAsiaTheme="minorEastAsia"/>
                <w:color w:val="333333"/>
                <w:kern w:val="2"/>
                <w:sz w:val="21"/>
                <w:szCs w:val="28"/>
                <w:lang w:eastAsia="zh-CN"/>
              </w:rPr>
              <w:t>)采购人或代理机构根据《关于在政府采购活动中查询及使用信用记录有关问题的通知》（财库〔2016〕125号）的要求，通过“信用中国”网站（www.creditchina.gov.cn）、“中国政府采购网”网站（www.ccgp.gov.cn）等渠道，查询供应商在投标文件提交截止时间前的信用记录并保存信用记录结果网页截图，拒绝列入失信被执行人名单、重大税收违法案件当事人名单、政府采购严重违法失信行为记录名单中的供应商参加本项目的采购活动。</w:t>
            </w:r>
          </w:p>
          <w:p>
            <w:pPr>
              <w:pStyle w:val="15"/>
              <w:keepNext w:val="0"/>
              <w:keepLines w:val="0"/>
              <w:suppressLineNumbers w:val="0"/>
              <w:spacing w:before="0" w:beforeAutospacing="0" w:after="60" w:afterAutospacing="0" w:line="360" w:lineRule="auto"/>
              <w:ind w:left="0" w:right="0" w:firstLine="0"/>
              <w:jc w:val="both"/>
              <w:rPr>
                <w:rFonts w:asciiTheme="minorEastAsia" w:hAnsiTheme="minorEastAsia" w:eastAsiaTheme="minorEastAsia"/>
                <w:color w:val="333333"/>
                <w:kern w:val="2"/>
                <w:sz w:val="21"/>
                <w:szCs w:val="28"/>
                <w:lang w:eastAsia="zh-CN"/>
              </w:rPr>
            </w:pPr>
            <w:r>
              <w:rPr>
                <w:rFonts w:hint="eastAsia" w:asciiTheme="minorEastAsia" w:hAnsiTheme="minorEastAsia" w:eastAsiaTheme="minorEastAsia"/>
                <w:color w:val="333333"/>
                <w:kern w:val="2"/>
                <w:sz w:val="21"/>
                <w:szCs w:val="28"/>
                <w:lang w:eastAsia="zh-CN"/>
              </w:rPr>
              <w:t>(</w:t>
            </w:r>
            <w:r>
              <w:rPr>
                <w:rFonts w:hint="eastAsia" w:asciiTheme="minorEastAsia" w:hAnsiTheme="minorEastAsia" w:eastAsiaTheme="minorEastAsia"/>
                <w:color w:val="333333"/>
                <w:kern w:val="2"/>
                <w:sz w:val="21"/>
                <w:szCs w:val="28"/>
                <w:lang w:val="en-US" w:eastAsia="zh-CN"/>
              </w:rPr>
              <w:t>9</w:t>
            </w:r>
            <w:r>
              <w:rPr>
                <w:rFonts w:hint="eastAsia" w:asciiTheme="minorEastAsia" w:hAnsiTheme="minorEastAsia" w:eastAsiaTheme="minorEastAsia"/>
                <w:color w:val="333333"/>
                <w:kern w:val="2"/>
                <w:sz w:val="21"/>
                <w:szCs w:val="28"/>
                <w:lang w:eastAsia="zh-CN"/>
              </w:rPr>
              <w:t>)本项目不接受联合体投标：供应商应提供《非联合体投标声明》，视为独立投标。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pStyle w:val="15"/>
              <w:keepNext w:val="0"/>
              <w:keepLines w:val="0"/>
              <w:suppressLineNumbers w:val="0"/>
              <w:spacing w:before="0" w:beforeAutospacing="0" w:after="0" w:afterAutospacing="0" w:line="360" w:lineRule="auto"/>
              <w:ind w:left="0" w:right="0" w:firstLine="28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5</w:t>
            </w:r>
          </w:p>
        </w:tc>
        <w:tc>
          <w:tcPr>
            <w:tcW w:w="1559" w:type="dxa"/>
            <w:vMerge w:val="restart"/>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是否允许进口 产品</w:t>
            </w:r>
          </w:p>
        </w:tc>
        <w:tc>
          <w:tcPr>
            <w:tcW w:w="6429" w:type="dxa"/>
          </w:tcPr>
          <w:p>
            <w:pPr>
              <w:pStyle w:val="15"/>
              <w:keepNext w:val="0"/>
              <w:keepLines w:val="0"/>
              <w:suppressLineNumbers w:val="0"/>
              <w:spacing w:before="0" w:beforeAutospacing="0" w:after="4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lang w:val="en-US" w:eastAsia="zh-CN" w:bidi="en-US"/>
              </w:rPr>
              <w:t>○</w:t>
            </w:r>
            <w:r>
              <w:rPr>
                <w:rFonts w:hint="eastAsia" w:asciiTheme="minorEastAsia" w:hAnsiTheme="minorEastAsia" w:eastAsiaTheme="minorEastAsia" w:cstheme="minorEastAsia"/>
                <w:kern w:val="2"/>
                <w:sz w:val="21"/>
                <w:szCs w:val="22"/>
              </w:rPr>
              <w:t>允许（须提供财政部门审核通过的复印件）</w:t>
            </w:r>
          </w:p>
          <w:p>
            <w:pPr>
              <w:pStyle w:val="15"/>
              <w:keepNext w:val="0"/>
              <w:keepLines w:val="0"/>
              <w:suppressLineNumbers w:val="0"/>
              <w:spacing w:before="0" w:beforeAutospacing="0" w:after="0" w:afterAutospacing="0" w:line="360" w:lineRule="auto"/>
              <w:ind w:left="0" w:right="0" w:firstLine="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根据《政府釆购进口产品管理办法》（财库</w:t>
            </w:r>
            <w:r>
              <w:rPr>
                <w:rFonts w:hint="eastAsia" w:asciiTheme="minorEastAsia" w:hAnsiTheme="minorEastAsia" w:eastAsiaTheme="minorEastAsia" w:cstheme="minorEastAsia"/>
                <w:kern w:val="2"/>
                <w:sz w:val="21"/>
                <w:szCs w:val="22"/>
                <w:lang w:val="en-US" w:eastAsia="en-US" w:bidi="en-US"/>
              </w:rPr>
              <w:t xml:space="preserve">[2007] </w:t>
            </w:r>
            <w:r>
              <w:rPr>
                <w:rFonts w:hint="eastAsia" w:asciiTheme="minorEastAsia" w:hAnsiTheme="minorEastAsia" w:eastAsiaTheme="minorEastAsia" w:cstheme="minorEastAsia"/>
                <w:kern w:val="2"/>
                <w:sz w:val="21"/>
                <w:szCs w:val="22"/>
              </w:rPr>
              <w:t>119号）的规定，釆购人釆购进口产品时，必须在釆购活动开始前向财政部门提出申请并获得财政部门审核同 意后，才能开展釆购活动。且不得因此排斥国产产品，满足需求的国产产品依然 可以参与竞争。</w:t>
            </w:r>
            <w:r>
              <w:rPr>
                <w:rFonts w:hint="eastAsia" w:asciiTheme="minorEastAsia" w:hAnsiTheme="minorEastAsia" w:eastAsiaTheme="minorEastAsia" w:cstheme="minorEastAsia"/>
                <w:kern w:val="2"/>
                <w:sz w:val="21"/>
                <w:szCs w:val="22"/>
                <w:lang w:val="zh-CN" w:eastAsia="zh-CN" w:bidi="zh-CN"/>
              </w:rPr>
              <w:t>“进口</w:t>
            </w:r>
            <w:r>
              <w:rPr>
                <w:rFonts w:hint="eastAsia" w:asciiTheme="minorEastAsia" w:hAnsiTheme="minorEastAsia" w:eastAsiaTheme="minorEastAsia" w:cstheme="minorEastAsia"/>
                <w:kern w:val="2"/>
                <w:sz w:val="21"/>
                <w:szCs w:val="22"/>
              </w:rPr>
              <w:t>产品的认定"参见《关于政府釆购进口产品管理有关问题 的通知》（财办库</w:t>
            </w:r>
            <w:r>
              <w:rPr>
                <w:rFonts w:hint="eastAsia" w:asciiTheme="minorEastAsia" w:hAnsiTheme="minorEastAsia" w:eastAsiaTheme="minorEastAsia" w:cstheme="minorEastAsia"/>
                <w:kern w:val="2"/>
                <w:sz w:val="21"/>
                <w:szCs w:val="22"/>
                <w:lang w:val="en-US" w:eastAsia="en-US" w:bidi="en-US"/>
              </w:rPr>
              <w:t xml:space="preserve">[2008] </w:t>
            </w:r>
            <w:r>
              <w:rPr>
                <w:rFonts w:hint="eastAsia" w:asciiTheme="minorEastAsia" w:hAnsiTheme="minorEastAsia" w:eastAsiaTheme="minorEastAsia" w:cstheme="minorEastAsia"/>
                <w:kern w:val="2"/>
                <w:sz w:val="21"/>
                <w:szCs w:val="22"/>
              </w:rPr>
              <w:t>248号）文件有关规定。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kern w:val="2"/>
                <w:sz w:val="21"/>
                <w:szCs w:val="22"/>
              </w:rPr>
            </w:pPr>
          </w:p>
        </w:tc>
        <w:tc>
          <w:tcPr>
            <w:tcW w:w="1559" w:type="dxa"/>
            <w:vMerge w:val="continue"/>
            <w:vAlign w:val="center"/>
          </w:tcPr>
          <w:p>
            <w:pPr>
              <w:keepNext w:val="0"/>
              <w:keepLines w:val="0"/>
              <w:suppressLineNumbers w:val="0"/>
              <w:spacing w:before="0" w:beforeAutospacing="0" w:after="0" w:afterAutospacing="0" w:line="360" w:lineRule="auto"/>
              <w:ind w:left="0" w:right="0"/>
              <w:jc w:val="both"/>
              <w:rPr>
                <w:rFonts w:asciiTheme="minorEastAsia" w:hAnsiTheme="minorEastAsia" w:eastAsiaTheme="minorEastAsia"/>
                <w:kern w:val="2"/>
                <w:sz w:val="21"/>
                <w:szCs w:val="22"/>
              </w:rPr>
            </w:pPr>
          </w:p>
        </w:tc>
        <w:tc>
          <w:tcPr>
            <w:tcW w:w="6429" w:type="dxa"/>
          </w:tcPr>
          <w:p>
            <w:pPr>
              <w:pStyle w:val="15"/>
              <w:keepNext w:val="0"/>
              <w:keepLines w:val="0"/>
              <w:suppressLineNumbers w:val="0"/>
              <w:spacing w:before="0" w:beforeAutospacing="0" w:after="12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rPr>
              <w:t>√不允许</w:t>
            </w:r>
          </w:p>
          <w:p>
            <w:pPr>
              <w:pStyle w:val="15"/>
              <w:keepNext w:val="0"/>
              <w:keepLines w:val="0"/>
              <w:suppressLineNumbers w:val="0"/>
              <w:spacing w:before="0" w:beforeAutospacing="0" w:after="0" w:afterAutospacing="0" w:line="360" w:lineRule="auto"/>
              <w:ind w:left="0" w:right="0" w:firstLine="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所投产品为进口产品时，将被视为无效投标。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pStyle w:val="15"/>
              <w:keepNext w:val="0"/>
              <w:keepLines w:val="0"/>
              <w:suppressLineNumbers w:val="0"/>
              <w:spacing w:before="0" w:beforeAutospacing="0" w:after="0" w:afterAutospacing="0" w:line="360" w:lineRule="auto"/>
              <w:ind w:left="0" w:right="0" w:firstLine="28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6</w:t>
            </w:r>
          </w:p>
        </w:tc>
        <w:tc>
          <w:tcPr>
            <w:tcW w:w="1559" w:type="dxa"/>
            <w:vMerge w:val="restart"/>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是否接受联合 体投标</w:t>
            </w:r>
          </w:p>
        </w:tc>
        <w:tc>
          <w:tcPr>
            <w:tcW w:w="6429" w:type="dxa"/>
          </w:tcPr>
          <w:p>
            <w:pPr>
              <w:pStyle w:val="15"/>
              <w:keepNext w:val="0"/>
              <w:keepLines w:val="0"/>
              <w:suppressLineNumbers w:val="0"/>
              <w:spacing w:before="0" w:beforeAutospacing="0" w:after="14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lang w:val="en-US" w:eastAsia="zh-CN" w:bidi="en-US"/>
              </w:rPr>
              <w:t>○</w:t>
            </w:r>
            <w:r>
              <w:rPr>
                <w:rFonts w:hint="eastAsia" w:asciiTheme="minorEastAsia" w:hAnsiTheme="minorEastAsia" w:eastAsiaTheme="minorEastAsia" w:cstheme="minorEastAsia"/>
                <w:kern w:val="2"/>
                <w:sz w:val="21"/>
                <w:szCs w:val="22"/>
              </w:rPr>
              <w:t>接受</w:t>
            </w:r>
          </w:p>
          <w:p>
            <w:pPr>
              <w:pStyle w:val="15"/>
              <w:keepNext w:val="0"/>
              <w:keepLines w:val="0"/>
              <w:suppressLineNumbers w:val="0"/>
              <w:spacing w:before="0" w:beforeAutospacing="0" w:after="80" w:afterAutospacing="0" w:line="360" w:lineRule="auto"/>
              <w:ind w:left="0" w:right="0" w:firstLine="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highlight w:val="none"/>
              </w:rPr>
              <w:t>对于联合体协议或者分包意向协议约定小微企业的合同份额占到合同总金额30%以上的，对联合体或者大中型企业的报价给予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kern w:val="2"/>
                <w:sz w:val="21"/>
                <w:szCs w:val="22"/>
                <w:highlight w:val="none"/>
                <w:u w:val="single"/>
                <w:lang w:val="en-US" w:eastAsia="zh-CN"/>
              </w:rPr>
              <w:t xml:space="preserve"> 2</w:t>
            </w:r>
            <w:r>
              <w:rPr>
                <w:rFonts w:hint="eastAsia" w:asciiTheme="minorEastAsia" w:hAnsiTheme="minorEastAsia" w:eastAsiaTheme="minorEastAsia" w:cstheme="minorEastAsia"/>
                <w:kern w:val="2"/>
                <w:sz w:val="21"/>
                <w:szCs w:val="22"/>
                <w:highlight w:val="none"/>
                <w:u w:val="single"/>
              </w:rPr>
              <w:tab/>
            </w:r>
            <w:r>
              <w:rPr>
                <w:rFonts w:hint="eastAsia" w:asciiTheme="minorEastAsia" w:hAnsiTheme="minorEastAsia" w:eastAsiaTheme="minorEastAsia" w:cstheme="minorEastAsia"/>
                <w:kern w:val="2"/>
                <w:sz w:val="21"/>
                <w:szCs w:val="22"/>
                <w:highlight w:val="none"/>
              </w:rPr>
              <w:t>% （2%-3%）的扣除，用扣除</w:t>
            </w:r>
            <w:r>
              <w:rPr>
                <w:rFonts w:hint="eastAsia" w:asciiTheme="minorEastAsia" w:hAnsiTheme="minorEastAsia" w:eastAsiaTheme="minorEastAsia" w:cstheme="minorEastAsia"/>
                <w:kern w:val="2"/>
                <w:sz w:val="21"/>
                <w:szCs w:val="22"/>
              </w:rPr>
              <w:t>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kern w:val="2"/>
                <w:sz w:val="21"/>
                <w:szCs w:val="22"/>
              </w:rPr>
            </w:pPr>
          </w:p>
        </w:tc>
        <w:tc>
          <w:tcPr>
            <w:tcW w:w="1559" w:type="dxa"/>
            <w:vMerge w:val="continue"/>
            <w:vAlign w:val="center"/>
          </w:tcPr>
          <w:p>
            <w:pPr>
              <w:keepNext w:val="0"/>
              <w:keepLines w:val="0"/>
              <w:suppressLineNumbers w:val="0"/>
              <w:spacing w:before="0" w:beforeAutospacing="0" w:after="0" w:afterAutospacing="0" w:line="360" w:lineRule="auto"/>
              <w:ind w:left="0" w:right="0"/>
              <w:jc w:val="both"/>
              <w:rPr>
                <w:rFonts w:asciiTheme="minorEastAsia" w:hAnsiTheme="minorEastAsia" w:eastAsiaTheme="minorEastAsia"/>
                <w:kern w:val="2"/>
                <w:sz w:val="21"/>
                <w:szCs w:val="22"/>
              </w:rPr>
            </w:pPr>
          </w:p>
        </w:tc>
        <w:tc>
          <w:tcPr>
            <w:tcW w:w="6429" w:type="dxa"/>
            <w:vAlign w:val="bottom"/>
          </w:tcPr>
          <w:p>
            <w:pPr>
              <w:pStyle w:val="15"/>
              <w:keepNext w:val="0"/>
              <w:keepLines w:val="0"/>
              <w:suppressLineNumbers w:val="0"/>
              <w:spacing w:before="0" w:beforeAutospacing="0" w:after="0" w:afterAutospacing="0" w:line="360" w:lineRule="auto"/>
              <w:ind w:left="0" w:right="0" w:firstLine="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28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7</w:t>
            </w:r>
          </w:p>
        </w:tc>
        <w:tc>
          <w:tcPr>
            <w:tcW w:w="1559" w:type="dxa"/>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履约保证金</w:t>
            </w:r>
          </w:p>
        </w:tc>
        <w:tc>
          <w:tcPr>
            <w:tcW w:w="6429" w:type="dxa"/>
          </w:tcPr>
          <w:p>
            <w:pPr>
              <w:keepNext w:val="0"/>
              <w:keepLines w:val="0"/>
              <w:suppressLineNumbers w:val="0"/>
              <w:spacing w:before="0" w:beforeAutospacing="0" w:after="0" w:afterAutospacing="0"/>
              <w:ind w:left="0" w:right="0"/>
              <w:jc w:val="both"/>
              <w:rPr>
                <w:rFonts w:asciiTheme="minorEastAsia" w:hAnsiTheme="minorEastAsia" w:eastAsiaTheme="minorEastAsia"/>
                <w:kern w:val="2"/>
                <w:sz w:val="21"/>
                <w:szCs w:val="22"/>
                <w:lang w:eastAsia="zh-CN"/>
              </w:rPr>
            </w:pPr>
            <w:r>
              <w:rPr>
                <w:rFonts w:hint="eastAsia" w:asciiTheme="minorEastAsia" w:hAnsiTheme="minorEastAsia" w:eastAsiaTheme="minorEastAsia"/>
                <w:kern w:val="2"/>
                <w:sz w:val="21"/>
                <w:szCs w:val="2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22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8</w:t>
            </w:r>
          </w:p>
        </w:tc>
        <w:tc>
          <w:tcPr>
            <w:tcW w:w="1559" w:type="dxa"/>
            <w:vAlign w:val="bottom"/>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现场踏勘和集中答疑</w:t>
            </w:r>
          </w:p>
        </w:tc>
        <w:tc>
          <w:tcPr>
            <w:tcW w:w="6429" w:type="dxa"/>
            <w:vAlign w:val="bottom"/>
          </w:tcPr>
          <w:p>
            <w:pPr>
              <w:pStyle w:val="15"/>
              <w:keepNext w:val="0"/>
              <w:keepLines w:val="0"/>
              <w:suppressLineNumbers w:val="0"/>
              <w:tabs>
                <w:tab w:val="left" w:leader="underscore" w:pos="4013"/>
              </w:tabs>
              <w:spacing w:before="0" w:beforeAutospacing="0" w:after="10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lang w:val="en-US" w:eastAsia="zh-CN" w:bidi="en-US"/>
              </w:rPr>
              <w:t>○</w:t>
            </w:r>
            <w:r>
              <w:rPr>
                <w:rFonts w:hint="eastAsia" w:asciiTheme="minorEastAsia" w:hAnsiTheme="minorEastAsia" w:eastAsiaTheme="minorEastAsia" w:cstheme="minorEastAsia"/>
                <w:kern w:val="2"/>
                <w:sz w:val="21"/>
                <w:szCs w:val="22"/>
              </w:rPr>
              <w:t>组织，集结地点为：</w:t>
            </w:r>
            <w:r>
              <w:rPr>
                <w:rFonts w:hint="eastAsia" w:asciiTheme="minorEastAsia" w:hAnsiTheme="minorEastAsia" w:eastAsiaTheme="minorEastAsia" w:cstheme="minorEastAsia"/>
                <w:kern w:val="2"/>
                <w:sz w:val="21"/>
                <w:szCs w:val="22"/>
              </w:rPr>
              <w:tab/>
            </w:r>
          </w:p>
          <w:p>
            <w:pPr>
              <w:pStyle w:val="15"/>
              <w:keepNext w:val="0"/>
              <w:keepLines w:val="0"/>
              <w:suppressLineNumbers w:val="0"/>
              <w:spacing w:before="0" w:beforeAutospacing="0" w:after="0" w:afterAutospacing="0" w:line="360" w:lineRule="auto"/>
              <w:ind w:left="0" w:right="0" w:firstLine="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28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9</w:t>
            </w:r>
          </w:p>
        </w:tc>
        <w:tc>
          <w:tcPr>
            <w:tcW w:w="1559" w:type="dxa"/>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价格分比重</w:t>
            </w:r>
          </w:p>
        </w:tc>
        <w:tc>
          <w:tcPr>
            <w:tcW w:w="6429" w:type="dxa"/>
          </w:tcPr>
          <w:p>
            <w:pPr>
              <w:pStyle w:val="15"/>
              <w:keepNext w:val="0"/>
              <w:keepLines w:val="0"/>
              <w:suppressLineNumbers w:val="0"/>
              <w:tabs>
                <w:tab w:val="left" w:leader="underscore" w:pos="1862"/>
              </w:tabs>
              <w:spacing w:before="0" w:beforeAutospacing="0" w:after="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rPr>
              <w:t>占总分值的</w:t>
            </w:r>
            <w:r>
              <w:rPr>
                <w:rFonts w:hint="eastAsia" w:asciiTheme="minorEastAsia" w:hAnsiTheme="minorEastAsia" w:eastAsiaTheme="minorEastAsia" w:cstheme="minorEastAsia"/>
                <w:kern w:val="2"/>
                <w:sz w:val="21"/>
                <w:szCs w:val="22"/>
                <w:highlight w:val="none"/>
                <w:u w:val="single"/>
                <w:lang w:val="en-US" w:eastAsia="zh-CN"/>
              </w:rPr>
              <w:t xml:space="preserve"> 30  </w:t>
            </w:r>
            <w:r>
              <w:rPr>
                <w:rFonts w:hint="eastAsia" w:asciiTheme="minorEastAsia" w:hAnsiTheme="minorEastAsia" w:eastAsiaTheme="minorEastAsia" w:cstheme="minorEastAsia"/>
                <w:kern w:val="2"/>
                <w:sz w:val="21"/>
                <w:szCs w:val="22"/>
                <w:highlight w:val="none"/>
              </w:rPr>
              <w:t>%</w:t>
            </w:r>
          </w:p>
          <w:p>
            <w:pPr>
              <w:pStyle w:val="15"/>
              <w:keepNext w:val="0"/>
              <w:keepLines w:val="0"/>
              <w:suppressLineNumbers w:val="0"/>
              <w:spacing w:before="0" w:beforeAutospacing="0" w:after="0" w:afterAutospacing="0" w:line="360" w:lineRule="auto"/>
              <w:ind w:left="0" w:right="0" w:firstLine="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［招标］根据《政府釆购货物和服务招标投标管理办法》（财政部87号令）的规 定，综合评分法货物项目的价格分值占总分值的比重不得低于30%。执行国家统 一定价标准和釆用固定价格釆购的项目，其价格不列为评审因素。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22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10</w:t>
            </w:r>
          </w:p>
        </w:tc>
        <w:tc>
          <w:tcPr>
            <w:tcW w:w="1559" w:type="dxa"/>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合同类型</w:t>
            </w:r>
          </w:p>
        </w:tc>
        <w:tc>
          <w:tcPr>
            <w:tcW w:w="6429" w:type="dxa"/>
            <w:vAlign w:val="bottom"/>
          </w:tcPr>
          <w:p>
            <w:pPr>
              <w:pStyle w:val="15"/>
              <w:keepNext w:val="0"/>
              <w:keepLines w:val="0"/>
              <w:suppressLineNumbers w:val="0"/>
              <w:spacing w:before="0" w:beforeAutospacing="0" w:after="8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rPr>
              <w:t>√总价</w:t>
            </w:r>
          </w:p>
          <w:p>
            <w:pPr>
              <w:pStyle w:val="15"/>
              <w:keepNext w:val="0"/>
              <w:keepLines w:val="0"/>
              <w:suppressLineNumbers w:val="0"/>
              <w:spacing w:before="0" w:beforeAutospacing="0" w:after="8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lang w:val="en-US" w:eastAsia="zh-CN" w:bidi="en-US"/>
              </w:rPr>
              <w:t>○</w:t>
            </w:r>
            <w:r>
              <w:rPr>
                <w:rFonts w:hint="eastAsia" w:asciiTheme="minorEastAsia" w:hAnsiTheme="minorEastAsia" w:eastAsiaTheme="minorEastAsia" w:cstheme="minorEastAsia"/>
                <w:kern w:val="2"/>
                <w:sz w:val="21"/>
                <w:szCs w:val="22"/>
              </w:rPr>
              <w:t>固定单价（适用于釆购数量不定的情形）</w:t>
            </w:r>
          </w:p>
          <w:p>
            <w:pPr>
              <w:pStyle w:val="15"/>
              <w:keepNext w:val="0"/>
              <w:keepLines w:val="0"/>
              <w:suppressLineNumbers w:val="0"/>
              <w:spacing w:before="0" w:beforeAutospacing="0" w:after="80" w:afterAutospacing="0" w:line="360" w:lineRule="auto"/>
              <w:ind w:left="0" w:right="0" w:firstLine="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lang w:val="en-US" w:eastAsia="zh-CN" w:bidi="en-US"/>
              </w:rPr>
              <w:t>○</w:t>
            </w:r>
            <w:r>
              <w:rPr>
                <w:rFonts w:hint="eastAsia" w:asciiTheme="minorEastAsia" w:hAnsiTheme="minorEastAsia" w:eastAsiaTheme="minorEastAsia" w:cstheme="minorEastAsia"/>
                <w:kern w:val="2"/>
                <w:sz w:val="21"/>
                <w:szCs w:val="22"/>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5"/>
              <w:keepNext w:val="0"/>
              <w:keepLines w:val="0"/>
              <w:suppressLineNumbers w:val="0"/>
              <w:spacing w:before="0" w:beforeAutospacing="0" w:after="0" w:afterAutospacing="0" w:line="360" w:lineRule="auto"/>
              <w:ind w:left="0" w:right="0" w:firstLine="22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11</w:t>
            </w:r>
          </w:p>
        </w:tc>
        <w:tc>
          <w:tcPr>
            <w:tcW w:w="1559" w:type="dxa"/>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争议解决途径</w:t>
            </w:r>
          </w:p>
        </w:tc>
        <w:tc>
          <w:tcPr>
            <w:tcW w:w="6429" w:type="dxa"/>
            <w:vAlign w:val="center"/>
          </w:tcPr>
          <w:p>
            <w:pPr>
              <w:pStyle w:val="15"/>
              <w:keepNext w:val="0"/>
              <w:keepLines w:val="0"/>
              <w:suppressLineNumbers w:val="0"/>
              <w:spacing w:before="0" w:beforeAutospacing="0" w:after="8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rPr>
              <w:t>√</w:t>
            </w:r>
            <w:r>
              <w:rPr>
                <w:rFonts w:hint="eastAsia" w:asciiTheme="minorEastAsia" w:hAnsiTheme="minorEastAsia" w:eastAsiaTheme="minorEastAsia" w:cstheme="minorEastAsia"/>
                <w:kern w:val="2"/>
                <w:sz w:val="21"/>
                <w:szCs w:val="22"/>
                <w:lang w:val="zh-CN" w:eastAsia="zh-CN" w:bidi="zh-CN"/>
              </w:rPr>
              <w:t>向有</w:t>
            </w:r>
            <w:r>
              <w:rPr>
                <w:rFonts w:hint="eastAsia" w:asciiTheme="minorEastAsia" w:hAnsiTheme="minorEastAsia" w:eastAsiaTheme="minorEastAsia" w:cstheme="minorEastAsia"/>
                <w:kern w:val="2"/>
                <w:sz w:val="21"/>
                <w:szCs w:val="22"/>
              </w:rPr>
              <w:t>管辖权的人民法院提起诉讼</w:t>
            </w:r>
          </w:p>
          <w:p>
            <w:pPr>
              <w:pStyle w:val="15"/>
              <w:keepNext w:val="0"/>
              <w:keepLines w:val="0"/>
              <w:suppressLineNumbers w:val="0"/>
              <w:spacing w:before="0" w:beforeAutospacing="0" w:after="80" w:afterAutospacing="0" w:line="360" w:lineRule="auto"/>
              <w:ind w:left="0" w:right="0" w:firstLine="0"/>
              <w:jc w:val="both"/>
              <w:rPr>
                <w:rFonts w:asciiTheme="minorEastAsia" w:hAnsiTheme="minorEastAsia" w:eastAsiaTheme="minorEastAsia" w:cstheme="minorEastAsia"/>
                <w:kern w:val="2"/>
                <w:sz w:val="21"/>
                <w:szCs w:val="22"/>
              </w:rPr>
            </w:pPr>
            <w:r>
              <w:rPr>
                <w:rFonts w:hint="eastAsia" w:asciiTheme="minorEastAsia" w:hAnsiTheme="minorEastAsia" w:eastAsiaTheme="minorEastAsia" w:cstheme="minorEastAsia"/>
                <w:kern w:val="2"/>
                <w:sz w:val="21"/>
                <w:szCs w:val="22"/>
                <w:lang w:val="en-US" w:eastAsia="zh-CN" w:bidi="en-US"/>
              </w:rPr>
              <w:t>○</w:t>
            </w:r>
            <w:r>
              <w:rPr>
                <w:rFonts w:hint="eastAsia" w:asciiTheme="minorEastAsia" w:hAnsiTheme="minorEastAsia" w:eastAsiaTheme="minorEastAsia" w:cstheme="minorEastAsia"/>
                <w:kern w:val="2"/>
                <w:sz w:val="21"/>
                <w:szCs w:val="22"/>
              </w:rPr>
              <w:t>向西安仲裁委员会提请仲裁</w:t>
            </w:r>
          </w:p>
          <w:p>
            <w:pPr>
              <w:pStyle w:val="15"/>
              <w:keepNext w:val="0"/>
              <w:keepLines w:val="0"/>
              <w:suppressLineNumbers w:val="0"/>
              <w:spacing w:before="0" w:beforeAutospacing="0" w:after="80" w:afterAutospacing="0" w:line="360" w:lineRule="auto"/>
              <w:ind w:left="0" w:right="0" w:firstLine="0"/>
              <w:jc w:val="both"/>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lang w:val="en-US" w:eastAsia="zh-CN" w:bidi="en-US"/>
              </w:rPr>
              <w:t>○</w:t>
            </w:r>
            <w:r>
              <w:rPr>
                <w:rFonts w:hint="eastAsia" w:asciiTheme="minorEastAsia" w:hAnsiTheme="minorEastAsia" w:eastAsiaTheme="minorEastAsia" w:cstheme="minorEastAsia"/>
                <w:kern w:val="2"/>
                <w:sz w:val="21"/>
                <w:szCs w:val="22"/>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10" w:type="dxa"/>
            <w:vAlign w:val="center"/>
          </w:tcPr>
          <w:p>
            <w:pPr>
              <w:pStyle w:val="15"/>
              <w:keepNext w:val="0"/>
              <w:keepLines w:val="0"/>
              <w:suppressLineNumbers w:val="0"/>
              <w:spacing w:before="0" w:beforeAutospacing="0" w:after="0" w:afterAutospacing="0" w:line="360" w:lineRule="auto"/>
              <w:ind w:left="0" w:right="0" w:firstLine="22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12</w:t>
            </w:r>
          </w:p>
        </w:tc>
        <w:tc>
          <w:tcPr>
            <w:tcW w:w="1559" w:type="dxa"/>
            <w:vAlign w:val="center"/>
          </w:tcPr>
          <w:p>
            <w:pPr>
              <w:pStyle w:val="15"/>
              <w:keepNext w:val="0"/>
              <w:keepLines w:val="0"/>
              <w:suppressLineNumbers w:val="0"/>
              <w:spacing w:before="0" w:beforeAutospacing="0" w:after="0" w:afterAutospacing="0" w:line="360" w:lineRule="auto"/>
              <w:ind w:left="0" w:right="0" w:firstLine="0"/>
              <w:jc w:val="center"/>
              <w:rPr>
                <w:rFonts w:asciiTheme="minorEastAsia" w:hAnsiTheme="minorEastAsia" w:eastAsiaTheme="minorEastAsia"/>
                <w:kern w:val="2"/>
                <w:sz w:val="21"/>
                <w:szCs w:val="22"/>
              </w:rPr>
            </w:pPr>
            <w:r>
              <w:rPr>
                <w:rFonts w:hint="eastAsia" w:asciiTheme="minorEastAsia" w:hAnsiTheme="minorEastAsia" w:eastAsiaTheme="minorEastAsia" w:cstheme="minorEastAsia"/>
                <w:kern w:val="2"/>
                <w:sz w:val="21"/>
                <w:szCs w:val="22"/>
              </w:rPr>
              <w:t>联系方式</w:t>
            </w:r>
          </w:p>
        </w:tc>
        <w:tc>
          <w:tcPr>
            <w:tcW w:w="6429" w:type="dxa"/>
          </w:tcPr>
          <w:p>
            <w:pPr>
              <w:pStyle w:val="15"/>
              <w:keepNext w:val="0"/>
              <w:keepLines w:val="0"/>
              <w:suppressLineNumbers w:val="0"/>
              <w:spacing w:before="0" w:beforeAutospacing="0" w:after="80" w:afterAutospacing="0" w:line="360" w:lineRule="auto"/>
              <w:ind w:left="0" w:right="0" w:firstLine="0"/>
              <w:jc w:val="both"/>
              <w:rPr>
                <w:rFonts w:hint="eastAsia" w:asciiTheme="minorEastAsia" w:hAnsiTheme="minorEastAsia" w:eastAsiaTheme="minorEastAsia" w:cstheme="minorEastAsia"/>
                <w:kern w:val="2"/>
                <w:sz w:val="21"/>
                <w:szCs w:val="22"/>
                <w:lang w:val="en-US"/>
              </w:rPr>
            </w:pPr>
            <w:r>
              <w:rPr>
                <w:rFonts w:hint="eastAsia" w:asciiTheme="minorEastAsia" w:hAnsiTheme="minorEastAsia" w:eastAsiaTheme="minorEastAsia" w:cstheme="minorEastAsia"/>
                <w:kern w:val="2"/>
                <w:sz w:val="21"/>
                <w:szCs w:val="22"/>
                <w:lang w:val="en-US"/>
              </w:rPr>
              <w:t xml:space="preserve">项目对接人：宋主任   </w:t>
            </w:r>
          </w:p>
          <w:p>
            <w:pPr>
              <w:pStyle w:val="15"/>
              <w:keepNext w:val="0"/>
              <w:keepLines w:val="0"/>
              <w:suppressLineNumbers w:val="0"/>
              <w:spacing w:before="0" w:beforeAutospacing="0" w:after="80" w:afterAutospacing="0" w:line="360" w:lineRule="auto"/>
              <w:ind w:left="0" w:right="0" w:firstLine="0"/>
              <w:jc w:val="both"/>
              <w:rPr>
                <w:rFonts w:hint="eastAsia" w:asciiTheme="minorEastAsia" w:hAnsiTheme="minorEastAsia" w:eastAsiaTheme="minorEastAsia" w:cstheme="minorEastAsia"/>
                <w:kern w:val="2"/>
                <w:sz w:val="21"/>
                <w:szCs w:val="22"/>
                <w:lang w:val="en-US"/>
              </w:rPr>
            </w:pPr>
            <w:r>
              <w:rPr>
                <w:rFonts w:hint="eastAsia" w:asciiTheme="minorEastAsia" w:hAnsiTheme="minorEastAsia" w:eastAsiaTheme="minorEastAsia" w:cstheme="minorEastAsia"/>
                <w:kern w:val="2"/>
                <w:sz w:val="21"/>
                <w:szCs w:val="22"/>
                <w:lang w:val="en-US"/>
              </w:rPr>
              <w:t>联系电话：029-82475996</w:t>
            </w:r>
          </w:p>
          <w:p>
            <w:pPr>
              <w:pStyle w:val="15"/>
              <w:keepNext w:val="0"/>
              <w:keepLines w:val="0"/>
              <w:suppressLineNumbers w:val="0"/>
              <w:spacing w:before="0" w:beforeAutospacing="0" w:after="80" w:afterAutospacing="0" w:line="360" w:lineRule="auto"/>
              <w:ind w:left="0" w:right="0" w:firstLine="0"/>
              <w:jc w:val="both"/>
              <w:rPr>
                <w:rFonts w:hint="eastAsia" w:eastAsia="宋体" w:asciiTheme="minorEastAsia" w:hAnsiTheme="minorEastAsia"/>
                <w:kern w:val="2"/>
                <w:sz w:val="21"/>
                <w:szCs w:val="22"/>
                <w:lang w:val="en-US" w:eastAsia="zh-CN"/>
              </w:rPr>
            </w:pPr>
            <w:r>
              <w:rPr>
                <w:rFonts w:hint="eastAsia" w:asciiTheme="minorEastAsia" w:hAnsiTheme="minorEastAsia" w:eastAsiaTheme="minorEastAsia" w:cstheme="minorEastAsia"/>
                <w:kern w:val="2"/>
                <w:sz w:val="21"/>
                <w:szCs w:val="22"/>
                <w:lang w:val="en-US"/>
              </w:rPr>
              <w:t>电子邮箱：</w:t>
            </w:r>
            <w:r>
              <w:rPr>
                <w:rFonts w:hint="eastAsia" w:asciiTheme="minorEastAsia" w:hAnsiTheme="minorEastAsia" w:eastAsiaTheme="minorEastAsia" w:cstheme="minorEastAsia"/>
                <w:kern w:val="2"/>
                <w:sz w:val="21"/>
                <w:szCs w:val="22"/>
                <w:lang w:val="en-US" w:eastAsia="zh-CN"/>
              </w:rPr>
              <w:t>/</w:t>
            </w:r>
          </w:p>
        </w:tc>
      </w:tr>
    </w:tbl>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pStyle w:val="14"/>
        <w:spacing w:line="636" w:lineRule="exact"/>
        <w:ind w:firstLine="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需</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求</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框</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架</w:t>
      </w:r>
    </w:p>
    <w:p>
      <w:pPr>
        <w:pStyle w:val="14"/>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项目概况</w:t>
      </w:r>
    </w:p>
    <w:p>
      <w:pPr>
        <w:pStyle w:val="14"/>
        <w:keepNext w:val="0"/>
        <w:keepLines w:val="0"/>
        <w:pageBreakBefore w:val="0"/>
        <w:kinsoku/>
        <w:wordWrap/>
        <w:overflowPunct/>
        <w:topLinePunct w:val="0"/>
        <w:autoSpaceDE/>
        <w:autoSpaceDN/>
        <w:bidi w:val="0"/>
        <w:adjustRightInd/>
        <w:snapToGrid/>
        <w:spacing w:line="360" w:lineRule="auto"/>
        <w:ind w:left="240" w:firstLine="480" w:firstLineChars="200"/>
        <w:jc w:val="both"/>
        <w:textAlignment w:val="auto"/>
        <w:rPr>
          <w:lang w:val="en-US" w:eastAsia="zh-CN"/>
        </w:rPr>
      </w:pPr>
      <w:r>
        <w:rPr>
          <w:rFonts w:hint="eastAsia" w:asciiTheme="minorEastAsia" w:hAnsiTheme="minorEastAsia" w:eastAsiaTheme="minorEastAsia" w:cstheme="minorEastAsia"/>
          <w:sz w:val="24"/>
          <w:szCs w:val="24"/>
          <w:lang w:val="en-US" w:eastAsia="zh-CN"/>
        </w:rPr>
        <w:t xml:space="preserve">  陕西省疾病预防控制中心采购理化所阴阳离子双系统离子色谱仪及配套耗材等采购。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 应用范围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适用于样品中阴离子（如：F</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、Cl</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、Br</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、BrO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、NO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、NO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、SO</w:t>
      </w:r>
      <w:r>
        <w:rPr>
          <w:rFonts w:hint="eastAsia" w:ascii="宋体" w:hAnsi="宋体" w:eastAsia="宋体" w:cs="宋体"/>
          <w:color w:val="auto"/>
          <w:sz w:val="24"/>
          <w:szCs w:val="24"/>
          <w:highlight w:val="none"/>
          <w:vertAlign w:val="subscript"/>
        </w:rPr>
        <w:t>4</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 xml:space="preserve"> 、PO</w:t>
      </w:r>
      <w:r>
        <w:rPr>
          <w:rFonts w:hint="eastAsia" w:ascii="宋体" w:hAnsi="宋体" w:eastAsia="宋体" w:cs="宋体"/>
          <w:color w:val="auto"/>
          <w:sz w:val="24"/>
          <w:szCs w:val="24"/>
          <w:highlight w:val="none"/>
          <w:vertAlign w:val="subscript"/>
        </w:rPr>
        <w:t>4</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、消毒副产物/</w:t>
      </w:r>
      <w:r>
        <w:rPr>
          <w:rFonts w:hint="eastAsia" w:ascii="宋体" w:hAnsi="宋体" w:eastAsia="宋体" w:cs="宋体"/>
          <w:bCs/>
          <w:color w:val="auto"/>
          <w:sz w:val="24"/>
          <w:szCs w:val="24"/>
          <w:highlight w:val="none"/>
        </w:rPr>
        <w:t>ClO</w:t>
      </w:r>
      <w:r>
        <w:rPr>
          <w:rFonts w:hint="eastAsia" w:ascii="宋体" w:hAnsi="宋体" w:eastAsia="宋体" w:cs="宋体"/>
          <w:bCs/>
          <w:color w:val="auto"/>
          <w:sz w:val="24"/>
          <w:szCs w:val="24"/>
          <w:highlight w:val="none"/>
          <w:vertAlign w:val="subscript"/>
        </w:rPr>
        <w:t>4</w:t>
      </w:r>
      <w:r>
        <w:rPr>
          <w:rFonts w:hint="eastAsia" w:ascii="宋体" w:hAnsi="宋体" w:eastAsia="宋体" w:cs="宋体"/>
          <w:bCs/>
          <w:color w:val="auto"/>
          <w:kern w:val="36"/>
          <w:sz w:val="24"/>
          <w:szCs w:val="24"/>
          <w:highlight w:val="none"/>
          <w:vertAlign w:val="superscript"/>
        </w:rPr>
        <w:t>-</w:t>
      </w:r>
      <w:r>
        <w:rPr>
          <w:rFonts w:hint="eastAsia" w:ascii="宋体" w:hAnsi="宋体" w:eastAsia="宋体" w:cs="宋体"/>
          <w:color w:val="auto"/>
          <w:sz w:val="24"/>
          <w:szCs w:val="24"/>
          <w:highlight w:val="none"/>
        </w:rPr>
        <w:t>等）、阳离子（如：Li</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、Na</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、NH</w:t>
      </w:r>
      <w:r>
        <w:rPr>
          <w:rFonts w:hint="eastAsia" w:ascii="宋体" w:hAnsi="宋体" w:eastAsia="宋体" w:cs="宋体"/>
          <w:color w:val="auto"/>
          <w:sz w:val="24"/>
          <w:szCs w:val="24"/>
          <w:highlight w:val="none"/>
          <w:vertAlign w:val="subscript"/>
        </w:rPr>
        <w:t>4</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、K</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、Mg</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、Ca</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等）、有机酸及有机胺类物质的分析。</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 工作条件</w:t>
      </w:r>
    </w:p>
    <w:p>
      <w:pPr>
        <w:keepNext w:val="0"/>
        <w:keepLines w:val="0"/>
        <w:pageBreakBefore w:val="0"/>
        <w:tabs>
          <w:tab w:val="left" w:pos="73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工作电源：220V，50HZ</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环境温度：10-40℃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相对湿度：20-85%</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 技术参数</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系统要求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color w:val="auto"/>
          <w:sz w:val="24"/>
          <w:szCs w:val="24"/>
          <w:highlight w:val="none"/>
        </w:rPr>
        <w:t>全塑流路（PEEK材质），至少包括两套高压PEEK泵，内置电动六通阀，阴离子淋洗液自动发生器、阴阳离子保护柱，阴阳离子分析柱，阴阳离子抑制器，两套电导检测器、软件及保护气，仪器可实现阴离子、阳离子同时全自动分析，也可单独控制，分别独立进行进行阴、阳离子全自动分析。</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color w:val="auto"/>
          <w:sz w:val="24"/>
          <w:szCs w:val="24"/>
          <w:highlight w:val="none"/>
        </w:rPr>
        <w:t>内置式恒温系统，全系统高精温控，电导池、电导池体、色谱柱处于不同温控系统内。</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 ▲</w:t>
      </w:r>
      <w:r>
        <w:rPr>
          <w:rFonts w:hint="eastAsia" w:ascii="宋体" w:hAnsi="宋体" w:eastAsia="宋体" w:cs="宋体"/>
          <w:color w:val="auto"/>
          <w:sz w:val="24"/>
          <w:szCs w:val="24"/>
          <w:highlight w:val="none"/>
        </w:rPr>
        <w:t>标配漏液传感器，实时监控泵、色谱柱、六通阀、电导检测器及管路的连接状态。</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color w:val="auto"/>
          <w:sz w:val="24"/>
          <w:szCs w:val="24"/>
          <w:highlight w:val="none"/>
        </w:rPr>
        <w:t>主机内部预留额外的阀位，可同时安装四个内置的二位多通阀，用于在线样品前处理。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color w:val="auto"/>
          <w:sz w:val="24"/>
          <w:szCs w:val="24"/>
          <w:highlight w:val="none"/>
        </w:rPr>
        <w:t>主机有内置数字式气压调节器，且软件可记录。</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w:t>
      </w:r>
      <w:r>
        <w:rPr>
          <w:rFonts w:hint="eastAsia" w:ascii="宋体" w:hAnsi="宋体" w:eastAsia="宋体" w:cs="宋体"/>
          <w:color w:val="auto"/>
          <w:sz w:val="24"/>
          <w:szCs w:val="24"/>
          <w:highlight w:val="none"/>
        </w:rPr>
        <w:t>有淋洗液监视器，根据淋洗液使用情况，可自动实时发出警报。</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color w:val="auto"/>
          <w:sz w:val="24"/>
          <w:szCs w:val="24"/>
          <w:highlight w:val="none"/>
        </w:rPr>
        <w:t>有可视化功能，无需打开任何部件，即可观察抑制器等的工作状态及管路连接情况。</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泵</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高性能/低脉冲高压双柱塞泵，泵所有部件含泵外壳、单向阀外壳、单向阀阀芯、管路等均需为PEEK非金属材质，适合于pH为0～14的淋洗液及反相有机溶剂。</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2.2 </w:t>
      </w:r>
      <w:r>
        <w:rPr>
          <w:rFonts w:hint="eastAsia" w:ascii="宋体" w:hAnsi="宋体" w:eastAsia="宋体" w:cs="宋体"/>
          <w:color w:val="auto"/>
          <w:sz w:val="24"/>
          <w:szCs w:val="24"/>
          <w:highlight w:val="none"/>
        </w:rPr>
        <w:t>流速范围：0.00-4.00mL/min；</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2.2 </w:t>
      </w:r>
      <w:r>
        <w:rPr>
          <w:rFonts w:hint="eastAsia" w:ascii="宋体" w:hAnsi="宋体" w:eastAsia="宋体" w:cs="宋体"/>
          <w:color w:val="auto"/>
          <w:sz w:val="24"/>
          <w:szCs w:val="24"/>
          <w:highlight w:val="none"/>
        </w:rPr>
        <w:t>泵头最大耐压：≥5000psi</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2.3 </w:t>
      </w:r>
      <w:r>
        <w:rPr>
          <w:rFonts w:hint="eastAsia" w:ascii="宋体" w:hAnsi="宋体" w:eastAsia="宋体" w:cs="宋体"/>
          <w:color w:val="auto"/>
          <w:sz w:val="24"/>
          <w:szCs w:val="24"/>
          <w:highlight w:val="none"/>
        </w:rPr>
        <w:t>压力脉冲：&lt;1.0%</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2.4 ▲</w:t>
      </w:r>
      <w:r>
        <w:rPr>
          <w:rFonts w:hint="eastAsia" w:ascii="宋体" w:hAnsi="宋体" w:eastAsia="宋体" w:cs="宋体"/>
          <w:color w:val="auto"/>
          <w:sz w:val="24"/>
          <w:szCs w:val="24"/>
          <w:highlight w:val="none"/>
        </w:rPr>
        <w:t>流量稳定性：&lt;0.1%。</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2.5 ▲</w:t>
      </w:r>
      <w:r>
        <w:rPr>
          <w:rFonts w:hint="eastAsia" w:ascii="宋体" w:hAnsi="宋体" w:eastAsia="宋体" w:cs="宋体"/>
          <w:color w:val="auto"/>
          <w:sz w:val="24"/>
          <w:szCs w:val="24"/>
          <w:highlight w:val="none"/>
        </w:rPr>
        <w:t>配有泵前真空脱气。</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w:t>
      </w:r>
      <w:r>
        <w:rPr>
          <w:rFonts w:hint="eastAsia" w:ascii="宋体" w:hAnsi="宋体" w:eastAsia="宋体" w:cs="宋体"/>
          <w:color w:val="auto"/>
          <w:sz w:val="24"/>
          <w:szCs w:val="24"/>
          <w:highlight w:val="none"/>
        </w:rPr>
        <w:t>配有淋洗液截止阀</w:t>
      </w:r>
      <w:bookmarkStart w:id="0" w:name="_Hlk34489873"/>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2.7 ▲</w:t>
      </w:r>
      <w:r>
        <w:rPr>
          <w:rFonts w:hint="eastAsia" w:ascii="宋体" w:hAnsi="宋体" w:eastAsia="宋体" w:cs="宋体"/>
          <w:color w:val="auto"/>
          <w:sz w:val="24"/>
          <w:szCs w:val="24"/>
          <w:highlight w:val="none"/>
        </w:rPr>
        <w:t>配有独立的在线密封圈清洗室。</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2.8 ▲</w:t>
      </w:r>
      <w:r>
        <w:rPr>
          <w:rFonts w:hint="eastAsia" w:ascii="宋体" w:hAnsi="宋体" w:eastAsia="宋体" w:cs="宋体"/>
          <w:color w:val="auto"/>
          <w:sz w:val="24"/>
          <w:szCs w:val="24"/>
          <w:highlight w:val="none"/>
        </w:rPr>
        <w:t>配有泵废液阀，且需集成在泵内部，不能是独立的一部分。</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色谱分析柱</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3.1 </w:t>
      </w:r>
      <w:r>
        <w:rPr>
          <w:rFonts w:hint="eastAsia" w:ascii="宋体" w:hAnsi="宋体" w:eastAsia="宋体" w:cs="宋体"/>
          <w:color w:val="auto"/>
          <w:sz w:val="24"/>
          <w:szCs w:val="24"/>
          <w:highlight w:val="none"/>
        </w:rPr>
        <w:t>高效高容量阴离子分离柱及保护柱，与主机同品牌，塑料非金属外壳，乙基乙烯基苯/二乙烯基苯聚合物填料，键和烷醇季铵基官能团，兼容氢氧根淋洗液梯度洗脱，耐受0-14的pH工作范围。</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w:t>
      </w:r>
      <w:r>
        <w:rPr>
          <w:rFonts w:hint="eastAsia" w:ascii="宋体" w:hAnsi="宋体" w:eastAsia="宋体" w:cs="宋体"/>
          <w:color w:val="auto"/>
          <w:sz w:val="24"/>
          <w:szCs w:val="24"/>
          <w:highlight w:val="none"/>
        </w:rPr>
        <w:t>最大耐压≥3000psi；</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w:t>
      </w:r>
      <w:r>
        <w:rPr>
          <w:rFonts w:hint="eastAsia" w:ascii="宋体" w:hAnsi="宋体" w:eastAsia="宋体" w:cs="宋体"/>
          <w:color w:val="auto"/>
          <w:sz w:val="24"/>
          <w:szCs w:val="24"/>
          <w:highlight w:val="none"/>
        </w:rPr>
        <w:t>最大耐受流速≥2.0mL/min；</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3.4</w:t>
      </w:r>
      <w:r>
        <w:rPr>
          <w:rFonts w:hint="eastAsia" w:ascii="宋体" w:hAnsi="宋体" w:eastAsia="宋体" w:cs="宋体"/>
          <w:color w:val="auto"/>
          <w:sz w:val="24"/>
          <w:szCs w:val="24"/>
          <w:highlight w:val="none"/>
        </w:rPr>
        <w:t>柱容量≥200μeq/根；</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3.5 </w:t>
      </w:r>
      <w:r>
        <w:rPr>
          <w:rFonts w:hint="eastAsia" w:ascii="宋体" w:hAnsi="宋体" w:eastAsia="宋体" w:cs="宋体"/>
          <w:color w:val="auto"/>
          <w:sz w:val="24"/>
          <w:szCs w:val="24"/>
          <w:highlight w:val="none"/>
        </w:rPr>
        <w:t>Cl</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～NO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的分离能力≥10000:1。</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3.6 </w:t>
      </w:r>
      <w:r>
        <w:rPr>
          <w:rFonts w:hint="eastAsia" w:ascii="宋体" w:hAnsi="宋体" w:eastAsia="宋体" w:cs="宋体"/>
          <w:color w:val="auto"/>
          <w:sz w:val="24"/>
          <w:szCs w:val="24"/>
          <w:highlight w:val="none"/>
        </w:rPr>
        <w:t>高效高容量阳离子分离柱及保护柱，与主机同品牌，塑料非金属外壳，乙基乙烯基苯/二乙烯基苯聚合物填料，键和羧酸基或磷酸基官能团，兼容甲基磺酸淋洗液梯度洗脱。</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3.7</w:t>
      </w:r>
      <w:r>
        <w:rPr>
          <w:rFonts w:hint="eastAsia" w:ascii="宋体" w:hAnsi="宋体" w:eastAsia="宋体" w:cs="宋体"/>
          <w:color w:val="auto"/>
          <w:sz w:val="24"/>
          <w:szCs w:val="24"/>
          <w:highlight w:val="none"/>
        </w:rPr>
        <w:t>最大耐压≥3000psi；</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3.8</w:t>
      </w:r>
      <w:r>
        <w:rPr>
          <w:rFonts w:hint="eastAsia" w:ascii="宋体" w:hAnsi="宋体" w:eastAsia="宋体" w:cs="宋体"/>
          <w:color w:val="auto"/>
          <w:sz w:val="24"/>
          <w:szCs w:val="24"/>
          <w:highlight w:val="none"/>
        </w:rPr>
        <w:t>最大耐受流速≥1.500mL/min；</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3.9</w:t>
      </w:r>
      <w:r>
        <w:rPr>
          <w:rFonts w:hint="eastAsia" w:ascii="宋体" w:hAnsi="宋体" w:eastAsia="宋体" w:cs="宋体"/>
          <w:color w:val="auto"/>
          <w:sz w:val="24"/>
          <w:szCs w:val="24"/>
          <w:highlight w:val="none"/>
        </w:rPr>
        <w:t>柱容量≥1000μeq/根；</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3.10 </w:t>
      </w:r>
      <w:r>
        <w:rPr>
          <w:rFonts w:hint="eastAsia" w:ascii="宋体" w:hAnsi="宋体" w:eastAsia="宋体" w:cs="宋体"/>
          <w:color w:val="auto"/>
          <w:sz w:val="24"/>
          <w:szCs w:val="24"/>
          <w:highlight w:val="none"/>
        </w:rPr>
        <w:t>Na</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—NH</w:t>
      </w:r>
      <w:r>
        <w:rPr>
          <w:rFonts w:hint="eastAsia" w:ascii="宋体" w:hAnsi="宋体" w:eastAsia="宋体" w:cs="宋体"/>
          <w:color w:val="auto"/>
          <w:sz w:val="24"/>
          <w:szCs w:val="24"/>
          <w:highlight w:val="none"/>
          <w:vertAlign w:val="subscript"/>
        </w:rPr>
        <w:t xml:space="preserve">4 </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的分离能力≥10000:1。</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柱温箱</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bookmarkStart w:id="1" w:name="_Hlk140062721"/>
      <w:r>
        <w:rPr>
          <w:rFonts w:hint="eastAsia" w:ascii="宋体" w:hAnsi="宋体" w:eastAsia="宋体" w:cs="宋体"/>
          <w:b/>
          <w:color w:val="auto"/>
          <w:sz w:val="24"/>
          <w:szCs w:val="24"/>
          <w:highlight w:val="none"/>
        </w:rPr>
        <w:t>4.1</w:t>
      </w:r>
      <w:r>
        <w:rPr>
          <w:rFonts w:hint="eastAsia" w:ascii="宋体" w:hAnsi="宋体" w:eastAsia="宋体" w:cs="宋体"/>
          <w:color w:val="auto"/>
          <w:sz w:val="24"/>
          <w:szCs w:val="24"/>
          <w:highlight w:val="none"/>
        </w:rPr>
        <w:t xml:space="preserve"> 温度设置范围：10℃～55℃。</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4.2▲</w:t>
      </w:r>
      <w:r>
        <w:rPr>
          <w:rFonts w:hint="eastAsia" w:ascii="宋体" w:hAnsi="宋体" w:eastAsia="宋体" w:cs="宋体"/>
          <w:color w:val="auto"/>
          <w:sz w:val="24"/>
          <w:szCs w:val="24"/>
          <w:highlight w:val="none"/>
        </w:rPr>
        <w:t xml:space="preserve"> 柱温箱需为仪器的标准配置，内置于仪器主机内部，不可外置。</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color w:val="auto"/>
          <w:sz w:val="24"/>
          <w:szCs w:val="24"/>
          <w:highlight w:val="none"/>
        </w:rPr>
        <w:t xml:space="preserve"> 具有样品和淋洗液预加热功能</w:t>
      </w:r>
      <w:bookmarkEnd w:id="1"/>
      <w:r>
        <w:rPr>
          <w:rFonts w:hint="eastAsia" w:ascii="宋体" w:hAnsi="宋体" w:eastAsia="宋体" w:cs="宋体"/>
          <w:color w:val="auto"/>
          <w:sz w:val="24"/>
          <w:szCs w:val="24"/>
          <w:highlight w:val="none"/>
        </w:rPr>
        <w:t>。</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抑制器</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5.1 ▲</w:t>
      </w:r>
      <w:r>
        <w:rPr>
          <w:rFonts w:hint="eastAsia" w:ascii="宋体" w:hAnsi="宋体" w:eastAsia="宋体" w:cs="宋体"/>
          <w:color w:val="auto"/>
          <w:sz w:val="24"/>
          <w:szCs w:val="24"/>
          <w:highlight w:val="none"/>
        </w:rPr>
        <w:t>阴离子电解抑制器，与主机同品牌的自动电解连续再生微膜阴离子抑制器，无需外加酸进行化学再生，无需使用蠕动泵或其他任何加液装置进行清洗和再生，无需转子切换。</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5.2 </w:t>
      </w:r>
      <w:r>
        <w:rPr>
          <w:rFonts w:hint="eastAsia" w:ascii="宋体" w:hAnsi="宋体" w:eastAsia="宋体" w:cs="宋体"/>
          <w:color w:val="auto"/>
          <w:sz w:val="24"/>
          <w:szCs w:val="24"/>
          <w:highlight w:val="none"/>
        </w:rPr>
        <w:t>抑制器容量：200mM氢氧化钠或氢氧化钾，1.0mL/min流速，至少持续30min。</w:t>
      </w:r>
      <w:r>
        <w:rPr>
          <w:rFonts w:hint="eastAsia" w:ascii="宋体" w:hAnsi="宋体" w:eastAsia="宋体" w:cs="宋体"/>
          <w:b/>
          <w:color w:val="auto"/>
          <w:sz w:val="24"/>
          <w:szCs w:val="24"/>
          <w:highlight w:val="none"/>
        </w:rPr>
        <w:t xml:space="preserve">5.3 </w:t>
      </w:r>
      <w:r>
        <w:rPr>
          <w:rFonts w:hint="eastAsia" w:ascii="宋体" w:hAnsi="宋体" w:eastAsia="宋体" w:cs="宋体"/>
          <w:color w:val="auto"/>
          <w:sz w:val="24"/>
          <w:szCs w:val="24"/>
          <w:highlight w:val="none"/>
        </w:rPr>
        <w:t>200mM氢氧根体系抑制背景总电导≤5.0μS。</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5.4▲</w:t>
      </w:r>
      <w:r>
        <w:rPr>
          <w:rFonts w:hint="eastAsia" w:ascii="宋体" w:hAnsi="宋体" w:eastAsia="宋体" w:cs="宋体"/>
          <w:color w:val="auto"/>
          <w:sz w:val="24"/>
          <w:szCs w:val="24"/>
          <w:highlight w:val="none"/>
        </w:rPr>
        <w:t>阳离子电解抑制器，与主机同品牌的自动电解连续再生微膜阳离子抑制器，无需外加再生液进行化学再生，无需使用蠕动泵或其他任何加液装置进行清洗和再生，无需转子切换。</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5.5</w:t>
      </w:r>
      <w:r>
        <w:rPr>
          <w:rFonts w:hint="eastAsia" w:ascii="宋体" w:hAnsi="宋体" w:eastAsia="宋体" w:cs="宋体"/>
          <w:color w:val="auto"/>
          <w:sz w:val="24"/>
          <w:szCs w:val="24"/>
          <w:highlight w:val="none"/>
        </w:rPr>
        <w:t>抑制器容量：100mM甲基磺酸，1.0mL/min流速，至少持续30min。</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5.6 </w:t>
      </w:r>
      <w:r>
        <w:rPr>
          <w:rFonts w:hint="eastAsia" w:ascii="宋体" w:hAnsi="宋体" w:eastAsia="宋体" w:cs="宋体"/>
          <w:color w:val="auto"/>
          <w:sz w:val="24"/>
          <w:szCs w:val="24"/>
          <w:highlight w:val="none"/>
        </w:rPr>
        <w:t>100mM甲基磺酸体系抑制背景总电导小于5.0μS。</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5.7</w:t>
      </w:r>
      <w:r>
        <w:rPr>
          <w:rFonts w:hint="eastAsia" w:ascii="宋体" w:hAnsi="宋体" w:eastAsia="宋体" w:cs="宋体"/>
          <w:color w:val="auto"/>
          <w:sz w:val="24"/>
          <w:szCs w:val="24"/>
          <w:highlight w:val="none"/>
        </w:rPr>
        <w:t>所有样品和标准均通过同一抑制器，且淋洗液与再生液通道完全独立。</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电导检测器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w:t>
      </w:r>
      <w:r>
        <w:rPr>
          <w:rFonts w:hint="eastAsia" w:ascii="宋体" w:hAnsi="宋体" w:eastAsia="宋体" w:cs="宋体"/>
          <w:color w:val="auto"/>
          <w:sz w:val="24"/>
          <w:szCs w:val="24"/>
          <w:highlight w:val="none"/>
        </w:rPr>
        <w:t>电导检测器类型为数字信号控制处理器，当检测μg/L级到g/L级不同浓度的离子时，输出信号可直接数字拓展，无需调整量程，输出值应为直接的电导信号</w:t>
      </w:r>
      <w:r>
        <w:rPr>
          <w:rFonts w:hint="eastAsia" w:ascii="宋体" w:hAnsi="宋体" w:eastAsia="宋体" w:cs="宋体"/>
          <w:b/>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6.2</w:t>
      </w:r>
      <w:r>
        <w:rPr>
          <w:rFonts w:hint="eastAsia" w:ascii="宋体" w:hAnsi="宋体" w:eastAsia="宋体" w:cs="宋体"/>
          <w:color w:val="auto"/>
          <w:sz w:val="24"/>
          <w:szCs w:val="24"/>
          <w:highlight w:val="none"/>
        </w:rPr>
        <w:t>全程信号输出范围：0-20000μS/cm。</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6.3</w:t>
      </w:r>
      <w:r>
        <w:rPr>
          <w:rFonts w:hint="eastAsia" w:ascii="宋体" w:hAnsi="宋体" w:eastAsia="宋体" w:cs="宋体"/>
          <w:color w:val="auto"/>
          <w:sz w:val="24"/>
          <w:szCs w:val="24"/>
          <w:highlight w:val="none"/>
        </w:rPr>
        <w:t>电导池控温范围：15℃～55℃。</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6.4</w:t>
      </w:r>
      <w:r>
        <w:rPr>
          <w:rFonts w:hint="eastAsia" w:ascii="宋体" w:hAnsi="宋体" w:eastAsia="宋体" w:cs="宋体"/>
          <w:color w:val="auto"/>
          <w:sz w:val="24"/>
          <w:szCs w:val="24"/>
          <w:highlight w:val="none"/>
        </w:rPr>
        <w:t>电导池电极材料：钝化316不锈钢。</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6.5</w:t>
      </w:r>
      <w:r>
        <w:rPr>
          <w:rFonts w:hint="eastAsia" w:ascii="宋体" w:hAnsi="宋体" w:eastAsia="宋体" w:cs="宋体"/>
          <w:color w:val="auto"/>
          <w:sz w:val="24"/>
          <w:szCs w:val="24"/>
          <w:highlight w:val="none"/>
        </w:rPr>
        <w:t>电导池体材料：化学惰性聚合材料。</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6.6▲</w:t>
      </w:r>
      <w:r>
        <w:rPr>
          <w:rFonts w:hint="eastAsia" w:ascii="宋体" w:hAnsi="宋体" w:eastAsia="宋体" w:cs="宋体"/>
          <w:color w:val="auto"/>
          <w:sz w:val="24"/>
          <w:szCs w:val="24"/>
          <w:highlight w:val="none"/>
        </w:rPr>
        <w:t>检测器分辨率：≤0.002nS/cm。</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6.7</w:t>
      </w:r>
      <w:r>
        <w:rPr>
          <w:rFonts w:hint="eastAsia" w:ascii="宋体" w:hAnsi="宋体" w:eastAsia="宋体" w:cs="宋体"/>
          <w:color w:val="auto"/>
          <w:sz w:val="24"/>
          <w:szCs w:val="24"/>
          <w:highlight w:val="none"/>
        </w:rPr>
        <w:t>检测器可耐受最大压力：≥8MPa。</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6.8</w:t>
      </w:r>
      <w:r>
        <w:rPr>
          <w:rFonts w:hint="eastAsia" w:ascii="宋体" w:hAnsi="宋体" w:eastAsia="宋体" w:cs="宋体"/>
          <w:color w:val="auto"/>
          <w:sz w:val="24"/>
          <w:szCs w:val="24"/>
          <w:highlight w:val="none"/>
        </w:rPr>
        <w:t>信号采集频率：不低于90Hz，</w:t>
      </w:r>
      <w:bookmarkStart w:id="2" w:name="_Hlk133182842"/>
      <w:r>
        <w:rPr>
          <w:rFonts w:hint="eastAsia" w:ascii="宋体" w:hAnsi="宋体" w:eastAsia="宋体" w:cs="宋体"/>
          <w:color w:val="auto"/>
          <w:sz w:val="24"/>
          <w:szCs w:val="24"/>
          <w:highlight w:val="none"/>
        </w:rPr>
        <w:t>色谱图上显示的采集点数每秒不小于90个</w:t>
      </w:r>
      <w:bookmarkEnd w:id="2"/>
      <w:r>
        <w:rPr>
          <w:rFonts w:hint="eastAsia" w:ascii="宋体" w:hAnsi="宋体" w:eastAsia="宋体" w:cs="宋体"/>
          <w:color w:val="auto"/>
          <w:sz w:val="24"/>
          <w:szCs w:val="24"/>
          <w:highlight w:val="none"/>
        </w:rPr>
        <w:t>。</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7.在线电解淋洗液发生器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7.1★</w:t>
      </w:r>
      <w:r>
        <w:rPr>
          <w:rFonts w:hint="eastAsia" w:ascii="宋体" w:hAnsi="宋体" w:eastAsia="宋体" w:cs="宋体"/>
          <w:color w:val="auto"/>
          <w:sz w:val="24"/>
          <w:szCs w:val="24"/>
          <w:highlight w:val="none"/>
        </w:rPr>
        <w:t>产生方式：利用电解产生的H</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或OH</w:t>
      </w:r>
      <w:r>
        <w:rPr>
          <w:rFonts w:hint="eastAsia" w:ascii="宋体" w:hAnsi="宋体" w:eastAsia="宋体" w:cs="宋体"/>
          <w:color w:val="auto"/>
          <w:sz w:val="24"/>
          <w:szCs w:val="24"/>
          <w:highlight w:val="none"/>
          <w:vertAlign w:val="superscript"/>
        </w:rPr>
        <w:t>-</w:t>
      </w:r>
      <w:r>
        <w:rPr>
          <w:rFonts w:hint="eastAsia" w:ascii="宋体" w:hAnsi="宋体" w:eastAsia="宋体" w:cs="宋体"/>
          <w:color w:val="auto"/>
          <w:sz w:val="24"/>
          <w:szCs w:val="24"/>
          <w:highlight w:val="none"/>
        </w:rPr>
        <w:t>在线生成酸性或碱性淋洗液，而非通过加液单元进行不同溶液间的在线混合或稀释产生；</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7.2 </w:t>
      </w:r>
      <w:r>
        <w:rPr>
          <w:rFonts w:hint="eastAsia" w:ascii="宋体" w:hAnsi="宋体" w:eastAsia="宋体" w:cs="宋体"/>
          <w:color w:val="auto"/>
          <w:sz w:val="24"/>
          <w:szCs w:val="24"/>
          <w:highlight w:val="none"/>
        </w:rPr>
        <w:t>可实现等度和高压多步梯度。</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7.3 </w:t>
      </w:r>
      <w:r>
        <w:rPr>
          <w:rFonts w:hint="eastAsia" w:ascii="宋体" w:hAnsi="宋体" w:eastAsia="宋体" w:cs="宋体"/>
          <w:color w:val="auto"/>
          <w:sz w:val="24"/>
          <w:szCs w:val="24"/>
          <w:highlight w:val="none"/>
        </w:rPr>
        <w:t>有KOH、MSA和K</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CO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等多种电解淋洗液发生罐可选择。</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7.4</w:t>
      </w:r>
      <w:r>
        <w:rPr>
          <w:rFonts w:hint="eastAsia" w:ascii="宋体" w:hAnsi="宋体" w:eastAsia="宋体" w:cs="宋体"/>
          <w:color w:val="auto"/>
          <w:sz w:val="24"/>
          <w:szCs w:val="24"/>
          <w:highlight w:val="none"/>
        </w:rPr>
        <w:t>标配有与主机同品牌的连续电解自动再生捕获柱；</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7.5</w:t>
      </w:r>
      <w:r>
        <w:rPr>
          <w:rFonts w:hint="eastAsia" w:ascii="宋体" w:hAnsi="宋体" w:eastAsia="宋体" w:cs="宋体"/>
          <w:color w:val="auto"/>
          <w:sz w:val="24"/>
          <w:szCs w:val="24"/>
          <w:highlight w:val="none"/>
        </w:rPr>
        <w:t>标配有高压自动脱气装置，进行淋洗液脱气。</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7.6</w:t>
      </w:r>
      <w:r>
        <w:rPr>
          <w:rFonts w:hint="eastAsia" w:ascii="宋体" w:hAnsi="宋体" w:eastAsia="宋体" w:cs="宋体"/>
          <w:color w:val="auto"/>
          <w:sz w:val="24"/>
          <w:szCs w:val="24"/>
          <w:highlight w:val="none"/>
        </w:rPr>
        <w:t>软件控制：在软件中直接输入所需淋洗液浓度，而非编写百分比等其他非浓度参数；</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7.7</w:t>
      </w:r>
      <w:r>
        <w:rPr>
          <w:rFonts w:hint="eastAsia" w:ascii="宋体" w:hAnsi="宋体" w:eastAsia="宋体" w:cs="宋体"/>
          <w:color w:val="auto"/>
          <w:sz w:val="24"/>
          <w:szCs w:val="24"/>
          <w:highlight w:val="none"/>
        </w:rPr>
        <w:t>淋洗液发生罐最大耐压：≥5000psi；</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7.8</w:t>
      </w:r>
      <w:r>
        <w:rPr>
          <w:rFonts w:hint="eastAsia" w:ascii="宋体" w:hAnsi="宋体" w:eastAsia="宋体" w:cs="宋体"/>
          <w:color w:val="auto"/>
          <w:sz w:val="24"/>
          <w:szCs w:val="24"/>
          <w:highlight w:val="none"/>
        </w:rPr>
        <w:t>梯度产生曲率：1-9，任意数值可选；</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7.9</w:t>
      </w:r>
      <w:r>
        <w:rPr>
          <w:rFonts w:hint="eastAsia" w:ascii="宋体" w:hAnsi="宋体" w:eastAsia="宋体" w:cs="宋体"/>
          <w:color w:val="auto"/>
          <w:sz w:val="24"/>
          <w:szCs w:val="24"/>
          <w:highlight w:val="none"/>
        </w:rPr>
        <w:t>梯度产生：高压梯度，梯度产生在泵后高压区；</w:t>
      </w:r>
    </w:p>
    <w:p>
      <w:pPr>
        <w:keepNext w:val="0"/>
        <w:keepLines w:val="0"/>
        <w:pageBreakBefore w:val="0"/>
        <w:widowControl/>
        <w:kinsoku/>
        <w:wordWrap/>
        <w:overflowPunct/>
        <w:topLinePunct w:val="0"/>
        <w:autoSpaceDE/>
        <w:autoSpaceDN/>
        <w:bidi w:val="0"/>
        <w:adjustRightInd/>
        <w:snapToGrid/>
        <w:spacing w:line="360" w:lineRule="auto"/>
        <w:ind w:left="361"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7.10▲</w:t>
      </w:r>
      <w:r>
        <w:rPr>
          <w:rFonts w:hint="eastAsia" w:ascii="宋体" w:hAnsi="宋体" w:eastAsia="宋体" w:cs="宋体"/>
          <w:color w:val="auto"/>
          <w:sz w:val="24"/>
          <w:szCs w:val="24"/>
          <w:highlight w:val="none"/>
        </w:rPr>
        <w:t>梯度精度：≤±0.2%，需提供相关技术材料，包含但不限于检测报告；</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7.11</w:t>
      </w:r>
      <w:r>
        <w:rPr>
          <w:rFonts w:hint="eastAsia" w:ascii="宋体" w:hAnsi="宋体" w:eastAsia="宋体" w:cs="宋体"/>
          <w:color w:val="auto"/>
          <w:sz w:val="24"/>
          <w:szCs w:val="24"/>
          <w:highlight w:val="none"/>
        </w:rPr>
        <w:t>梯度准确度：≤±0.2%；</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8. </w:t>
      </w:r>
      <w:r>
        <w:rPr>
          <w:rFonts w:hint="eastAsia" w:ascii="宋体" w:hAnsi="宋体" w:eastAsia="宋体" w:cs="宋体"/>
          <w:color w:val="auto"/>
          <w:sz w:val="24"/>
          <w:szCs w:val="24"/>
          <w:highlight w:val="none"/>
        </w:rPr>
        <w:t>软件</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8.1 </w:t>
      </w:r>
      <w:r>
        <w:rPr>
          <w:rFonts w:hint="eastAsia" w:ascii="宋体" w:hAnsi="宋体" w:eastAsia="宋体" w:cs="宋体"/>
          <w:color w:val="auto"/>
          <w:sz w:val="24"/>
          <w:szCs w:val="24"/>
          <w:highlight w:val="none"/>
        </w:rPr>
        <w:t>操作界面模拟Microsoft®office等办公软件系统，易于学习和操作。</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eastAsia="宋体" w:cs="宋体"/>
          <w:color w:val="auto"/>
          <w:sz w:val="24"/>
          <w:szCs w:val="24"/>
          <w:highlight w:val="none"/>
        </w:rPr>
        <w:t>修改色谱图、校正曲线后可实时动态数据更新，可以对样品信息进行自定义搜索，快速查询数据。</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8.3 </w:t>
      </w:r>
      <w:r>
        <w:rPr>
          <w:rFonts w:hint="eastAsia" w:ascii="宋体" w:hAnsi="宋体" w:eastAsia="宋体" w:cs="宋体"/>
          <w:color w:val="auto"/>
          <w:sz w:val="24"/>
          <w:szCs w:val="24"/>
          <w:highlight w:val="none"/>
        </w:rPr>
        <w:t>可导出txt格式的原始数据，可输出PDF、EXCEL、cmbx、AnDI等格式文本；</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8.4▲</w:t>
      </w:r>
      <w:r>
        <w:rPr>
          <w:rFonts w:hint="eastAsia" w:ascii="宋体" w:hAnsi="宋体" w:eastAsia="宋体" w:cs="宋体"/>
          <w:color w:val="auto"/>
          <w:sz w:val="24"/>
          <w:szCs w:val="24"/>
          <w:highlight w:val="none"/>
        </w:rPr>
        <w:t>具有色谱峰智能积分功能，提供多种可视化的积分方式，一键选择即可完成智能积分，多种积分方式灵活快速切换。</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8.5</w:t>
      </w:r>
      <w:r>
        <w:rPr>
          <w:rFonts w:hint="eastAsia" w:ascii="宋体" w:hAnsi="宋体" w:eastAsia="宋体" w:cs="宋体"/>
          <w:color w:val="auto"/>
          <w:sz w:val="24"/>
          <w:szCs w:val="24"/>
          <w:highlight w:val="none"/>
        </w:rPr>
        <w:t>配有网页Flash虚拟柱软件技术，模拟仪器供应商同品牌10款以上阴离子色谱柱对30种以上阴离子和有机酸的分离效果，4款以上阳离子色谱柱对20种以上阳离子和有机胺的分离效果，可选配软件集成全功能版虚拟柱技术。</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 自动进样器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9.1★</w:t>
      </w:r>
      <w:r>
        <w:rPr>
          <w:rFonts w:hint="eastAsia" w:ascii="宋体" w:hAnsi="宋体" w:eastAsia="宋体" w:cs="宋体"/>
          <w:color w:val="auto"/>
          <w:sz w:val="24"/>
          <w:szCs w:val="24"/>
          <w:highlight w:val="none"/>
        </w:rPr>
        <w:t>进样针为PEEK材质，工作方式为极坐标定位方式，注射泵电磁阀取样，具有漏液传感器，可自动报警提示，具有满环进样、部分进样及无损进样等可选模式。</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9.2 </w:t>
      </w:r>
      <w:r>
        <w:rPr>
          <w:rFonts w:hint="eastAsia" w:ascii="宋体" w:hAnsi="宋体" w:eastAsia="宋体" w:cs="宋体"/>
          <w:color w:val="auto"/>
          <w:sz w:val="24"/>
          <w:szCs w:val="24"/>
          <w:highlight w:val="none"/>
        </w:rPr>
        <w:t>样品盘能放置1.5mL、10mL两种体积进样瓶，进样托盘个数≥3个，每个托盘上孔位数≥40位，合计样品盘应能放置≥120个1.5mL进样瓶，≥24个10mL进样瓶。</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9.3▲ </w:t>
      </w:r>
      <w:r>
        <w:rPr>
          <w:rFonts w:hint="eastAsia" w:ascii="宋体" w:hAnsi="宋体" w:eastAsia="宋体" w:cs="宋体"/>
          <w:color w:val="auto"/>
          <w:sz w:val="24"/>
          <w:szCs w:val="24"/>
          <w:highlight w:val="none"/>
        </w:rPr>
        <w:t>具有缺瓶报警、漏液报警、开关门感应灯自动化智能化功能，带有样品盘保护罩。</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9.4 </w:t>
      </w:r>
      <w:r>
        <w:rPr>
          <w:rFonts w:hint="eastAsia" w:ascii="宋体" w:hAnsi="宋体" w:eastAsia="宋体" w:cs="宋体"/>
          <w:color w:val="auto"/>
          <w:sz w:val="24"/>
          <w:szCs w:val="24"/>
          <w:highlight w:val="none"/>
        </w:rPr>
        <w:t>进样针清洗：具有独立清洗进样针内外壁的洗针位，不限次数进行进样针内外壁清洗，并具有吹干功能，可在样本间或每一针之间选择是否清洗；</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9.5 </w:t>
      </w:r>
      <w:r>
        <w:rPr>
          <w:rFonts w:hint="eastAsia" w:ascii="宋体" w:hAnsi="宋体" w:eastAsia="宋体" w:cs="宋体"/>
          <w:color w:val="auto"/>
          <w:sz w:val="24"/>
          <w:szCs w:val="24"/>
          <w:highlight w:val="none"/>
        </w:rPr>
        <w:t>进样针规格：标配：5000ul，可选配1000ul，2500ul；定量环规格：标配：500ul，可选配：250ul，100ul，缓冲环规格：标配：≥8.5mL。</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9.6▲</w:t>
      </w:r>
      <w:r>
        <w:rPr>
          <w:rFonts w:hint="eastAsia" w:ascii="宋体" w:hAnsi="宋体" w:eastAsia="宋体" w:cs="宋体"/>
          <w:color w:val="auto"/>
          <w:sz w:val="24"/>
          <w:szCs w:val="24"/>
          <w:highlight w:val="none"/>
        </w:rPr>
        <w:t>支持双系统顺序或者同时进样，具有加液、自动震荡、混匀等功能，可完成样品在线稀释。</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9.7▲</w:t>
      </w:r>
      <w:r>
        <w:rPr>
          <w:rFonts w:hint="eastAsia" w:ascii="宋体" w:hAnsi="宋体" w:eastAsia="宋体" w:cs="宋体"/>
          <w:color w:val="auto"/>
          <w:sz w:val="24"/>
          <w:szCs w:val="24"/>
          <w:highlight w:val="none"/>
        </w:rPr>
        <w:t>满环进样精密度：RSD≤0.3%。</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配置清单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11"/>
        <w:gridCol w:w="170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11"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701"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93"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双泵双系统离子色谱仪</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气管连接架</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电导检测器</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自动进样器</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可实现双系统同时进样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阴离子在线淋洗液发生器</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淋洗液托盘</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包括PP材质原厂淋洗液瓶4个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数字气压调节器</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柱温箱</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双系统管路</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操作软件</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软件授权文件</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气体调节阀</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电源线</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数根</w:t>
            </w:r>
          </w:p>
        </w:tc>
        <w:tc>
          <w:tcPr>
            <w:tcW w:w="1893"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连接仪器所需数量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不同型号阴离子分析柱</w:t>
            </w:r>
            <w:r>
              <w:rPr>
                <w:rFonts w:hint="eastAsia" w:ascii="宋体" w:hAnsi="宋体" w:eastAsia="宋体" w:cs="宋体"/>
                <w:color w:val="auto"/>
                <w:sz w:val="24"/>
                <w:szCs w:val="24"/>
                <w:highlight w:val="none"/>
              </w:rPr>
              <w:tab/>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与阴离子分析柱对应的保护柱以上</w:t>
            </w:r>
            <w:r>
              <w:rPr>
                <w:rFonts w:hint="eastAsia" w:ascii="宋体" w:hAnsi="宋体" w:eastAsia="宋体" w:cs="宋体"/>
                <w:color w:val="auto"/>
                <w:sz w:val="24"/>
                <w:szCs w:val="24"/>
                <w:highlight w:val="none"/>
              </w:rPr>
              <w:tab/>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6</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阴离子电解再生抑制器</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7</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阴离子调试标准溶液</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8</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不同型号阳离子分析柱</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19</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与阳离子分析柱对应的保护柱以上</w:t>
            </w:r>
            <w:r>
              <w:rPr>
                <w:rFonts w:hint="eastAsia" w:ascii="宋体" w:hAnsi="宋体" w:eastAsia="宋体" w:cs="宋体"/>
                <w:color w:val="auto"/>
                <w:sz w:val="24"/>
                <w:szCs w:val="24"/>
                <w:highlight w:val="none"/>
              </w:rPr>
              <w:tab/>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20</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阳离子电解再生抑制器</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1</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阳离子调试标准溶液</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2</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1.5ml样品瓶</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≥500个</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3</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10mL样品瓶</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≥100个</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4</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阴离子试剂盒</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5</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阴离子捕获柱</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6</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制作定量环管路</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≥5米</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7</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连接系统管路</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≥10米</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8</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小接头</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≥30个</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29</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小密封圈</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≥50个</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hAnsi="宋体" w:cs="宋体"/>
                <w:color w:val="auto"/>
                <w:sz w:val="24"/>
                <w:szCs w:val="24"/>
                <w:highlight w:val="none"/>
                <w:lang w:val="en-US" w:eastAsia="zh-CN"/>
              </w:rPr>
              <w:t>0</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大米粒</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≥30个</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hAnsi="宋体" w:cs="宋体"/>
                <w:color w:val="auto"/>
                <w:sz w:val="24"/>
                <w:szCs w:val="24"/>
                <w:highlight w:val="none"/>
                <w:lang w:val="en-US" w:eastAsia="zh-CN"/>
              </w:rPr>
              <w:t>1</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大接头</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≥30个</w:t>
            </w:r>
          </w:p>
        </w:tc>
        <w:tc>
          <w:tcPr>
            <w:tcW w:w="1893" w:type="dxa"/>
            <w:vAlign w:val="center"/>
          </w:tcPr>
          <w:p>
            <w:pPr>
              <w:pStyle w:val="2"/>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hAnsi="宋体" w:cs="宋体"/>
                <w:color w:val="auto"/>
                <w:sz w:val="24"/>
                <w:szCs w:val="24"/>
                <w:highlight w:val="none"/>
                <w:lang w:val="en-US" w:eastAsia="zh-CN"/>
              </w:rPr>
              <w:t>2</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软件安装电脑</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品牌电脑 I7/16G/1T/集成/</w:t>
            </w:r>
            <w:r>
              <w:rPr>
                <w:rFonts w:hint="eastAsia" w:ascii="宋体" w:hAnsi="宋体" w:eastAsia="宋体" w:cs="宋体"/>
                <w:color w:val="auto"/>
                <w:kern w:val="0"/>
                <w:sz w:val="24"/>
                <w:szCs w:val="24"/>
                <w:highlight w:val="none"/>
              </w:rPr>
              <w:t>win11/23寸显示器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hAnsi="宋体" w:cs="宋体"/>
                <w:color w:val="auto"/>
                <w:sz w:val="24"/>
                <w:szCs w:val="24"/>
                <w:highlight w:val="none"/>
                <w:lang w:val="en-US" w:eastAsia="zh-CN"/>
              </w:rPr>
              <w:t>3</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台式打印机</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c>
          <w:tcPr>
            <w:tcW w:w="1893"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激光打印机，可扫描、复印，彩色打印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hAnsi="宋体" w:cs="宋体"/>
                <w:color w:val="auto"/>
                <w:sz w:val="24"/>
                <w:szCs w:val="24"/>
                <w:highlight w:val="none"/>
                <w:lang w:val="en-US" w:eastAsia="zh-CN"/>
              </w:rPr>
              <w:t>4</w:t>
            </w:r>
          </w:p>
        </w:tc>
        <w:tc>
          <w:tcPr>
            <w:tcW w:w="4111" w:type="dxa"/>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不间断电源</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1893"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功率≥6KVA，延时≥2小时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hAnsi="宋体" w:cs="宋体"/>
                <w:color w:val="auto"/>
                <w:sz w:val="24"/>
                <w:szCs w:val="24"/>
                <w:highlight w:val="none"/>
                <w:lang w:val="en-US" w:eastAsia="zh-CN"/>
              </w:rPr>
              <w:t>5</w:t>
            </w:r>
          </w:p>
        </w:tc>
        <w:tc>
          <w:tcPr>
            <w:tcW w:w="411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高纯氮气</w:t>
            </w:r>
          </w:p>
        </w:tc>
        <w:tc>
          <w:tcPr>
            <w:tcW w:w="1701"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1瓶</w:t>
            </w:r>
          </w:p>
        </w:tc>
        <w:tc>
          <w:tcPr>
            <w:tcW w:w="1893" w:type="dxa"/>
            <w:vAlign w:val="center"/>
          </w:tcPr>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纯度99.99%以上，</w:t>
            </w:r>
            <w:r>
              <w:rPr>
                <w:rFonts w:hint="eastAsia" w:ascii="宋体" w:hAnsi="宋体" w:eastAsia="宋体" w:cs="宋体"/>
                <w:color w:val="auto"/>
                <w:sz w:val="24"/>
                <w:szCs w:val="24"/>
                <w:highlight w:val="none"/>
              </w:rPr>
              <w:t>包括配套管路、气瓶柜</w:t>
            </w:r>
          </w:p>
        </w:tc>
      </w:tr>
    </w:tbl>
    <w:p>
      <w:pPr>
        <w:pStyle w:val="2"/>
        <w:numPr>
          <w:numId w:val="0"/>
        </w:numPr>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五、售后和培训</w:t>
      </w:r>
    </w:p>
    <w:p>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color w:val="auto"/>
          <w:sz w:val="24"/>
          <w:szCs w:val="24"/>
          <w:highlight w:val="none"/>
        </w:rPr>
        <w:t>设备应在合同签订后，15日内到货。</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 </w:t>
      </w:r>
      <w:r>
        <w:rPr>
          <w:rFonts w:hint="eastAsia" w:ascii="宋体" w:hAnsi="宋体" w:eastAsia="宋体" w:cs="宋体"/>
          <w:color w:val="auto"/>
          <w:sz w:val="24"/>
          <w:szCs w:val="24"/>
          <w:highlight w:val="none"/>
        </w:rPr>
        <w:t>设备供应商在西安本地有专业的维修站，能及时为用户提供备件和相应维修服务，自用户报修时间起算，24h内需提供相应解决方案，48h内应提供上门维修服务。</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自设备安装调试并正常投入使用后起,主机及相关配套设备质保期≥1年，在质保期内需要的所有配件和服务须全部免收费用；保修期外，供应商及时为用户提供备件和相应维修服务，并收取合理费用。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设备到货后，由设备制造商授权的专业技术人员到现场免费进行安装调试，确保仪器技术指标验收合格，并提供现场培训，内容包括仪器的基本原理、操作应用及仪器的维护保养知识，直到用户能正常使用和维护仪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color w:val="auto"/>
          <w:sz w:val="24"/>
          <w:szCs w:val="24"/>
          <w:highlight w:val="none"/>
        </w:rPr>
        <w:t xml:space="preserve"> 厂家提供仪器使用手册、培训教材、应用文章等，并长期提供技术支持。</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color w:val="auto"/>
          <w:sz w:val="24"/>
          <w:szCs w:val="24"/>
          <w:highlight w:val="none"/>
        </w:rPr>
        <w:t>进阶培训：供应商为每台设备免费提供2次仪器应用方面的的进阶培训，可以是供应商方举办的，也可以是仪器应用相关领域举办的，此培训名额仪器使用期间长期有效。</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sz w:val="24"/>
          <w:szCs w:val="28"/>
          <w:lang w:val="en-US" w:eastAsia="zh-CN"/>
        </w:rPr>
      </w:pPr>
      <w:r>
        <w:rPr>
          <w:rFonts w:hint="eastAsia"/>
          <w:b/>
          <w:bCs/>
          <w:sz w:val="24"/>
          <w:szCs w:val="28"/>
        </w:rPr>
        <w:t>备注：</w:t>
      </w:r>
      <w:r>
        <w:rPr>
          <w:rFonts w:hint="eastAsia"/>
          <w:b/>
          <w:bCs/>
          <w:sz w:val="24"/>
          <w:szCs w:val="28"/>
          <w:lang w:val="en-US" w:eastAsia="zh-CN"/>
        </w:rPr>
        <w:t>1.标★为重要参数，提供相关证明文件,若未响应,按无效投标处理。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yellow"/>
          <w:lang w:val="zh-TW" w:eastAsia="zh-TW" w:bidi="zh-TW"/>
        </w:rPr>
      </w:pPr>
      <w:r>
        <w:rPr>
          <w:rFonts w:hint="eastAsia"/>
          <w:b/>
          <w:bCs/>
          <w:sz w:val="24"/>
          <w:szCs w:val="28"/>
          <w:lang w:val="en-US" w:eastAsia="zh-CN"/>
        </w:rPr>
        <w:t>2.标</w:t>
      </w:r>
      <w:r>
        <w:rPr>
          <w:rFonts w:hint="eastAsia"/>
          <w:b/>
          <w:bCs/>
          <w:sz w:val="24"/>
          <w:szCs w:val="28"/>
        </w:rPr>
        <w:t>▲项，供应商需提供技术证明材料。</w:t>
      </w:r>
      <w:bookmarkStart w:id="3" w:name="_GoBack"/>
      <w:bookmarkEnd w:id="3"/>
    </w:p>
    <w:p>
      <w:pPr>
        <w:pStyle w:val="14"/>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六</w:t>
      </w:r>
      <w:r>
        <w:rPr>
          <w:rFonts w:hint="eastAsia" w:asciiTheme="minorEastAsia" w:hAnsiTheme="minorEastAsia" w:eastAsiaTheme="minorEastAsia" w:cstheme="minorEastAsia"/>
          <w:b/>
          <w:bCs/>
          <w:sz w:val="24"/>
          <w:szCs w:val="24"/>
          <w:highlight w:val="none"/>
        </w:rPr>
        <w:t>、商务要求</w:t>
      </w:r>
    </w:p>
    <w:p>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bCs/>
          <w:sz w:val="24"/>
          <w:szCs w:val="24"/>
          <w:highlight w:val="none"/>
          <w:lang w:val="en-US"/>
        </w:rPr>
      </w:pPr>
      <w:r>
        <w:rPr>
          <w:rFonts w:hint="eastAsia" w:ascii="宋体" w:hAnsi="宋体"/>
          <w:bCs/>
          <w:sz w:val="24"/>
          <w:szCs w:val="24"/>
          <w:highlight w:val="none"/>
          <w:lang w:val="en-US" w:eastAsia="zh-CN"/>
        </w:rPr>
        <w:t xml:space="preserve">合同签订后，乙方须按其招标文件中响应的交货期按时交货并提供全额合规发票保证“货票同行”，到达甲方指定地点，安装、调试完毕并验收合格后 ，达到付款条件起 30 日内，支付合同总金额的 100.00%。 </w:t>
      </w:r>
    </w:p>
    <w:p>
      <w:pPr>
        <w:pStyle w:val="14"/>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七</w:t>
      </w:r>
      <w:r>
        <w:rPr>
          <w:rFonts w:hint="eastAsia" w:asciiTheme="minorEastAsia" w:hAnsiTheme="minorEastAsia" w:eastAsiaTheme="minorEastAsia" w:cstheme="minorEastAsia"/>
          <w:b/>
          <w:bCs/>
          <w:sz w:val="24"/>
          <w:szCs w:val="24"/>
          <w:highlight w:val="none"/>
        </w:rPr>
        <w:t>、其他</w:t>
      </w:r>
    </w:p>
    <w:p>
      <w:pPr>
        <w:pStyle w:val="14"/>
        <w:keepNext w:val="0"/>
        <w:keepLines w:val="0"/>
        <w:pageBreakBefore w:val="0"/>
        <w:tabs>
          <w:tab w:val="left" w:pos="1645"/>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（一）质量验收标准或规范</w:t>
      </w:r>
    </w:p>
    <w:p>
      <w:pPr>
        <w:pStyle w:val="14"/>
        <w:keepNext w:val="0"/>
        <w:keepLines w:val="0"/>
        <w:pageBreakBefore w:val="0"/>
        <w:tabs>
          <w:tab w:val="left" w:pos="1645"/>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质量要求：达到国家现行质量验收规范合格标准。</w:t>
      </w:r>
    </w:p>
    <w:p>
      <w:pPr>
        <w:pStyle w:val="14"/>
        <w:keepNext w:val="0"/>
        <w:keepLines w:val="0"/>
        <w:pageBreakBefore w:val="0"/>
        <w:tabs>
          <w:tab w:val="left" w:pos="1645"/>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质保期：一年</w:t>
      </w:r>
    </w:p>
    <w:p>
      <w:pPr>
        <w:pStyle w:val="14"/>
        <w:keepNext w:val="0"/>
        <w:keepLines w:val="0"/>
        <w:pageBreakBefore w:val="0"/>
        <w:tabs>
          <w:tab w:val="left" w:pos="1645"/>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eastAsia="zh-CN"/>
        </w:rPr>
        <w:t>）违约责任</w:t>
      </w:r>
    </w:p>
    <w:p>
      <w:pPr>
        <w:pStyle w:val="14"/>
        <w:keepNext w:val="0"/>
        <w:keepLines w:val="0"/>
        <w:pageBreakBefore w:val="0"/>
        <w:tabs>
          <w:tab w:val="left" w:pos="1645"/>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sz w:val="24"/>
          <w:highlight w:val="none"/>
          <w:lang w:val="en-US"/>
        </w:rPr>
      </w:pPr>
      <w:r>
        <w:rPr>
          <w:rFonts w:hint="eastAsia" w:asciiTheme="minorEastAsia" w:hAnsiTheme="minorEastAsia" w:cstheme="minorEastAsia"/>
          <w:sz w:val="24"/>
          <w:highlight w:val="none"/>
          <w:lang w:val="en-US"/>
        </w:rPr>
        <w:t>1、甲乙双方必须遵守本合同并执行合同中的各项规定，保证本合同的正常履行。</w:t>
      </w:r>
    </w:p>
    <w:p>
      <w:pPr>
        <w:pStyle w:val="14"/>
        <w:keepNext w:val="0"/>
        <w:keepLines w:val="0"/>
        <w:pageBreakBefore w:val="0"/>
        <w:tabs>
          <w:tab w:val="left" w:pos="1645"/>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sz w:val="24"/>
          <w:highlight w:val="none"/>
          <w:lang w:val="en-US"/>
        </w:rPr>
      </w:pPr>
      <w:r>
        <w:rPr>
          <w:rFonts w:hint="eastAsia" w:asciiTheme="minorEastAsia" w:hAnsiTheme="minorEastAsia" w:cstheme="minorEastAsia"/>
          <w:sz w:val="24"/>
          <w:highlight w:val="none"/>
          <w:lang w:val="en-US"/>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pPr>
    </w:p>
    <w:p>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pPr>
    </w:p>
    <w:p>
      <w:pPr>
        <w:pStyle w:val="10"/>
      </w:pPr>
    </w:p>
    <w:p>
      <w:pPr>
        <w:pStyle w:val="10"/>
        <w:jc w:val="right"/>
        <w:rPr>
          <w:rFonts w:hint="default" w:ascii="宋体" w:hAnsi="宋体" w:eastAsia="宋体" w:cs="宋体"/>
          <w:color w:val="333333"/>
          <w:kern w:val="2"/>
          <w:sz w:val="28"/>
          <w:szCs w:val="28"/>
          <w:lang w:val="en-US" w:eastAsia="zh-CN" w:bidi="ar"/>
        </w:rPr>
      </w:pPr>
      <w:r>
        <w:rPr>
          <w:rFonts w:hint="eastAsia" w:eastAsia="宋体"/>
          <w:lang w:val="en-US" w:eastAsia="zh-CN"/>
        </w:rPr>
        <w:t xml:space="preserve"> </w:t>
      </w:r>
      <w:r>
        <w:rPr>
          <w:rFonts w:hint="eastAsia" w:eastAsia="宋体"/>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10EBB"/>
    <w:multiLevelType w:val="singleLevel"/>
    <w:tmpl w:val="C7610EBB"/>
    <w:lvl w:ilvl="0" w:tentative="0">
      <w:start w:val="4"/>
      <w:numFmt w:val="chineseCounting"/>
      <w:suff w:val="nothing"/>
      <w:lvlText w:val="%1、"/>
      <w:lvlJc w:val="left"/>
      <w:rPr>
        <w:rFonts w:hint="eastAsia"/>
      </w:rPr>
    </w:lvl>
  </w:abstractNum>
  <w:abstractNum w:abstractNumId="1">
    <w:nsid w:val="45C0F677"/>
    <w:multiLevelType w:val="singleLevel"/>
    <w:tmpl w:val="45C0F6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ZWNiMmE2ZThlNzQxZWQ4MWY5Yzg4NzMyN2IwZTkifQ=="/>
  </w:docVars>
  <w:rsids>
    <w:rsidRoot w:val="4481646D"/>
    <w:rsid w:val="00007D91"/>
    <w:rsid w:val="000B6281"/>
    <w:rsid w:val="00134E6D"/>
    <w:rsid w:val="0016743D"/>
    <w:rsid w:val="0017333B"/>
    <w:rsid w:val="001F30A4"/>
    <w:rsid w:val="001F3338"/>
    <w:rsid w:val="002E7F2A"/>
    <w:rsid w:val="00306D25"/>
    <w:rsid w:val="005B044A"/>
    <w:rsid w:val="005E6E68"/>
    <w:rsid w:val="006E0624"/>
    <w:rsid w:val="007114BF"/>
    <w:rsid w:val="008A77F8"/>
    <w:rsid w:val="008D7288"/>
    <w:rsid w:val="00902049"/>
    <w:rsid w:val="009A59C1"/>
    <w:rsid w:val="009F52EA"/>
    <w:rsid w:val="00B37D57"/>
    <w:rsid w:val="00F63D8D"/>
    <w:rsid w:val="029A40BC"/>
    <w:rsid w:val="065B7390"/>
    <w:rsid w:val="07F910B5"/>
    <w:rsid w:val="0B3C7C36"/>
    <w:rsid w:val="0C544F46"/>
    <w:rsid w:val="10294501"/>
    <w:rsid w:val="10A2678D"/>
    <w:rsid w:val="122A4C8C"/>
    <w:rsid w:val="147E4739"/>
    <w:rsid w:val="19573E8D"/>
    <w:rsid w:val="19ED47E1"/>
    <w:rsid w:val="1BCC1BF3"/>
    <w:rsid w:val="1C253AFF"/>
    <w:rsid w:val="1E036392"/>
    <w:rsid w:val="1ED84584"/>
    <w:rsid w:val="231733B8"/>
    <w:rsid w:val="23C2588F"/>
    <w:rsid w:val="25286D7B"/>
    <w:rsid w:val="27071C81"/>
    <w:rsid w:val="27FA11D1"/>
    <w:rsid w:val="290F2AE0"/>
    <w:rsid w:val="2BA77282"/>
    <w:rsid w:val="2C027C88"/>
    <w:rsid w:val="2CEF7369"/>
    <w:rsid w:val="2D75519B"/>
    <w:rsid w:val="2DF126AA"/>
    <w:rsid w:val="2F38421D"/>
    <w:rsid w:val="38877E93"/>
    <w:rsid w:val="3EA17ADE"/>
    <w:rsid w:val="3F9707F3"/>
    <w:rsid w:val="40A47108"/>
    <w:rsid w:val="40B74FA1"/>
    <w:rsid w:val="43903DE4"/>
    <w:rsid w:val="43E6432D"/>
    <w:rsid w:val="445F0F8D"/>
    <w:rsid w:val="4481646D"/>
    <w:rsid w:val="45CC3389"/>
    <w:rsid w:val="489E1A9B"/>
    <w:rsid w:val="489F5D8C"/>
    <w:rsid w:val="49284D7B"/>
    <w:rsid w:val="4A6A13C3"/>
    <w:rsid w:val="4ABB531C"/>
    <w:rsid w:val="4C3B4DC5"/>
    <w:rsid w:val="50343001"/>
    <w:rsid w:val="528F19C6"/>
    <w:rsid w:val="52CE3A5A"/>
    <w:rsid w:val="531458FF"/>
    <w:rsid w:val="572B714D"/>
    <w:rsid w:val="580D410C"/>
    <w:rsid w:val="58DC348C"/>
    <w:rsid w:val="5B644AC2"/>
    <w:rsid w:val="5CC824B9"/>
    <w:rsid w:val="5DB944DA"/>
    <w:rsid w:val="5F977236"/>
    <w:rsid w:val="62862300"/>
    <w:rsid w:val="63B374DF"/>
    <w:rsid w:val="641066DF"/>
    <w:rsid w:val="659A6BA8"/>
    <w:rsid w:val="6B7E3C77"/>
    <w:rsid w:val="6C477830"/>
    <w:rsid w:val="6E4C4AC9"/>
    <w:rsid w:val="71AD65AB"/>
    <w:rsid w:val="73BF0C20"/>
    <w:rsid w:val="7614241F"/>
    <w:rsid w:val="762B1157"/>
    <w:rsid w:val="79C45B4A"/>
    <w:rsid w:val="7A3F1D95"/>
    <w:rsid w:val="7EA4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3">
    <w:name w:val="Default Paragraph Font"/>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Body Text"/>
    <w:basedOn w:val="1"/>
    <w:next w:val="1"/>
    <w:qFormat/>
    <w:uiPriority w:val="99"/>
    <w:pPr>
      <w:spacing w:after="120"/>
    </w:pPr>
  </w:style>
  <w:style w:type="paragraph" w:styleId="4">
    <w:name w:val="Body Text Indent"/>
    <w:basedOn w:val="1"/>
    <w:next w:val="5"/>
    <w:link w:val="23"/>
    <w:qFormat/>
    <w:uiPriority w:val="0"/>
    <w:pPr>
      <w:spacing w:after="120"/>
      <w:ind w:left="420" w:leftChars="200"/>
    </w:pPr>
  </w:style>
  <w:style w:type="paragraph" w:customStyle="1" w:styleId="5">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6">
    <w:name w:val="footer"/>
    <w:basedOn w:val="1"/>
    <w:link w:val="22"/>
    <w:qFormat/>
    <w:uiPriority w:val="0"/>
    <w:pPr>
      <w:tabs>
        <w:tab w:val="center" w:pos="4153"/>
        <w:tab w:val="right" w:pos="8306"/>
      </w:tabs>
      <w:snapToGrid w:val="0"/>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qFormat/>
    <w:uiPriority w:val="0"/>
    <w:pPr>
      <w:adjustRightInd w:val="0"/>
      <w:spacing w:after="0"/>
      <w:ind w:firstLine="420"/>
      <w:textAlignment w:val="baseline"/>
    </w:pPr>
  </w:style>
  <w:style w:type="paragraph" w:styleId="10">
    <w:name w:val="Body Text First Indent 2"/>
    <w:basedOn w:val="4"/>
    <w:link w:val="24"/>
    <w:qFormat/>
    <w:uiPriority w:val="99"/>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Body text|1"/>
    <w:basedOn w:val="1"/>
    <w:qFormat/>
    <w:uiPriority w:val="0"/>
    <w:pPr>
      <w:spacing w:line="396" w:lineRule="auto"/>
      <w:ind w:firstLine="400"/>
    </w:pPr>
    <w:rPr>
      <w:rFonts w:ascii="宋体" w:hAnsi="宋体" w:eastAsia="宋体" w:cs="宋体"/>
      <w:sz w:val="30"/>
      <w:szCs w:val="30"/>
      <w:lang w:val="zh-TW" w:eastAsia="zh-TW" w:bidi="zh-TW"/>
    </w:rPr>
  </w:style>
  <w:style w:type="paragraph" w:customStyle="1" w:styleId="15">
    <w:name w:val="Other|1"/>
    <w:basedOn w:val="1"/>
    <w:qFormat/>
    <w:uiPriority w:val="0"/>
    <w:pPr>
      <w:spacing w:line="396" w:lineRule="auto"/>
      <w:ind w:firstLine="400"/>
    </w:pPr>
    <w:rPr>
      <w:rFonts w:ascii="宋体" w:hAnsi="宋体" w:eastAsia="宋体" w:cs="宋体"/>
      <w:sz w:val="30"/>
      <w:szCs w:val="30"/>
      <w:lang w:val="zh-TW" w:eastAsia="zh-TW" w:bidi="zh-TW"/>
    </w:rPr>
  </w:style>
  <w:style w:type="paragraph" w:customStyle="1" w:styleId="16">
    <w:name w:val="Table caption|1"/>
    <w:basedOn w:val="1"/>
    <w:qFormat/>
    <w:uiPriority w:val="0"/>
    <w:pPr>
      <w:spacing w:line="624" w:lineRule="exact"/>
      <w:ind w:firstLine="640"/>
    </w:pPr>
    <w:rPr>
      <w:rFonts w:ascii="宋体" w:hAnsi="宋体" w:eastAsia="宋体" w:cs="宋体"/>
      <w:sz w:val="30"/>
      <w:szCs w:val="30"/>
      <w:lang w:val="zh-TW" w:eastAsia="zh-TW" w:bidi="zh-TW"/>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font71"/>
    <w:basedOn w:val="13"/>
    <w:qFormat/>
    <w:uiPriority w:val="0"/>
    <w:rPr>
      <w:rFonts w:hint="eastAsia" w:ascii="宋体" w:hAnsi="宋体" w:eastAsia="宋体" w:cs="宋体"/>
      <w:color w:val="000000"/>
      <w:sz w:val="24"/>
      <w:szCs w:val="24"/>
      <w:u w:val="none"/>
    </w:rPr>
  </w:style>
  <w:style w:type="character" w:customStyle="1" w:styleId="19">
    <w:name w:val="font101"/>
    <w:basedOn w:val="13"/>
    <w:qFormat/>
    <w:uiPriority w:val="0"/>
    <w:rPr>
      <w:rFonts w:hint="default" w:ascii="Times New Roman" w:hAnsi="Times New Roman" w:cs="Times New Roman"/>
      <w:color w:val="000000"/>
      <w:sz w:val="24"/>
      <w:szCs w:val="24"/>
      <w:u w:val="none"/>
    </w:r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1">
    <w:name w:val="页眉 Char"/>
    <w:basedOn w:val="13"/>
    <w:link w:val="7"/>
    <w:qFormat/>
    <w:uiPriority w:val="0"/>
    <w:rPr>
      <w:rFonts w:ascii="Times New Roman" w:hAnsi="Times New Roman" w:eastAsia="Times New Roman" w:cs="Times New Roman"/>
      <w:color w:val="000000"/>
      <w:sz w:val="18"/>
      <w:szCs w:val="18"/>
      <w:lang w:eastAsia="en-US" w:bidi="en-US"/>
    </w:rPr>
  </w:style>
  <w:style w:type="character" w:customStyle="1" w:styleId="22">
    <w:name w:val="页脚 Char"/>
    <w:basedOn w:val="13"/>
    <w:link w:val="6"/>
    <w:qFormat/>
    <w:uiPriority w:val="0"/>
    <w:rPr>
      <w:rFonts w:ascii="Times New Roman" w:hAnsi="Times New Roman" w:eastAsia="Times New Roman" w:cs="Times New Roman"/>
      <w:color w:val="000000"/>
      <w:sz w:val="18"/>
      <w:szCs w:val="18"/>
      <w:lang w:eastAsia="en-US" w:bidi="en-US"/>
    </w:rPr>
  </w:style>
  <w:style w:type="character" w:customStyle="1" w:styleId="23">
    <w:name w:val="正文文本缩进 Char"/>
    <w:basedOn w:val="13"/>
    <w:link w:val="4"/>
    <w:qFormat/>
    <w:uiPriority w:val="0"/>
    <w:rPr>
      <w:kern w:val="2"/>
      <w:sz w:val="21"/>
      <w:szCs w:val="24"/>
    </w:rPr>
  </w:style>
  <w:style w:type="character" w:customStyle="1" w:styleId="24">
    <w:name w:val="正文首行缩进 2 Char"/>
    <w:basedOn w:val="23"/>
    <w:link w:val="10"/>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5863</Words>
  <Characters>6659</Characters>
  <Lines>57</Lines>
  <Paragraphs>16</Paragraphs>
  <TotalTime>0</TotalTime>
  <ScaleCrop>false</ScaleCrop>
  <LinksUpToDate>false</LinksUpToDate>
  <CharactersWithSpaces>6764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2021-10-20T01:19:00Z</dcterms:created>
  <dc:creator>Administrator</dc:creator>
  <cp:lastModifiedBy>妍妍</cp:lastModifiedBy>
  <dcterms:modified xsi:type="dcterms:W3CDTF">2024-05-22T07:31:20Z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D8FCF385380F41698BD5BDA10C7F4FC4_13</vt:lpwstr>
  </property>
</Properties>
</file>