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4"/>
        <w:widowControl/>
        <w:jc w:val="center"/>
        <w:outlineLvl w:val="2"/>
        <w:rPr>
          <w:rFonts w:hint="default"/>
          <w:b/>
          <w:bCs w:val="0"/>
          <w:sz w:val="30"/>
          <w:szCs w:val="30"/>
          <w:lang w:val="en-US" w:eastAsia="zh-CN"/>
        </w:rPr>
      </w:pPr>
      <w:r>
        <w:rPr>
          <w:rFonts w:hint="eastAsia"/>
          <w:b/>
          <w:bCs w:val="0"/>
          <w:sz w:val="30"/>
          <w:szCs w:val="30"/>
          <w:lang w:val="en-US" w:eastAsia="zh-CN"/>
        </w:rPr>
        <w:t>采购需求</w:t>
      </w:r>
    </w:p>
    <w:p>
      <w:pPr>
        <w:rPr>
          <w:rFonts w:hint="eastAsia"/>
          <w:lang w:val="en-US" w:eastAsia="zh-CN"/>
        </w:rPr>
      </w:pPr>
    </w:p>
    <w:p>
      <w:pPr>
        <w:keepNext w:val="0"/>
        <w:keepLines w:val="0"/>
        <w:widowControl/>
        <w:suppressLineNumbers w:val="0"/>
        <w:spacing w:line="360" w:lineRule="auto"/>
        <w:jc w:val="left"/>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全省政府网站与政务新媒体第三方检查监测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根据《关于印发政府网站与政务新媒体检查指标、监管工作年度考核指标的通知》（国办秘函〔2019〕19号）要求，对《指标》中的单项否决、扣分指标和加分指标3部分进行检查，</w:t>
      </w:r>
      <w:r>
        <w:rPr>
          <w:rFonts w:hint="eastAsia" w:ascii="宋体" w:hAnsi="宋体" w:eastAsia="宋体" w:cs="宋体"/>
          <w:color w:val="000000"/>
          <w:kern w:val="0"/>
          <w:sz w:val="19"/>
          <w:szCs w:val="19"/>
          <w:lang w:val="en-US" w:eastAsia="zh-CN" w:bidi="ar"/>
        </w:rPr>
        <w:t>必要时可按需增加检测内容</w:t>
      </w:r>
      <w:r>
        <w:rPr>
          <w:rFonts w:hint="eastAsia" w:ascii="宋体" w:hAnsi="宋体" w:eastAsia="宋体" w:cs="宋体"/>
          <w:color w:val="333333"/>
          <w:kern w:val="0"/>
          <w:sz w:val="21"/>
          <w:szCs w:val="21"/>
          <w:lang w:val="en-US" w:eastAsia="zh-CN" w:bidi="ar"/>
        </w:rPr>
        <w:t>；完成政府网站及政务新媒体检查相关支撑工作，包括国家关于政府网站及政务新媒体建设管理相关要求落实情况检测；完成甲方交付的其他工作。</w:t>
      </w:r>
    </w:p>
    <w:p>
      <w:pPr>
        <w:keepNext w:val="0"/>
        <w:keepLines w:val="0"/>
        <w:widowControl/>
        <w:suppressLineNumbers w:val="0"/>
        <w:jc w:val="left"/>
        <w:rPr>
          <w:rFonts w:hint="eastAsia" w:ascii="宋体" w:hAnsi="宋体" w:eastAsia="宋体" w:cs="宋体"/>
          <w:color w:val="333333"/>
          <w:kern w:val="0"/>
          <w:sz w:val="21"/>
          <w:szCs w:val="21"/>
          <w:lang w:val="en-US" w:eastAsia="zh-CN" w:bidi="ar"/>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autofit"/>
        <w:tblCellMar>
          <w:top w:w="0" w:type="dxa"/>
          <w:left w:w="108" w:type="dxa"/>
          <w:bottom w:w="0" w:type="dxa"/>
          <w:right w:w="108" w:type="dxa"/>
        </w:tblCellMar>
      </w:tblPr>
      <w:tblGrid>
        <w:gridCol w:w="826"/>
        <w:gridCol w:w="826"/>
        <w:gridCol w:w="829"/>
        <w:gridCol w:w="1416"/>
        <w:gridCol w:w="826"/>
        <w:gridCol w:w="826"/>
        <w:gridCol w:w="826"/>
        <w:gridCol w:w="827"/>
        <w:gridCol w:w="827"/>
        <w:gridCol w:w="8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108" w:type="dxa"/>
            <w:bottom w:w="0" w:type="dxa"/>
            <w:right w:w="108" w:type="dxa"/>
          </w:tblCellMar>
        </w:tblPrEx>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bdr w:val="none" w:color="auto" w:sz="0" w:space="0"/>
                <w:lang w:val="en-US"/>
              </w:rPr>
            </w:pPr>
            <w:r>
              <w:rPr>
                <w:rFonts w:hint="eastAsia" w:ascii="Calibri" w:hAnsi="Calibri" w:eastAsia="宋体" w:cs="宋体"/>
                <w:bdr w:val="none" w:color="auto" w:sz="0" w:space="0"/>
                <w:lang w:eastAsia="zh-CN"/>
              </w:rPr>
              <w:t>序号</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bdr w:val="none" w:color="auto" w:sz="0" w:space="0"/>
                <w:lang w:val="en-US"/>
              </w:rPr>
            </w:pPr>
            <w:r>
              <w:rPr>
                <w:rFonts w:hint="eastAsia" w:ascii="Calibri" w:hAnsi="Calibri" w:eastAsia="宋体" w:cs="宋体"/>
                <w:bdr w:val="none" w:color="auto" w:sz="0" w:space="0"/>
                <w:lang w:eastAsia="zh-CN"/>
              </w:rPr>
              <w:t>标的名称</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bdr w:val="none" w:color="auto" w:sz="0" w:space="0"/>
                <w:lang w:val="en-US"/>
              </w:rPr>
            </w:pPr>
            <w:r>
              <w:rPr>
                <w:rFonts w:hint="eastAsia" w:ascii="Calibri" w:hAnsi="Calibri" w:eastAsia="宋体" w:cs="宋体"/>
                <w:bdr w:val="none" w:color="auto" w:sz="0" w:space="0"/>
                <w:lang w:eastAsia="zh-CN"/>
              </w:rPr>
              <w:t>数量</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rFonts w:hint="eastAsia" w:ascii="Calibri" w:hAnsi="Calibri" w:eastAsia="宋体" w:cs="宋体"/>
                <w:bdr w:val="none" w:color="auto" w:sz="0" w:space="0"/>
                <w:lang w:eastAsia="zh-CN"/>
              </w:rPr>
            </w:pPr>
            <w:r>
              <w:rPr>
                <w:rFonts w:hint="eastAsia" w:ascii="Calibri" w:hAnsi="Calibri" w:eastAsia="宋体" w:cs="宋体"/>
                <w:bdr w:val="none" w:color="auto" w:sz="0" w:space="0"/>
                <w:lang w:eastAsia="zh-CN"/>
              </w:rPr>
              <w:t>标的金额</w:t>
            </w:r>
          </w:p>
          <w:p>
            <w:pPr>
              <w:pStyle w:val="4"/>
              <w:widowControl/>
              <w:jc w:val="center"/>
              <w:rPr>
                <w:bdr w:val="none" w:color="auto" w:sz="0" w:space="0"/>
                <w:lang w:val="en-US"/>
              </w:rPr>
            </w:pPr>
            <w:r>
              <w:rPr>
                <w:rFonts w:hint="eastAsia" w:ascii="Calibri" w:hAnsi="Calibri" w:eastAsia="宋体" w:cs="宋体"/>
                <w:bdr w:val="none" w:color="auto" w:sz="0" w:space="0"/>
                <w:lang w:eastAsia="zh-CN"/>
              </w:rPr>
              <w:t>（元）</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bdr w:val="none" w:color="auto" w:sz="0" w:space="0"/>
                <w:lang w:val="en-US"/>
              </w:rPr>
            </w:pPr>
            <w:r>
              <w:rPr>
                <w:rFonts w:hint="eastAsia" w:ascii="Calibri" w:hAnsi="Calibri" w:eastAsia="宋体" w:cs="宋体"/>
                <w:bdr w:val="none" w:color="auto" w:sz="0" w:space="0"/>
                <w:lang w:eastAsia="zh-CN"/>
              </w:rPr>
              <w:t>计量单位</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bdr w:val="none" w:color="auto" w:sz="0" w:space="0"/>
                <w:lang w:val="en-US"/>
              </w:rPr>
            </w:pPr>
            <w:r>
              <w:rPr>
                <w:rFonts w:hint="eastAsia" w:ascii="Calibri" w:hAnsi="Calibri" w:eastAsia="宋体" w:cs="宋体"/>
                <w:bdr w:val="none" w:color="auto" w:sz="0" w:space="0"/>
                <w:lang w:eastAsia="zh-CN"/>
              </w:rPr>
              <w:t>所属行业</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bdr w:val="none" w:color="auto" w:sz="0" w:space="0"/>
                <w:lang w:val="en-US"/>
              </w:rPr>
            </w:pPr>
            <w:r>
              <w:rPr>
                <w:rFonts w:hint="eastAsia" w:ascii="Calibri" w:hAnsi="Calibri" w:eastAsia="宋体" w:cs="宋体"/>
                <w:bdr w:val="none" w:color="auto" w:sz="0" w:space="0"/>
                <w:lang w:eastAsia="zh-CN"/>
              </w:rPr>
              <w:t>是否核心产品</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bdr w:val="none" w:color="auto" w:sz="0" w:space="0"/>
                <w:lang w:val="en-US"/>
              </w:rPr>
            </w:pPr>
            <w:r>
              <w:rPr>
                <w:rFonts w:hint="eastAsia" w:ascii="Calibri" w:hAnsi="Calibri" w:eastAsia="宋体" w:cs="宋体"/>
                <w:bdr w:val="none" w:color="auto" w:sz="0" w:space="0"/>
                <w:lang w:eastAsia="zh-CN"/>
              </w:rPr>
              <w:t>是否允许进口产品</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bdr w:val="none" w:color="auto" w:sz="0" w:space="0"/>
                <w:lang w:val="en-US"/>
              </w:rPr>
            </w:pPr>
            <w:r>
              <w:rPr>
                <w:rFonts w:hint="eastAsia" w:ascii="Calibri" w:hAnsi="Calibri" w:eastAsia="宋体" w:cs="宋体"/>
                <w:bdr w:val="none" w:color="auto" w:sz="0" w:space="0"/>
                <w:lang w:eastAsia="zh-CN"/>
              </w:rPr>
              <w:t>是否属于节能产品</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bdr w:val="none" w:color="auto" w:sz="0" w:space="0"/>
                <w:lang w:val="en-US"/>
              </w:rPr>
            </w:pPr>
            <w:r>
              <w:rPr>
                <w:rFonts w:hint="eastAsia" w:ascii="Calibri" w:hAnsi="Calibri" w:eastAsia="宋体" w:cs="宋体"/>
                <w:bdr w:val="none" w:color="auto" w:sz="0" w:space="0"/>
                <w:lang w:eastAsia="zh-CN"/>
              </w:rPr>
              <w:t>是否属于环境标志产品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108" w:type="dxa"/>
            <w:bottom w:w="0" w:type="dxa"/>
            <w:right w:w="108" w:type="dxa"/>
          </w:tblCellMar>
        </w:tblPrEx>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eastAsia="zh-CN"/>
              </w:rPr>
              <w:t>检查监测服务</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1.00</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1,400,000.00</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eastAsia="zh-CN"/>
              </w:rPr>
              <w:t>项</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eastAsia="zh-CN"/>
              </w:rPr>
              <w:t>软件和信息技术服务业</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eastAsia="zh-CN"/>
              </w:rPr>
              <w:t>否</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eastAsia="zh-CN"/>
              </w:rPr>
              <w:t>否</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eastAsia="zh-CN"/>
              </w:rPr>
              <w:t>否</w:t>
            </w:r>
          </w:p>
        </w:tc>
        <w:tc>
          <w:tcPr>
            <w:tcW w:w="831" w:type="dxa"/>
            <w:tcBorders>
              <w:top w:val="single" w:color="auto" w:sz="2" w:space="0"/>
              <w:left w:val="single" w:color="auto" w:sz="2" w:space="0"/>
              <w:bottom w:val="single" w:color="auto" w:sz="2" w:space="0"/>
              <w:right w:val="single" w:color="auto" w:sz="2" w:space="0"/>
            </w:tcBorders>
            <w:shd w:val="clear"/>
            <w:vAlign w:val="center"/>
          </w:tcPr>
          <w:p>
            <w:pPr>
              <w:pStyle w:val="4"/>
              <w:widowControl/>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eastAsia="zh-CN"/>
              </w:rPr>
              <w:t>否</w:t>
            </w:r>
          </w:p>
        </w:tc>
      </w:tr>
    </w:tbl>
    <w:p>
      <w:pPr>
        <w:rPr>
          <w:rFonts w:hint="default"/>
          <w:lang w:val="en-US" w:eastAsia="zh-CN"/>
        </w:rPr>
      </w:pPr>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3B953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4">
    <w:name w:val="null3"/>
    <w:basedOn w:val="1"/>
    <w:uiPriority w:val="0"/>
    <w:pPr>
      <w:keepNext w:val="0"/>
      <w:keepLines w:val="0"/>
      <w:widowControl/>
      <w:suppressLineNumbers w:val="0"/>
      <w:spacing w:before="0" w:beforeAutospacing="0" w:after="0" w:afterAutospacing="0"/>
      <w:ind w:left="0" w:right="0"/>
      <w:jc w:val="left"/>
    </w:pPr>
    <w:rPr>
      <w:rFonts w:hint="default" w:ascii="Calibri" w:hAnsi="Calibri" w:eastAsia="宋体" w:cs="Times New Roman"/>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2024-05-24T03:01:38Z</dcterms:created>
  <dc:creator>Yi Fengyuan</dc:creator>
  <cp:lastModifiedBy>Gerhard Fengyuan Yi</cp:lastModifiedBy>
  <dcterms:modified xsi:type="dcterms:W3CDTF">2024-05-24T03:08:57Z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58832AAC3ECC44378577B7EDC27E48CD_12</vt:lpwstr>
  </property>
</Properties>
</file>