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12122热线运行维护</w:t>
      </w:r>
    </w:p>
    <w:p>
      <w:pPr>
        <w:pStyle w:val="null3"/>
        <w:jc w:val="center"/>
        <w:outlineLvl w:val="2"/>
      </w:pPr>
      <w:r>
        <w:rPr>
          <w:sz w:val="28"/>
          <w:b/>
        </w:rPr>
        <w:t>采购项目编号：</w:t>
      </w:r>
      <w:r>
        <w:rPr>
          <w:sz w:val="28"/>
          <w:b/>
        </w:rPr>
        <w:t>中赞招字（2024）第27号</w:t>
      </w:r>
      <w:r>
        <w:br/>
      </w:r>
      <w:r>
        <w:br/>
      </w:r>
      <w:r>
        <w:br/>
      </w:r>
    </w:p>
    <w:p>
      <w:pPr>
        <w:pStyle w:val="null3"/>
        <w:jc w:val="center"/>
        <w:outlineLvl w:val="2"/>
      </w:pPr>
      <w:r>
        <w:rPr>
          <w:sz w:val="28"/>
          <w:b/>
        </w:rPr>
        <w:t>陕西省高速公路收费中心</w:t>
      </w:r>
    </w:p>
    <w:p>
      <w:pPr>
        <w:pStyle w:val="null3"/>
        <w:jc w:val="center"/>
        <w:outlineLvl w:val="2"/>
      </w:pPr>
      <w:r>
        <w:rPr>
          <w:sz w:val="28"/>
          <w:b/>
        </w:rPr>
        <w:t>中赞国际项目管理有限公司</w:t>
      </w:r>
      <w:r>
        <w:rPr>
          <w:sz w:val="28"/>
          <w:b/>
        </w:rPr>
        <w:t>共同编制</w:t>
      </w:r>
    </w:p>
    <w:p>
      <w:pPr>
        <w:pStyle w:val="null3"/>
        <w:jc w:val="center"/>
        <w:outlineLvl w:val="2"/>
      </w:pPr>
      <w:r>
        <w:rPr>
          <w:sz w:val="28"/>
          <w:b/>
        </w:rPr>
        <w:t>2024年06月02日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中赞国际项目管理有限公司</w:t>
      </w:r>
      <w:r>
        <w:rPr/>
        <w:t>（以下简称“代理机构”）受</w:t>
      </w:r>
      <w:r>
        <w:rPr/>
        <w:t>陕西省高速公路收费中心</w:t>
      </w:r>
      <w:r>
        <w:rPr/>
        <w:t>委托，拟对</w:t>
      </w:r>
      <w:r>
        <w:rPr/>
        <w:t>12122热线运行维护</w:t>
      </w:r>
      <w:r>
        <w:rPr/>
        <w:t>采用竞争性磋商采购方式进行采购，兹邀请供应商参加本项目的竞争性磋商。</w:t>
      </w:r>
    </w:p>
    <w:p>
      <w:pPr>
        <w:pStyle w:val="null3"/>
        <w:outlineLvl w:val="2"/>
      </w:pPr>
      <w:r>
        <w:rPr>
          <w:sz w:val="28"/>
          <w:b/>
        </w:rPr>
        <w:t>一、项目编号：</w:t>
      </w:r>
      <w:r>
        <w:rPr>
          <w:sz w:val="28"/>
          <w:b/>
        </w:rPr>
        <w:t>中赞招字（2024）第27号</w:t>
      </w:r>
    </w:p>
    <w:p>
      <w:pPr>
        <w:pStyle w:val="null3"/>
        <w:outlineLvl w:val="2"/>
      </w:pPr>
      <w:r>
        <w:rPr>
          <w:sz w:val="28"/>
          <w:b/>
        </w:rPr>
        <w:t>二、项目名称：</w:t>
      </w:r>
      <w:r>
        <w:rPr>
          <w:sz w:val="28"/>
          <w:b/>
        </w:rPr>
        <w:t>12122热线运行维护</w:t>
      </w:r>
    </w:p>
    <w:p>
      <w:pPr>
        <w:pStyle w:val="null3"/>
        <w:outlineLvl w:val="2"/>
      </w:pPr>
      <w:r>
        <w:rPr>
          <w:sz w:val="28"/>
          <w:b/>
        </w:rPr>
        <w:t>三、磋商项目简介</w:t>
      </w:r>
    </w:p>
    <w:p>
      <w:pPr>
        <w:pStyle w:val="null3"/>
        <w:ind w:firstLine="480"/>
      </w:pPr>
      <w:r>
        <w:rPr/>
        <w:t>12122热线全年24小时不间断运行，负责受理交通信息咨询，转达行业投诉举报和意见建议，协调转达求助信息。为确保12122热线系统运行平稳，需开展年度软硬件维护。该项目预算为53万元，由12122热线软件维护（预算：19万元）、12122硬件设备及网络维护（预算：22万元）、特殊专业化设备运维（预算：12万元）三部分内容组成。 陕西交通服务热线12122主要以高速公路为主，向全社会提供一站式交通信息服务，为公众提供高速公路应急救援求助、交通运输信息咨询、转达行业投诉和建议意见等。 陕西交通服务热线12122系统包括业务系统和话务系统。12122业务系统为自建，话务系统基于原有96166系统架构进行升级。升级后，复用96166与12122原有设备设施，包括4楼机房设备、5至6楼坐席工位终端电脑、话机、耳麦、网络等。由供应商负责提供12122热线系统平台软件系统维护、硬件设备及网络维护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采购包1（12122热线运行维护）：属于专门面向中小企业采购。</w:t>
      </w:r>
    </w:p>
    <w:p>
      <w:pPr>
        <w:pStyle w:val="null3"/>
        <w:ind w:firstLine="480"/>
      </w:pPr>
      <w:r>
        <w:rPr/>
        <w:t>（三）本项目的特定资格要求：</w:t>
      </w:r>
    </w:p>
    <w:p>
      <w:pPr>
        <w:pStyle w:val="null3"/>
      </w:pPr>
      <w:r>
        <w:rPr/>
        <w:t>采购包1：</w:t>
      </w:r>
    </w:p>
    <w:p>
      <w:pPr>
        <w:pStyle w:val="null3"/>
      </w:pPr>
      <w:r>
        <w:rPr/>
        <w:t>1、信用记录：供应商不得在“信用中国” 网站被列入失信被执行人名单、重大税收违法案件当事人名单和不得在“中国政府采购网”被列入政府采购严重违法失信行为记录名单。</w:t>
      </w:r>
    </w:p>
    <w:p>
      <w:pPr>
        <w:pStyle w:val="null3"/>
      </w:pPr>
      <w:r>
        <w:rPr/>
        <w:t>2、法定代表人委托授权书\身份证明：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p>
      <w:pPr>
        <w:pStyle w:val="null3"/>
      </w:pPr>
      <w:r>
        <w:rPr/>
        <w:t>3、有效的主体资格证明：提供合格有效的法人或者其他组织的营业执照等证明文件或自然人的身份证明。</w:t>
      </w:r>
    </w:p>
    <w:p>
      <w:pPr>
        <w:pStyle w:val="null3"/>
      </w:pPr>
      <w:r>
        <w:rPr/>
        <w:t>4、财务状况报告：（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p>
      <w:pPr>
        <w:pStyle w:val="null3"/>
      </w:pPr>
      <w:r>
        <w:rPr/>
        <w:t>5、税收缴纳证明：提供递交响应文件截止日期前十二个月（递交响应文件截止时间当月不计入）内已缴存的至少一个月的纳税证明或完税证明，依法免税的单位应提供相关证明材料。</w:t>
      </w:r>
    </w:p>
    <w:p>
      <w:pPr>
        <w:pStyle w:val="null3"/>
      </w:pPr>
      <w:r>
        <w:rPr/>
        <w:t>6、社会保障资金缴纳证明：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p>
      <w:pPr>
        <w:pStyle w:val="null3"/>
      </w:pPr>
      <w:r>
        <w:rPr/>
        <w:t>7、无重大违法记录声明：近3年内在经营活动中没有重大违法记录的书面声明。</w:t>
      </w:r>
    </w:p>
    <w:p>
      <w:pPr>
        <w:pStyle w:val="null3"/>
      </w:pPr>
      <w:r>
        <w:rPr/>
        <w:t>8、具有履行合同所必需的设备和专业技术能力：提交履行合同所必需的设备和专业技术能力的书面声明。</w:t>
      </w:r>
    </w:p>
    <w:p>
      <w:pPr>
        <w:pStyle w:val="null3"/>
      </w:pPr>
      <w:r>
        <w:rPr/>
        <w:t>9、本项目不接受联合体响应：非联合体投标承诺书。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陕西省高速公路收费中心</w:t>
      </w:r>
    </w:p>
    <w:p>
      <w:pPr>
        <w:pStyle w:val="null3"/>
      </w:pPr>
      <w:r>
        <w:rPr/>
        <w:t xml:space="preserve"> 地址： </w:t>
      </w:r>
      <w:r>
        <w:rPr/>
        <w:t>西安市未央区未央路208号</w:t>
      </w:r>
    </w:p>
    <w:p>
      <w:pPr>
        <w:pStyle w:val="null3"/>
      </w:pPr>
      <w:r>
        <w:rPr/>
        <w:t xml:space="preserve"> 邮编： </w:t>
      </w:r>
      <w:r>
        <w:rPr/>
        <w:t>710000</w:t>
      </w:r>
    </w:p>
    <w:p>
      <w:pPr>
        <w:pStyle w:val="null3"/>
      </w:pPr>
      <w:r>
        <w:rPr/>
        <w:t xml:space="preserve"> 联系人： </w:t>
      </w:r>
      <w:r>
        <w:rPr/>
        <w:t>陕西省高速公路收费中心办公室</w:t>
      </w:r>
    </w:p>
    <w:p>
      <w:pPr>
        <w:pStyle w:val="null3"/>
      </w:pPr>
      <w:r>
        <w:rPr/>
        <w:t xml:space="preserve"> 联系电话： </w:t>
      </w:r>
      <w:r>
        <w:rPr/>
        <w:t>029-86531101</w:t>
      </w:r>
    </w:p>
    <w:p>
      <w:pPr>
        <w:pStyle w:val="null3"/>
        <w:outlineLvl w:val="3"/>
      </w:pPr>
      <w:r>
        <w:rPr>
          <w:sz w:val="24"/>
          <w:b/>
        </w:rPr>
        <w:t>代理机构：</w:t>
      </w:r>
      <w:r>
        <w:rPr>
          <w:sz w:val="24"/>
          <w:b/>
        </w:rPr>
        <w:t>中赞国际项目管理有限公司</w:t>
      </w:r>
    </w:p>
    <w:p>
      <w:pPr>
        <w:pStyle w:val="null3"/>
      </w:pPr>
      <w:r>
        <w:rPr/>
        <w:t xml:space="preserve"> 地址： </w:t>
      </w:r>
      <w:r>
        <w:rPr/>
        <w:t>陕西省西安市未央区陕西省西安市未央区未央路老三届首座大厦2号1幢12220室</w:t>
      </w:r>
    </w:p>
    <w:p>
      <w:pPr>
        <w:pStyle w:val="null3"/>
      </w:pPr>
      <w:r>
        <w:rPr/>
        <w:t xml:space="preserve"> 邮编： </w:t>
      </w:r>
      <w:r>
        <w:rPr/>
        <w:t>710000</w:t>
      </w:r>
    </w:p>
    <w:p>
      <w:pPr>
        <w:pStyle w:val="null3"/>
      </w:pPr>
      <w:r>
        <w:rPr/>
        <w:t xml:space="preserve"> 联系人： </w:t>
      </w:r>
      <w:r>
        <w:rPr/>
        <w:t xml:space="preserve"> 张琪</w:t>
      </w:r>
    </w:p>
    <w:p>
      <w:pPr>
        <w:pStyle w:val="null3"/>
      </w:pPr>
      <w:r>
        <w:rPr/>
        <w:t xml:space="preserve"> 联系电话： </w:t>
      </w:r>
      <w:r>
        <w:rPr/>
        <w:t>029-81629798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缴交渠道：转账、支票、汇票等（需通过实体账户、户名及开户行信息）</w:t>
            </w:r>
          </w:p>
          <w:p>
            <w:pPr>
              <w:pStyle w:val="null3"/>
            </w:pPr>
            <w:r>
              <w:rPr/>
              <w:t>开户名称：中赞国际项目管理有限公司</w:t>
            </w:r>
          </w:p>
          <w:p>
            <w:pPr>
              <w:pStyle w:val="null3"/>
            </w:pPr>
            <w:r>
              <w:rPr/>
              <w:t>开户银行：招商银行股份有限公司西安未央路支行</w:t>
            </w:r>
          </w:p>
          <w:p>
            <w:pPr>
              <w:pStyle w:val="null3"/>
            </w:pPr>
            <w:r>
              <w:rPr/>
              <w:t>银行账号：129912141810202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5%向招标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陕西省高速公路收费中心</w:t>
      </w:r>
      <w:r>
        <w:rPr/>
        <w:t>和</w:t>
      </w:r>
      <w:r>
        <w:rPr/>
        <w:t>中赞国际项目管理有限公司</w:t>
      </w:r>
      <w:r>
        <w:rPr/>
        <w:t>享有。对磋商文件中供应商参加本次政府采购活动应当具备的条件，磋商项目技术、服务、商务及其他要求，评审细则及标准由</w:t>
      </w:r>
      <w:r>
        <w:rPr/>
        <w:t>陕西省高速公路收费中心</w:t>
      </w:r>
      <w:r>
        <w:rPr/>
        <w:t>负责解释。除上述磋商文件内容，其他内容由</w:t>
      </w:r>
      <w:r>
        <w:rPr/>
        <w:t>中赞国际项目管理有限公司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陕西省高速公路收费中心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中赞国际项目管理有限公司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采购人照政府采购合同规定的技术、服务、安全标准组织对供应商履约情况进行验收，并出具验收书。</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中赞国际项目管理有限公司</w:t>
      </w:r>
      <w:r>
        <w:rPr/>
        <w:t xml:space="preserve"> 负责答复；供应商对除采购需求外的采购文件的询问、质疑由</w:t>
      </w:r>
      <w:r>
        <w:rPr/>
        <w:t>中赞国际项目管理有限公司</w:t>
      </w:r>
      <w:r>
        <w:rPr/>
        <w:t xml:space="preserve"> 负责答复；供应商对采购过程、采购结果的询问、质疑由 </w:t>
      </w:r>
      <w:r>
        <w:rPr/>
        <w:t>中赞国际项目管理有限公司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联系人：张琪</w:t>
      </w:r>
    </w:p>
    <w:p>
      <w:pPr>
        <w:pStyle w:val="null3"/>
      </w:pPr>
      <w:r>
        <w:rPr/>
        <w:t>联系电话：029-81629798</w:t>
      </w:r>
    </w:p>
    <w:p>
      <w:pPr>
        <w:pStyle w:val="null3"/>
      </w:pPr>
      <w:r>
        <w:rPr/>
        <w:t>地址：陕西省西安市未央区未央路老三届首座大厦2号1幢12220室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12122热线全年24小时不间断运行，负责受理交通信息咨询，转达行业投诉举报和意见建议，协调转达求助信息。为确保12122热线系统运行平稳，需开展年度软硬件维护。该项目预算为53万元，由12122热线软件维护（预算：19万元）、12122硬件设备及网络维护（预算：22万元）、特殊专业化设备运维（预算：12万元）三部分内容组成。陕西交通服务热线12122主要以高速公路为主，向全社会提供一站式交通信息服务，为公众提供高速公路应急救援求助、交通运输信息咨询、转达行业投诉和建议意见等。陕西交通服务热线12122系统包括业务系统和话务系统。12122业务系统为自建，话务系统基于原有96166系统架构进行升级。升级后，复用96166与12122原有设备设施，包括4楼机房设备、5至6楼坐席工位终端电脑、话机、耳麦、网络等。由供应商负责提供12122热线系统平台软件系统维护、硬件设备及网络维护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530,000.00</w:t>
      </w:r>
    </w:p>
    <w:p>
      <w:pPr>
        <w:pStyle w:val="null3"/>
      </w:pPr>
      <w:r>
        <w:rPr/>
        <w:t>采购包最高限价（元）: 530,000.00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12122热线运行维护</w:t>
            </w:r>
          </w:p>
        </w:tc>
        <w:tc>
          <w:tcPr>
            <w:tcW w:type="dxa" w:w="831"/>
          </w:tcPr>
          <w:p>
            <w:pPr>
              <w:pStyle w:val="null3"/>
              <w:jc w:val="right"/>
            </w:pPr>
            <w:r>
              <w:rPr/>
              <w:t>1.00</w:t>
            </w:r>
          </w:p>
        </w:tc>
        <w:tc>
          <w:tcPr>
            <w:tcW w:type="dxa" w:w="831"/>
          </w:tcPr>
          <w:p>
            <w:pPr>
              <w:pStyle w:val="null3"/>
              <w:jc w:val="right"/>
            </w:pPr>
            <w:r>
              <w:rPr/>
              <w:t>530,000.00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标的名称：12122热线运行维护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服务内容</w:t>
            </w:r>
          </w:p>
          <w:p>
            <w:pPr>
              <w:pStyle w:val="null3"/>
            </w:pPr>
            <w:r>
              <w:rPr/>
              <w:t>一、12122系统软件维护</w:t>
            </w:r>
          </w:p>
          <w:p>
            <w:pPr>
              <w:pStyle w:val="null3"/>
            </w:pPr>
            <w:r>
              <w:rPr/>
              <w:t>包括业务子系统的巡检和日常维护工作；IVR语音导航系统流程调整、巡检和维护工作；话务底层的巡检和维护工作；配合重大活动的临时保障工作。</w:t>
            </w:r>
          </w:p>
          <w:p>
            <w:pPr>
              <w:pStyle w:val="null3"/>
            </w:pPr>
            <w:r>
              <w:rPr/>
              <w:t>二、12122硬件设备及网络维护</w:t>
            </w:r>
          </w:p>
          <w:p>
            <w:pPr>
              <w:pStyle w:val="null3"/>
            </w:pPr>
            <w:r>
              <w:rPr/>
              <w:t>1．机房设备维护：提供4楼机房超融合一体机、超融合交换机、汇聚交换机、接入交换机、中继语音网关、机柜、光猫的日常维护、安全巡检（包括不限于用户、权限、口令等检查）、检修工作，根据检查结果及时更新优化；对发现故障进行排查、处理并记录；故障件维修期间，提供备件临时应急使用，避免因维修故障期间硬件设备长时间停机对业务正常使用造成影响，确保12122热线系统正常运行。</w:t>
            </w:r>
          </w:p>
          <w:p>
            <w:pPr>
              <w:pStyle w:val="null3"/>
            </w:pPr>
            <w:r>
              <w:rPr/>
              <w:t>2．座席设备维护：提供5楼、6楼12122坐席区域包含台式电脑103台、IP话机60台以及座席耳麦60套设备日常维护、故障响应和检修工作。</w:t>
            </w:r>
          </w:p>
          <w:p>
            <w:pPr>
              <w:pStyle w:val="null3"/>
            </w:pPr>
            <w:r>
              <w:rPr/>
              <w:t>（1）台式电脑103台：进行安全管理，包括漏洞病毒查杀、补丁升级、防护软件安装维护；操作系统维护，系统安装、问题处理、系统还原、系统更新；常用软件维护，安装、调试；终端系统操作使用培训、技术支持；各设备巡检维护，包含设备巡检、调试、配置、保养、故障维护、检修、处理和配件更换服务（若同型号停产，更换为同性能产品）。</w:t>
            </w:r>
          </w:p>
          <w:p>
            <w:pPr>
              <w:pStyle w:val="null3"/>
            </w:pPr>
            <w:r>
              <w:rPr/>
              <w:t>（2）IP话机60台以及座席耳麦60套：操作系统维护，系统安装、问题处理、系统还原、系统更新；常用软件维护，安装、调试；终端系统操作使用培训、技术支持；各设备巡检维护，包含设备巡检、调试、配置、保养、故障维护、检修、处理和配件更换服务（若同型号停产，更换为同性能产品）。</w:t>
            </w:r>
          </w:p>
          <w:p>
            <w:pPr>
              <w:pStyle w:val="null3"/>
            </w:pPr>
            <w:r>
              <w:rPr/>
              <w:t>3．监控系统维护：提供5楼12122座席区域2台监控摄像头、1台硬盘录像机、1台监控显示器的硬件及监控软件系统日常维护、故障响应及维修服务，包括设备巡检、调试、配置、保养、故障维护、检修和配件更换及材料费用；</w:t>
            </w:r>
          </w:p>
          <w:p>
            <w:pPr>
              <w:pStyle w:val="null3"/>
            </w:pPr>
            <w:r>
              <w:rPr/>
              <w:t>4．网络维护：提供5楼、6楼共163个网络接入节点日常维护、故障响应及维修服务，包括各网络接入节点、接入网络环境的巡检维护、故障处理、线路调整、终端网络施工和维修服务工作以及5楼、6楼11台接入交换机的日常维护、故障响应和维修工作。</w:t>
            </w:r>
          </w:p>
          <w:p>
            <w:pPr>
              <w:pStyle w:val="null3"/>
            </w:pPr>
            <w:r>
              <w:rPr/>
              <w:t>5．维护清单：详见附件，12122硬件设备及网络维护清单。</w:t>
            </w:r>
          </w:p>
          <w:p>
            <w:pPr>
              <w:pStyle w:val="null3"/>
            </w:pPr>
            <w:r>
              <w:rPr/>
              <w:t>三、特殊专业化设备运维</w:t>
            </w:r>
          </w:p>
          <w:p>
            <w:pPr>
              <w:pStyle w:val="null3"/>
            </w:pPr>
            <w:r>
              <w:rPr/>
              <w:t>提供超融合一体机华为原厂服务，购买硬件设备的原厂服务以及软件维护原厂服务，包含硬件质保、上门服务维修以及配件更换服务等。</w:t>
            </w:r>
          </w:p>
        </w:tc>
      </w:tr>
      <w:tr>
        <w:tc>
          <w:tcPr>
            <w:tcW w:type="dxa" w:w="2769"/>
          </w:tcPr>
          <w:p/>
        </w:tc>
        <w:tc>
          <w:tcPr>
            <w:tcW w:type="dxa" w:w="2769"/>
          </w:tcPr>
          <w:p>
            <w:pPr>
              <w:pStyle w:val="null3"/>
            </w:pPr>
            <w:r>
              <w:rPr/>
              <w:t>2</w:t>
            </w:r>
          </w:p>
        </w:tc>
        <w:tc>
          <w:tcPr>
            <w:tcW w:type="dxa" w:w="2769"/>
          </w:tcPr>
          <w:p>
            <w:pPr>
              <w:pStyle w:val="null3"/>
            </w:pPr>
            <w:r>
              <w:rPr/>
              <w:t>服务要求</w:t>
            </w:r>
          </w:p>
          <w:p>
            <w:pPr>
              <w:pStyle w:val="null3"/>
            </w:pPr>
            <w:r>
              <w:rPr/>
              <w:t>技术支持服务</w:t>
            </w:r>
          </w:p>
          <w:p>
            <w:pPr>
              <w:pStyle w:val="null3"/>
            </w:pPr>
            <w:r>
              <w:rPr/>
              <w:t>（1）12122系统软件、硬件设备及网络维护：</w:t>
            </w:r>
          </w:p>
          <w:p>
            <w:pPr>
              <w:pStyle w:val="null3"/>
            </w:pPr>
            <w:r>
              <w:rPr/>
              <w:t>①　日常运维服务：针对维护范围内的软件系统、硬件设备及网络，提供日常维护、定期巡检、性能测试、故障排查等驻场服务，7*24小时故障响应，及时应答和解决，快速排除故障，确保陕西交通服务热线12122系统正常稳定运行。</w:t>
            </w:r>
          </w:p>
          <w:p>
            <w:pPr>
              <w:pStyle w:val="null3"/>
            </w:pPr>
            <w:r>
              <w:rPr/>
              <w:t>②　故障响应服务：针对维护范围内的软件系统、硬件设备和网络出现的各类故障及问题，提供7*24小时在线服务。供应商需在30分钟内响应，1小时内提供解决方案，2小时内做出明确响应，非灾难性问题在8小时内解决，如需现场服务的，具有解决能力的工程师应在24小时内到达现场，解决并做出故障诊断报告。</w:t>
            </w:r>
          </w:p>
          <w:p>
            <w:pPr>
              <w:pStyle w:val="null3"/>
            </w:pPr>
            <w:r>
              <w:rPr/>
              <w:t>③　系统安全服务：针对维护范围内软件系统使用时发现的系统BUG、安全漏洞等影响系统安全的问题、硬件设备的安全要求和网络出现的安全问题，供应商除免费提供必要的修复和改进措施之外，还应每月对系统进行安全巡检，根据检查结果及时更新优化；对发现故障进行排查和处理，配合省收费中心完成网络安全整改工作。</w:t>
            </w:r>
          </w:p>
          <w:p>
            <w:pPr>
              <w:pStyle w:val="null3"/>
            </w:pPr>
            <w:r>
              <w:rPr/>
              <w:t>④　技术保障服务：做好重要节假日（春节、清明节、劳动节、国庆节等）、重大活动（国家、公安、省厅等护网行动）技术保障服务，配合省收费中心做好漏洞升级工作。应加强值班值守，提供7*24小时应急响应服务，确保12122系统安全稳定运行。</w:t>
            </w:r>
          </w:p>
          <w:p>
            <w:pPr>
              <w:pStyle w:val="null3"/>
            </w:pPr>
            <w:r>
              <w:rPr/>
              <w:t>⑤　系统培训服务：针对维护范围内的系统优化功能有重大变更时，供应商应组织提供必要的培训服务，使系统使用人员能够准确、及时掌握系统及相关信息。</w:t>
            </w:r>
          </w:p>
          <w:p>
            <w:pPr>
              <w:pStyle w:val="null3"/>
            </w:pPr>
            <w:r>
              <w:rPr/>
              <w:t>⑥　服务队伍要求：在服务过程中指定一名具有项目经理相关从业资质的人员，同时具备丰富的项目管理经验，至少1个及以上同规模项目的项目经理任职经历，同时应具有预见和应对项目风险的能力；项目组成员需具备灾难恢复工作经验，包括但不限于安全设备管理、日志分析和事件响应等方面，以确保系统连续安全运行；为保证项目的连续性，在项目服务周期内不得随意更换服务人员。</w:t>
            </w:r>
          </w:p>
          <w:p>
            <w:pPr>
              <w:pStyle w:val="null3"/>
            </w:pPr>
            <w:r>
              <w:rPr/>
              <w:t>⑦　记录与报告：对运维服务、故障处理结果做好维护记录，每月提交日常巡检记录单、故障处理记录（若本月无故障可不提供）以及维护确认单；项目运维期结束后，供应商应提供全年运维巡检记录单及全年运维报告。</w:t>
            </w:r>
          </w:p>
          <w:p>
            <w:pPr>
              <w:pStyle w:val="null3"/>
            </w:pPr>
            <w:r>
              <w:rPr/>
              <w:t>⑧　保密要求：项目实施过程中所收集、产生的所有与本项目相关的文档、资料，包括文字、图片、表格、数字等各种形式所属权均归属省中心，供应商必须对所涉及到的内容保密，按照要求签署保密协议。</w:t>
            </w:r>
          </w:p>
          <w:p>
            <w:pPr>
              <w:pStyle w:val="null3"/>
            </w:pPr>
            <w:r>
              <w:rPr/>
              <w:t>（2）特殊专业化设备运维：</w:t>
            </w:r>
          </w:p>
          <w:p>
            <w:pPr>
              <w:pStyle w:val="null3"/>
            </w:pPr>
            <w:r>
              <w:rPr/>
              <w:t>①　远程支持服务</w:t>
            </w:r>
          </w:p>
          <w:p>
            <w:pPr>
              <w:pStyle w:val="null3"/>
            </w:pPr>
            <w:r>
              <w:rPr/>
              <w:t>1)Help Desk:提供24小时问题统一受理平台。</w:t>
            </w:r>
          </w:p>
          <w:p>
            <w:pPr>
              <w:pStyle w:val="null3"/>
            </w:pPr>
            <w:r>
              <w:rPr/>
              <w:t>2)远程问题处理:提供7*24远程问题处理服务,就有关设备或网络的技术咨询及问题，进行远程技术支持和处理，并提供问题解决方案。</w:t>
            </w:r>
          </w:p>
          <w:p>
            <w:pPr>
              <w:pStyle w:val="null3"/>
            </w:pPr>
            <w:r>
              <w:rPr/>
              <w:t>3)在线技术支持服务:提供网站自助平台，供应商以授权用户的身份访问官方网站访问技术论坛、下载相关软件补丁、还可获取产品技术手册、技术案例、维护经验等。</w:t>
            </w:r>
          </w:p>
          <w:p>
            <w:pPr>
              <w:pStyle w:val="null3"/>
            </w:pPr>
            <w:r>
              <w:rPr/>
              <w:t>②　硬件支持服务:硬件故障后，提供7*10*ND 硬件预更换服务(外购件除外)。</w:t>
            </w:r>
          </w:p>
          <w:p>
            <w:pPr>
              <w:pStyle w:val="null3"/>
            </w:pPr>
            <w:r>
              <w:rPr/>
              <w:t>③　现场硬件更换服务:硬件故障不能通过远程方式解决的，工程师需到达现场，进行硬件更换。</w:t>
            </w:r>
          </w:p>
          <w:p>
            <w:pPr>
              <w:pStyle w:val="null3"/>
            </w:pPr>
            <w:r>
              <w:rPr/>
              <w:t>④　现场问题处理服务:设备问题不能通过远程方式解决的，工程师需到达现场进行问题处理，包括信息收集、问题分析、故障诊断、方案实施、紧急问题恢复等。</w:t>
            </w:r>
          </w:p>
          <w:p>
            <w:pPr>
              <w:pStyle w:val="null3"/>
            </w:pPr>
            <w:r>
              <w:rPr/>
              <w:t>⑤　软件更新服务:为解决软件版本的BUG、功能改进或增强提供软件补丁。</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附件：</w:t>
            </w:r>
            <w:r>
              <w:rPr>
                <w:rFonts w:ascii="宋体" w:hAnsi="宋体" w:cs="宋体" w:eastAsia="宋体"/>
                <w:sz w:val="20"/>
              </w:rPr>
              <w:t>12122硬件设备及网络维护清单</w:t>
            </w:r>
          </w:p>
          <w:tbl>
            <w:tblPr>
              <w:tblInd w:type="dxa" w:w="135"/>
              <w:tblBorders>
                <w:top w:val="none" w:color="000000" w:sz="4"/>
                <w:left w:val="none" w:color="000000" w:sz="4"/>
                <w:bottom w:val="none" w:color="000000" w:sz="4"/>
                <w:right w:val="none" w:color="000000" w:sz="4"/>
                <w:insideH w:val="none"/>
                <w:insideV w:val="none"/>
              </w:tblBorders>
            </w:tblPr>
            <w:tblGrid>
              <w:gridCol w:w="164"/>
              <w:gridCol w:w="405"/>
              <w:gridCol w:w="362"/>
              <w:gridCol w:w="522"/>
              <w:gridCol w:w="579"/>
              <w:gridCol w:w="164"/>
              <w:gridCol w:w="164"/>
              <w:gridCol w:w="164"/>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系统名称</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类别</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名称</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品牌型号</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1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合计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w:t>
                  </w:r>
                </w:p>
              </w:tc>
              <w:tc>
                <w:tcPr>
                  <w:tcW w:type="dxa" w:w="4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陕西交通服务热线</w:t>
                  </w:r>
                  <w:r>
                    <w:rPr>
                      <w:rFonts w:ascii="宋体" w:hAnsi="宋体" w:cs="宋体" w:eastAsia="宋体"/>
                      <w:sz w:val="20"/>
                    </w:rPr>
                    <w:t>12122系统</w:t>
                  </w: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机房设备</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超融合一体机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华为</w:t>
                  </w:r>
                  <w:r>
                    <w:rPr>
                      <w:rFonts w:ascii="宋体" w:hAnsi="宋体" w:cs="宋体" w:eastAsia="宋体"/>
                      <w:sz w:val="20"/>
                    </w:rPr>
                    <w:t>E9000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套</w:t>
                  </w:r>
                </w:p>
              </w:tc>
              <w:tc>
                <w:tcPr>
                  <w:tcW w:type="dxa" w:w="16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超融合交换机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华为</w:t>
                  </w:r>
                  <w:r>
                    <w:rPr>
                      <w:rFonts w:ascii="宋体" w:hAnsi="宋体" w:cs="宋体" w:eastAsia="宋体"/>
                      <w:sz w:val="20"/>
                    </w:rPr>
                    <w:t>CE6855-48S6Q-HI</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3</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汇聚交换机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华为</w:t>
                  </w:r>
                  <w:r>
                    <w:rPr>
                      <w:rFonts w:ascii="宋体" w:hAnsi="宋体" w:cs="宋体" w:eastAsia="宋体"/>
                      <w:sz w:val="20"/>
                    </w:rPr>
                    <w:t>5720S-28X-SI-AC</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4</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机柜</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图腾</w:t>
                  </w:r>
                  <w:r>
                    <w:rPr>
                      <w:rFonts w:ascii="宋体" w:hAnsi="宋体" w:cs="宋体" w:eastAsia="宋体"/>
                      <w:sz w:val="20"/>
                    </w:rPr>
                    <w:t>42U</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个</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5</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光猫</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Netlink</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对</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6</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中继语音网关</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毅航</w:t>
                  </w:r>
                  <w:r>
                    <w:rPr>
                      <w:rFonts w:ascii="宋体" w:hAnsi="宋体" w:cs="宋体" w:eastAsia="宋体"/>
                      <w:sz w:val="20"/>
                    </w:rPr>
                    <w:t>/TG1000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7</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内存条</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华为</w:t>
                  </w:r>
                  <w:r>
                    <w:rPr>
                      <w:rFonts w:ascii="宋体" w:hAnsi="宋体" w:cs="宋体" w:eastAsia="宋体"/>
                      <w:sz w:val="20"/>
                    </w:rPr>
                    <w:t>E9000 DDR4 LRDIMM</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套</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8</w:t>
                  </w:r>
                </w:p>
              </w:tc>
              <w:tc>
                <w:tcPr>
                  <w:tcW w:type="dxa" w:w="405"/>
                  <w:vMerge/>
                  <w:tcBorders>
                    <w:top w:val="none" w:color="000000" w:sz="4"/>
                    <w:left w:val="none" w:color="000000" w:sz="4"/>
                    <w:bottom w:val="none" w:color="000000" w:sz="4"/>
                    <w:right w:val="single" w:color="000000" w:sz="4"/>
                  </w:tcBorders>
                </w:tcP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坐席设备</w:t>
                  </w: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台式电脑</w:t>
                  </w:r>
                </w:p>
                <w:p>
                  <w:pPr>
                    <w:pStyle w:val="null3"/>
                  </w:p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DELL OptiPlex 3050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103</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9</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Lenovo AI0520C-22IWL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10</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Lenovo AI0520C-24IWL</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52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11</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IP话机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华为</w:t>
                  </w:r>
                  <w:r>
                    <w:rPr>
                      <w:rFonts w:ascii="宋体" w:hAnsi="宋体" w:cs="宋体" w:eastAsia="宋体"/>
                      <w:sz w:val="20"/>
                    </w:rPr>
                    <w:t>eSpace 7910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60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12</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亿联</w:t>
                  </w:r>
                  <w:r>
                    <w:rPr>
                      <w:rFonts w:ascii="宋体" w:hAnsi="宋体" w:cs="宋体" w:eastAsia="宋体"/>
                      <w:sz w:val="20"/>
                    </w:rPr>
                    <w:t>Yealink-SIP-T21-E2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18</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13</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方位</w:t>
                  </w:r>
                  <w:r>
                    <w:rPr>
                      <w:rFonts w:ascii="宋体" w:hAnsi="宋体" w:cs="宋体" w:eastAsia="宋体"/>
                      <w:sz w:val="20"/>
                    </w:rPr>
                    <w:t>Fanvil-X3S</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14</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坐席耳麦</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捷波朗</w:t>
                  </w:r>
                  <w:r>
                    <w:rPr>
                      <w:rFonts w:ascii="宋体" w:hAnsi="宋体" w:cs="宋体" w:eastAsia="宋体"/>
                      <w:sz w:val="20"/>
                    </w:rPr>
                    <w:t>Jabra BIZ 2300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19</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副</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60</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15</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科特尔</w:t>
                  </w:r>
                  <w:r>
                    <w:rPr>
                      <w:rFonts w:ascii="宋体" w:hAnsi="宋体" w:cs="宋体" w:eastAsia="宋体"/>
                      <w:sz w:val="20"/>
                    </w:rPr>
                    <w:t>CT-T600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25</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副</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16</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北恩</w:t>
                  </w:r>
                  <w:r>
                    <w:rPr>
                      <w:rFonts w:ascii="宋体" w:hAnsi="宋体" w:cs="宋体" w:eastAsia="宋体"/>
                      <w:sz w:val="20"/>
                    </w:rPr>
                    <w:t>FOR600</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16</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副</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17</w:t>
                  </w:r>
                </w:p>
              </w:tc>
              <w:tc>
                <w:tcPr>
                  <w:tcW w:type="dxa" w:w="405"/>
                  <w:vMerge/>
                  <w:tcBorders>
                    <w:top w:val="none" w:color="000000" w:sz="4"/>
                    <w:left w:val="none" w:color="000000" w:sz="4"/>
                    <w:bottom w:val="none" w:color="000000" w:sz="4"/>
                    <w:right w:val="single" w:color="000000" w:sz="4"/>
                  </w:tcBorders>
                </w:tcP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监控设备</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大华硬盘录像机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DH-NVR2108HS-8P-S1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18</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大华高清摄像头</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DH-IPC-HDBW5233R-AS</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19</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洛菲特监控显示器</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LFT220M-DH1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non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20</w:t>
                  </w:r>
                </w:p>
              </w:tc>
              <w:tc>
                <w:tcPr>
                  <w:tcW w:type="dxa" w:w="405"/>
                  <w:vMerge/>
                  <w:tcBorders>
                    <w:top w:val="none" w:color="000000" w:sz="4"/>
                    <w:left w:val="none" w:color="000000" w:sz="4"/>
                    <w:bottom w:val="none" w:color="000000" w:sz="4"/>
                    <w:right w:val="single" w:color="000000" w:sz="4"/>
                  </w:tcBorders>
                </w:tcPr>
                <w:p/>
              </w:tc>
              <w:tc>
                <w:tcPr>
                  <w:tcW w:type="dxa" w:w="36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网络节点</w:t>
                  </w:r>
                </w:p>
              </w:tc>
              <w:tc>
                <w:tcPr>
                  <w:tcW w:type="dxa" w:w="5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交换机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新华三</w:t>
                  </w:r>
                  <w:r>
                    <w:rPr>
                      <w:rFonts w:ascii="宋体" w:hAnsi="宋体" w:cs="宋体" w:eastAsia="宋体"/>
                      <w:sz w:val="20"/>
                    </w:rPr>
                    <w:t>H3C S1348G</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21</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新华三</w:t>
                  </w:r>
                  <w:r>
                    <w:rPr>
                      <w:rFonts w:ascii="宋体" w:hAnsi="宋体" w:cs="宋体" w:eastAsia="宋体"/>
                      <w:sz w:val="20"/>
                    </w:rPr>
                    <w:t>H3C S1224F</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22</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新华三</w:t>
                  </w:r>
                  <w:r>
                    <w:rPr>
                      <w:rFonts w:ascii="宋体" w:hAnsi="宋体" w:cs="宋体" w:eastAsia="宋体"/>
                      <w:sz w:val="20"/>
                    </w:rPr>
                    <w:t>Mini S1224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23</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TP-LINK  TL-SG-1016T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2</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24</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TP-LINK  TL-SG1024DT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4</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台</w:t>
                  </w:r>
                </w:p>
              </w:tc>
              <w:tc>
                <w:tcPr>
                  <w:tcW w:type="dxa" w:w="164"/>
                  <w:vMerge/>
                  <w:tcBorders>
                    <w:top w:val="none" w:color="000000" w:sz="4"/>
                    <w:left w:val="none" w:color="000000" w:sz="4"/>
                    <w:bottom w:val="single" w:color="000000" w:sz="4"/>
                    <w:right w:val="single" w:color="000000" w:sz="4"/>
                  </w:tcBorders>
                </w:tcP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p>
              </w:tc>
              <w:tc>
                <w:tcPr>
                  <w:tcW w:type="dxa" w:w="405"/>
                  <w:vMerge/>
                  <w:tcBorders>
                    <w:top w:val="none" w:color="000000" w:sz="4"/>
                    <w:left w:val="none" w:color="000000" w:sz="4"/>
                    <w:bottom w:val="none" w:color="000000" w:sz="4"/>
                    <w:right w:val="single" w:color="000000" w:sz="4"/>
                  </w:tcBorders>
                </w:tcPr>
                <w:p/>
              </w:tc>
              <w:tc>
                <w:tcPr>
                  <w:tcW w:type="dxa" w:w="362"/>
                  <w:vMerge/>
                  <w:tcBorders>
                    <w:top w:val="none" w:color="000000" w:sz="4"/>
                    <w:left w:val="none" w:color="000000" w:sz="4"/>
                    <w:bottom w:val="none" w:color="000000" w:sz="4"/>
                    <w:right w:val="single" w:color="000000" w:sz="4"/>
                  </w:tcBorders>
                </w:tcP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网络节点</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163</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个</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163</w:t>
                  </w:r>
                </w:p>
              </w:tc>
            </w:tr>
          </w:tbl>
          <w:p/>
        </w:tc>
      </w:tr>
    </w:tbl>
    <w:p>
      <w:pPr>
        <w:pStyle w:val="null3"/>
        <w:outlineLvl w:val="2"/>
      </w:pPr>
      <w:r>
        <w:rPr>
          <w:sz w:val="28"/>
          <w:b/>
        </w:rPr>
        <w:t>3.2.3人员配置要求</w:t>
      </w:r>
    </w:p>
    <w:p>
      <w:pPr>
        <w:pStyle w:val="null3"/>
      </w:pPr>
      <w:r>
        <w:rPr/>
        <w:t>采购包1：</w:t>
      </w:r>
    </w:p>
    <w:p>
      <w:pPr>
        <w:pStyle w:val="null3"/>
      </w:pPr>
      <w:r>
        <w:rPr/>
        <w:t>服务队伍要求：在服务过程中指定一名具有项目经理相关从业资质的人员，同时具备丰富的项目管理经验，至少1个及以上同规模项目的项目经理任职经历，同时应具有预见和应对项目风险的能力；项目组成员需具备灾难恢复工作经验，包括但不限于安全设备管理、日志分析和事件响应等方面，以确保系统连续安全运行；为保证项目的连续性，在项目服务周期内不得随意更换服务人员。</w:t>
      </w:r>
    </w:p>
    <w:p>
      <w:pPr>
        <w:pStyle w:val="null3"/>
        <w:outlineLvl w:val="2"/>
      </w:pPr>
      <w:r>
        <w:rPr>
          <w:sz w:val="28"/>
          <w:b/>
        </w:rPr>
        <w:t>3.2.4设施设备要求</w:t>
      </w:r>
    </w:p>
    <w:p>
      <w:pPr>
        <w:pStyle w:val="null3"/>
      </w:pPr>
      <w:r>
        <w:rPr/>
        <w:t>采购包1：</w:t>
      </w:r>
    </w:p>
    <w:p>
      <w:pPr>
        <w:pStyle w:val="null3"/>
      </w:pPr>
      <w:r>
        <w:rPr/>
        <w:t>详见“技术参数与性能指标”。</w:t>
      </w:r>
    </w:p>
    <w:p>
      <w:pPr>
        <w:pStyle w:val="null3"/>
        <w:outlineLvl w:val="2"/>
      </w:pPr>
      <w:r>
        <w:rPr>
          <w:sz w:val="28"/>
          <w:b/>
        </w:rPr>
        <w:t>3.2.5其他要求</w:t>
      </w:r>
    </w:p>
    <w:p>
      <w:pPr>
        <w:pStyle w:val="null3"/>
      </w:pPr>
      <w:r>
        <w:rPr/>
        <w:t>采购包1：</w:t>
      </w:r>
    </w:p>
    <w:p>
      <w:pPr>
        <w:pStyle w:val="null3"/>
      </w:pPr>
      <w:r>
        <w:rPr/>
        <w:t>1.分项价格要求 该项目预算为53万元，由12122热线软件维护（预算：19万元）、12122硬件设备及网络维护（预算：22万元）、特殊专业化设备运维（预算：12万元）三部分内容组成。 磋商总报价限价：￥530,000.00元 单项限价： （1）12122热线软件维护最高限价：190,000.00元 （2）12122硬件设备及网络维护最高限价：220,000.00元 （3）特殊专业化设备运维最高限价：120，000.00元 供应商磋商总报价不得超过磋商总报价限价，单项报价不得超过单项限价，凡报价超过限价的将按不实质性响应采购文件处理。 2.网络安全要求 供应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供应商未发生过重大网络安全事件，按照要求签署网络安全责任协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服务期9个月（2024年10月1日-2025年6月30日）</w:t>
      </w:r>
    </w:p>
    <w:p>
      <w:pPr>
        <w:pStyle w:val="null3"/>
        <w:outlineLvl w:val="3"/>
      </w:pPr>
      <w:r>
        <w:rPr>
          <w:sz w:val="24"/>
          <w:b/>
        </w:rPr>
        <w:t>3.3.2服务地点</w:t>
      </w:r>
    </w:p>
    <w:p>
      <w:pPr>
        <w:pStyle w:val="null3"/>
      </w:pPr>
      <w:r>
        <w:rPr/>
        <w:t>采购包1：</w:t>
      </w:r>
    </w:p>
    <w:p>
      <w:pPr>
        <w:pStyle w:val="null3"/>
      </w:pPr>
      <w:r>
        <w:rPr/>
        <w:t>陕西省高速公路收费中心</w:t>
      </w:r>
    </w:p>
    <w:p>
      <w:pPr>
        <w:pStyle w:val="null3"/>
        <w:outlineLvl w:val="3"/>
      </w:pPr>
      <w:r>
        <w:rPr>
          <w:sz w:val="24"/>
          <w:b/>
        </w:rPr>
        <w:t>3.3.3考核（验收）标准和方法</w:t>
      </w:r>
    </w:p>
    <w:p>
      <w:pPr>
        <w:pStyle w:val="null3"/>
      </w:pPr>
      <w:r>
        <w:rPr/>
        <w:t>采购包1：</w:t>
      </w:r>
    </w:p>
    <w:p>
      <w:pPr>
        <w:pStyle w:val="null3"/>
      </w:pPr>
      <w:r>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合同签订10日内，供应商开具全额合同发票，采购人收到发票后15日内支付合同价款的65%</w:t>
      </w:r>
      <w:r>
        <w:rPr/>
        <w:t xml:space="preserve"> ，达到付款条件起 </w:t>
      </w:r>
      <w:r>
        <w:rPr/>
        <w:t>15</w:t>
      </w:r>
      <w:r>
        <w:rPr/>
        <w:t xml:space="preserve"> 日内，支付合同总金额的 </w:t>
      </w:r>
      <w:r>
        <w:rPr/>
        <w:t>65.00</w:t>
      </w:r>
      <w:r>
        <w:rPr/>
        <w:t>%。</w:t>
      </w:r>
    </w:p>
    <w:p>
      <w:pPr>
        <w:pStyle w:val="null3"/>
      </w:pPr>
      <w:r>
        <w:rPr/>
        <w:t>采购包1：</w:t>
      </w:r>
      <w:r>
        <w:rPr/>
        <w:t xml:space="preserve"> 付款条件说明： </w:t>
      </w:r>
      <w:r>
        <w:rPr/>
        <w:t>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 xml:space="preserve"> 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 xml:space="preserve"> 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 xml:space="preserve"> 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 xml:space="preserve"> 剩余35%按月支付（乙方应按季度向甲方提交阶段服务报告）</w:t>
      </w:r>
      <w:r>
        <w:rPr/>
        <w:t xml:space="preserve"> ，达到付款条件起 </w:t>
      </w:r>
      <w:r>
        <w:rPr/>
        <w:t>15</w:t>
      </w:r>
      <w:r>
        <w:rPr/>
        <w:t xml:space="preserve"> 日内，支付合同总金额的 </w:t>
      </w:r>
      <w:r>
        <w:rPr/>
        <w:t>4.00</w:t>
      </w:r>
      <w:r>
        <w:rPr/>
        <w:t>%。</w:t>
      </w:r>
    </w:p>
    <w:p>
      <w:pPr>
        <w:pStyle w:val="null3"/>
      </w:pPr>
      <w:r>
        <w:rPr/>
        <w:t>采购包1：</w:t>
      </w:r>
      <w:r>
        <w:rPr/>
        <w:t xml:space="preserve"> 付款条件说明： </w:t>
      </w:r>
      <w:r>
        <w:rPr/>
        <w:t xml:space="preserve"> 剩余35%按月支付（乙方应按季度向甲方提交阶段服务报告），最后一次在服务期满并通过验收后支付</w:t>
      </w:r>
      <w:r>
        <w:rPr/>
        <w:t xml:space="preserve"> ，达到付款条件起 </w:t>
      </w:r>
      <w:r>
        <w:rPr/>
        <w:t>15</w:t>
      </w:r>
      <w:r>
        <w:rPr/>
        <w:t xml:space="preserve"> 日内，支付合同总金额的 </w:t>
      </w:r>
      <w:r>
        <w:rPr/>
        <w:t>3.00</w:t>
      </w:r>
      <w:r>
        <w:rPr/>
        <w:t>%。</w:t>
      </w:r>
    </w:p>
    <w:p>
      <w:pPr>
        <w:pStyle w:val="null3"/>
        <w:outlineLvl w:val="3"/>
      </w:pPr>
      <w:r>
        <w:rPr>
          <w:sz w:val="24"/>
          <w:b/>
        </w:rPr>
        <w:t>3.3.6违约责任及解决争议的方法</w:t>
      </w:r>
    </w:p>
    <w:p>
      <w:pPr>
        <w:pStyle w:val="null3"/>
      </w:pPr>
      <w:r>
        <w:rPr/>
        <w:t>采购包1：</w:t>
      </w:r>
    </w:p>
    <w:p>
      <w:pPr>
        <w:pStyle w:val="null3"/>
      </w:pPr>
      <w:r>
        <w:rPr/>
        <w:t>因供应商原因，服务期间造成实际影响的，按以下条款处理： 1.应做好巡检，形成巡检记录，因巡检不到位造成故障不能及时发现处置，每次扣除服务费1000元。 2.12122热线系统出现故障12小时内未发现，每次扣除维护服务费2000元。 3.12122热线系统故障，影响使用超过24小时，每次扣除维护服务费2000元。 4.由于乙方原因，造成甲方损失并导致严重不良影响的，每次扣除维护服务费5000元。乙方应以最短时间恢复系统正常运转，期间产生的一切费用由乙方承担。 5.12122热线系统及服务器登录密码不符合密码复杂性策略，发现一处弱口令，扣除服务费5000元。 6.节假日、重要活动等特殊时期的保障，应加强值班值守，若发现有人擅离职守，发现1次，每次扣除服务费2000元；未按要求提前进行系统安全检查，由于系统安全问题，造成系统不能正常运行，每次扣除服务费2000元。</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供应商不得在“信用中国” 网站被列入失信被执行人名单、重大税收违法案件当事人名单和不得在“中国政府采购网”被列入政府采购严重违法失信行为记录名单。</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明，并与营业执照上信息一致。法定代表人授权代表参加磋商的，须出具法定代表人授权委托书。（其他组织或自然人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1）提供2022年度或2023年度的财务审计报告（至少包含“四表一注”，即资产负债表、利润表、现金流量表、所有者权益变动表及附注）；（2）提供递交响应文件截止日期前三个月内（递交响应文件截止时间当月不计入）其基本存款账户开户银行出具的资信证明及基本存款账户开户许可证（基本账户信息）（3）财政部门认可的政府采购专业担保机构出具的担保函(附开户许可证或开户备案证明或基本账户信息)。以上三种形式的证明资料提供任何一种即可。（事业法人仅提供部门决算报告即可）</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提供递交响应文件截止日期前十二个月（递交响应文件截止时间当月不计入）内已缴存的至少一个月的纳税证明或完税证明，依法免税的单位应提供相关证明材料。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递交响应文件截止日期前十二个月内（递交响应文件截止时间当月不计入）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提交履行合同所必需的设备和专业技术能力的书面声明。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本项目不接受联合体响应</w:t>
            </w:r>
          </w:p>
        </w:tc>
        <w:tc>
          <w:tcPr>
            <w:tcW w:type="dxa" w:w="3322"/>
          </w:tcPr>
          <w:p>
            <w:pPr>
              <w:pStyle w:val="null3"/>
            </w:pPr>
            <w:r>
              <w:rPr/>
              <w:t>非联合体投标承诺书。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报价明细表 标的清单 报价表</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磋商响应文件签署、盖章有效性</w:t>
            </w:r>
          </w:p>
        </w:tc>
        <w:tc>
          <w:tcPr>
            <w:tcW w:type="dxa" w:w="3322"/>
          </w:tcPr>
          <w:p>
            <w:pPr>
              <w:pStyle w:val="null3"/>
            </w:pPr>
            <w:r>
              <w:rPr/>
              <w:t>磋商响应文件的签署、盖章符合竞争性磋商文件要求</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符合竞争性磋商文件要求</w:t>
            </w:r>
          </w:p>
        </w:tc>
        <w:tc>
          <w:tcPr>
            <w:tcW w:type="dxa" w:w="1661"/>
          </w:tcPr>
          <w:p>
            <w:pPr>
              <w:pStyle w:val="null3"/>
            </w:pPr>
            <w:r>
              <w:rPr/>
              <w:t>商务响应偏离表 标的清单 报价表</w:t>
            </w:r>
          </w:p>
        </w:tc>
      </w:tr>
      <w:tr>
        <w:tc>
          <w:tcPr>
            <w:tcW w:type="dxa" w:w="831"/>
          </w:tcPr>
          <w:p>
            <w:pPr>
              <w:pStyle w:val="null3"/>
            </w:pPr>
            <w:r>
              <w:rPr/>
              <w:t>7</w:t>
            </w:r>
          </w:p>
        </w:tc>
        <w:tc>
          <w:tcPr>
            <w:tcW w:type="dxa" w:w="2492"/>
          </w:tcPr>
          <w:p>
            <w:pPr>
              <w:pStyle w:val="null3"/>
            </w:pPr>
            <w:r>
              <w:rPr/>
              <w:t>对磋商文件响应程度</w:t>
            </w:r>
          </w:p>
        </w:tc>
        <w:tc>
          <w:tcPr>
            <w:tcW w:type="dxa" w:w="3322"/>
          </w:tcPr>
          <w:p>
            <w:pPr>
              <w:pStyle w:val="null3"/>
            </w:pPr>
            <w:r>
              <w:rPr/>
              <w:t>要求实质性条款完全响应，不能有采购人不能接受的附加条件</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磋商保证金缴纳凭证</w:t>
            </w:r>
          </w:p>
        </w:tc>
        <w:tc>
          <w:tcPr>
            <w:tcW w:type="dxa" w:w="1661"/>
          </w:tcPr>
          <w:p>
            <w:pPr>
              <w:pStyle w:val="null3"/>
            </w:pPr>
            <w:r>
              <w:rPr/>
              <w:t>投标保证金汇款凭证及基本账户信息</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不存在法律、法规和磋商文件规定的其他无效情况</w:t>
            </w:r>
          </w:p>
        </w:tc>
        <w:tc>
          <w:tcPr>
            <w:tcW w:type="dxa" w:w="1661"/>
          </w:tcPr>
          <w:p>
            <w:pPr>
              <w:pStyle w:val="null3"/>
            </w:pPr>
            <w:r>
              <w:rPr/>
              <w:t>商务响应偏离表 供应商认为需要提供的其他资料 中小企业声明函 投标保证金汇款凭证及基本账户信息 报价表 响应文件封面 资格证明文件 类似项目业绩 人员简历表 残疾人福利性单位声明函 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项目需求分析</w:t>
            </w:r>
          </w:p>
        </w:tc>
        <w:tc>
          <w:tcPr>
            <w:tcW w:type="dxa" w:w="2492"/>
          </w:tcPr>
          <w:p>
            <w:pPr>
              <w:pStyle w:val="null3"/>
            </w:pPr>
            <w:r>
              <w:rPr/>
              <w:t>根据供应商针对本项目12122热线运行维护具体内容的理解掌握程度，能否保证本项目日常维护管理的正常开展响应情况进行打分。 需求分析全面、透彻得(10-15]分；相对全面、合理得(5-10]分；一般全面、合理，得(0-5]分；未提供得0分。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总体实施方案</w:t>
            </w:r>
          </w:p>
        </w:tc>
        <w:tc>
          <w:tcPr>
            <w:tcW w:type="dxa" w:w="2492"/>
          </w:tcPr>
          <w:p>
            <w:pPr>
              <w:pStyle w:val="null3"/>
            </w:pPr>
            <w:r>
              <w:rPr/>
              <w:t>供应商应根据本项目提供详细的项目运维实施方案，有详细、具体、可行的进度保障计划，并能够提出对本项目实施的重点、难点给出有针对性、建设性的解决方案，招标小组针对整个方案的完整性、可行性、延续性、安全性响应程度综合评审： 方案完整，可实施性强，得（14-20]分；方案整体较合理，实施计划较详细，得(7-14]分；一般，得（0-7]分；未提供得0分。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安全方案</w:t>
            </w:r>
          </w:p>
        </w:tc>
        <w:tc>
          <w:tcPr>
            <w:tcW w:type="dxa" w:w="2492"/>
          </w:tcPr>
          <w:p>
            <w:pPr>
              <w:pStyle w:val="null3"/>
            </w:pPr>
            <w:r>
              <w:rPr/>
              <w:t>供应商的维护维修服务工作必须遵循并优化现有的安全体系，必须在现有安全体制下提出确保设备、系统安全可靠的安全策略、措施和步骤，制定切实可行的安全策略，保障工作有序进行。 安全策略详尽可行，得(7-10]分；安全策略合理，得(4-7]分；安全策略可行，得（0-4]分；未提供得0分。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应急措施和解决方案</w:t>
            </w:r>
          </w:p>
        </w:tc>
        <w:tc>
          <w:tcPr>
            <w:tcW w:type="dxa" w:w="2492"/>
          </w:tcPr>
          <w:p>
            <w:pPr>
              <w:pStyle w:val="null3"/>
            </w:pPr>
            <w:r>
              <w:rPr/>
              <w:t>针对项目实施过程中可能出现的问题及重大故障，提出应急措施和解决方案。 应急措施完善，解决方案合理并有明确承诺的，得(4-5]分；应急措施较为完善，解决方案较为合理的，得(2-4]分；未提出相应方案或方案较为简单，不切实际的，得（0-2]分；未提供得0分。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人员配置方案</w:t>
            </w:r>
          </w:p>
        </w:tc>
        <w:tc>
          <w:tcPr>
            <w:tcW w:type="dxa" w:w="2492"/>
          </w:tcPr>
          <w:p>
            <w:pPr>
              <w:pStyle w:val="null3"/>
            </w:pPr>
            <w:r>
              <w:rPr/>
              <w:t>针对本项目提供实施过程服务团队。 有详细的人员配置方案，有健全的组织机构及工作安排，岗位分工明确，得（4-5]分；有详细的人员配置方案，组织机构及工作安排基本完善、合理，岗位分工明确，得（2-4]分；有详细的人员配置方案，组织机构及工作安排合理性差，岗位分工不明确，得（0-2]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人员简历表</w:t>
            </w:r>
          </w:p>
          <w:p>
            <w:pPr>
              <w:pStyle w:val="null3"/>
            </w:pPr>
            <w:r>
              <w:rPr/>
              <w:t>供应商认为需要提供的其他资料</w:t>
            </w:r>
          </w:p>
        </w:tc>
      </w:tr>
      <w:tr>
        <w:tc>
          <w:tcPr>
            <w:tcW w:type="dxa" w:w="831"/>
            <w:vMerge/>
          </w:tcPr>
          <w:p/>
        </w:tc>
        <w:tc>
          <w:tcPr>
            <w:tcW w:type="dxa" w:w="1661"/>
          </w:tcPr>
          <w:p>
            <w:pPr>
              <w:pStyle w:val="null3"/>
            </w:pPr>
            <w:r>
              <w:rPr/>
              <w:t>实施进度及计划</w:t>
            </w:r>
          </w:p>
        </w:tc>
        <w:tc>
          <w:tcPr>
            <w:tcW w:type="dxa" w:w="2492"/>
          </w:tcPr>
          <w:p>
            <w:pPr>
              <w:pStyle w:val="null3"/>
            </w:pPr>
            <w:r>
              <w:rPr/>
              <w:t>项目实施进度和运维服务计划安排合理，有明确的项目实施计划和项目进度安排，良好得（3-5]分；一般得（0-3]分；未提供得0分。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服务保障</w:t>
            </w:r>
          </w:p>
        </w:tc>
        <w:tc>
          <w:tcPr>
            <w:tcW w:type="dxa" w:w="2492"/>
          </w:tcPr>
          <w:p>
            <w:pPr>
              <w:pStyle w:val="null3"/>
            </w:pPr>
            <w:r>
              <w:rPr/>
              <w:t>针对本项目提供服务管理体系和服务保障体系，体系完整，可行性、可操作性强，有具体流程，得（4-8]分；体系完整，具有可行性、可操作性，有具体流程，得（0-4]分；未提供得0分。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供应商认为需要提供的其他资料</w:t>
            </w:r>
          </w:p>
        </w:tc>
      </w:tr>
      <w:tr>
        <w:tc>
          <w:tcPr>
            <w:tcW w:type="dxa" w:w="831"/>
            <w:vMerge/>
          </w:tcPr>
          <w:p/>
        </w:tc>
        <w:tc>
          <w:tcPr>
            <w:tcW w:type="dxa" w:w="1661"/>
          </w:tcPr>
          <w:p>
            <w:pPr>
              <w:pStyle w:val="null3"/>
            </w:pPr>
            <w:r>
              <w:rPr/>
              <w:t>业绩</w:t>
            </w:r>
          </w:p>
        </w:tc>
        <w:tc>
          <w:tcPr>
            <w:tcW w:type="dxa" w:w="2492"/>
          </w:tcPr>
          <w:p>
            <w:pPr>
              <w:pStyle w:val="null3"/>
            </w:pPr>
            <w:r>
              <w:rPr/>
              <w:t>供应商提供自2021年1月1日至文件提交截止日期前承接过类似项目业绩。每提供1个得3分，多个累计，此项最高得12分；未提供，得0分。 （以上业绩证明须提供包括签订合同的首页、实质性服务内容所在页、签字盖章等合同关键页并加盖公章）</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1、满足磋商文件要求且最终报价最低的供应商的价格为磋商基准价，其价格分为满分20分。 2、磋商报价得分=（磋商基准价/最终磋商报价） ×20（因落实政府采购政策进行价格调整的，以调整后的价格计算磋商基准价和磋商报价得分，详见磋商文件政府采购政策评分标准）。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详见附件：投标保证金汇款凭证及基本账户信息</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详见附件：商务响应偏离表</w:t>
      </w:r>
    </w:p>
    <w:p>
      <w:pPr>
        <w:pStyle w:val="null3"/>
        <w:ind w:firstLine="960"/>
      </w:pPr>
      <w:r>
        <w:rPr/>
        <w:t>详见附件：服务方案</w:t>
      </w:r>
    </w:p>
    <w:p>
      <w:pPr>
        <w:pStyle w:val="null3"/>
        <w:ind w:firstLine="960"/>
      </w:pPr>
      <w:r>
        <w:rPr/>
        <w:t>详见附件：人员简历表</w:t>
      </w:r>
    </w:p>
    <w:p>
      <w:pPr>
        <w:pStyle w:val="null3"/>
        <w:ind w:firstLine="960"/>
      </w:pPr>
      <w:r>
        <w:rPr/>
        <w:t>详见附件：类似项目业绩</w:t>
      </w:r>
    </w:p>
    <w:p>
      <w:pPr>
        <w:pStyle w:val="null3"/>
        <w:ind w:firstLine="960"/>
      </w:pPr>
      <w:r>
        <w:rPr/>
        <w:t>详见附件：供应商认为需要提供的其他资料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详见附件：《12122热线运行维护》合同参考格式及主要条款.docx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