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(1)营业执照：</w:t>
      </w:r>
      <w:r>
        <w:rPr>
          <w:rFonts w:hint="eastAsia" w:ascii="宋体" w:hAnsi="宋体" w:eastAsia="宋体" w:cs="宋体"/>
          <w:color w:val="auto"/>
          <w:kern w:val="0"/>
          <w:sz w:val="24"/>
          <w:szCs w:val="24"/>
          <w:lang w:val="en-US" w:eastAsia="zh-CN" w:bidi="ar-SA"/>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(2)财务状况报告：</w:t>
      </w:r>
      <w:r>
        <w:rPr>
          <w:rFonts w:hint="eastAsia" w:ascii="宋体" w:hAnsi="宋体" w:eastAsia="宋体" w:cs="宋体"/>
          <w:color w:val="auto"/>
          <w:kern w:val="0"/>
          <w:sz w:val="24"/>
          <w:szCs w:val="24"/>
          <w:lang w:val="en-US" w:eastAsia="zh-CN" w:bidi="ar-SA"/>
        </w:rPr>
        <w:t>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(3)完税证明：</w:t>
      </w:r>
      <w:r>
        <w:rPr>
          <w:rFonts w:hint="eastAsia" w:ascii="宋体" w:hAnsi="宋体" w:eastAsia="宋体" w:cs="宋体"/>
          <w:color w:val="auto"/>
          <w:kern w:val="0"/>
          <w:sz w:val="24"/>
          <w:szCs w:val="24"/>
          <w:lang w:val="en-US" w:eastAsia="zh-CN" w:bidi="ar-SA"/>
        </w:rPr>
        <w:t>供应商须提供投标截止时间前一年内，已缴纳的任意一个月的纳税证明或完税证明，纳税证明或完税证明上应有代收机构或税务机关的公章或业务专用章，依法免税的投标人应提供相关文件证明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(4)社保缴纳凭证：</w:t>
      </w:r>
      <w:r>
        <w:rPr>
          <w:rFonts w:hint="eastAsia" w:ascii="宋体" w:hAnsi="宋体" w:eastAsia="宋体" w:cs="宋体"/>
          <w:color w:val="auto"/>
          <w:kern w:val="0"/>
          <w:sz w:val="24"/>
          <w:szCs w:val="24"/>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(5)无重大违法记录的书面声明：</w:t>
      </w:r>
      <w:r>
        <w:rPr>
          <w:rFonts w:hint="eastAsia" w:ascii="宋体" w:hAnsi="宋体" w:eastAsia="宋体" w:cs="宋体"/>
          <w:color w:val="auto"/>
          <w:kern w:val="0"/>
          <w:sz w:val="24"/>
          <w:szCs w:val="24"/>
          <w:lang w:val="en-US" w:eastAsia="zh-CN" w:bidi="ar-SA"/>
        </w:rPr>
        <w:t>提供参加政府采购活动前三年内，在经营活动中没有重大违法记录的书面声明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(6)履约声明：</w:t>
      </w:r>
      <w:r>
        <w:rPr>
          <w:rFonts w:hint="eastAsia" w:ascii="宋体" w:hAnsi="宋体" w:eastAsia="宋体" w:cs="宋体"/>
          <w:color w:val="auto"/>
          <w:kern w:val="0"/>
          <w:sz w:val="24"/>
          <w:szCs w:val="24"/>
          <w:lang w:val="en-US" w:eastAsia="zh-CN" w:bidi="ar-SA"/>
        </w:rPr>
        <w:t>具有履行合同所必需的设备和专业技术能力的书面声明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(7)</w:t>
      </w:r>
      <w:r>
        <w:rPr>
          <w:rFonts w:hint="eastAsia" w:ascii="宋体" w:hAnsi="宋体" w:eastAsia="宋体" w:cs="宋体"/>
          <w:color w:val="auto"/>
          <w:kern w:val="0"/>
          <w:sz w:val="24"/>
          <w:szCs w:val="24"/>
          <w:lang w:val="en-US" w:eastAsia="zh-CN" w:bidi="ar-SA"/>
        </w:rPr>
        <w:t>法定代表人授权书(附法定代表人、被授权人身份证复印件)及被授权人身份证复印件(法定代表人直接参加招标，须提供法定代表人身份证明及身份证复印件)；非法人单位参照执行</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8</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企业资质：QL标:投标人须具有交通运输主管部门颁发的公路工程试验检测综合类甲级资质或桥梁隧道工程试验检测专项类资质。同时，投标人须具备有效的国家质量技术监督部门颁发的省部级以上计量认证（CMA）合格证书（具有桥梁检测能力）</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（8）企业信誉：</w:t>
      </w:r>
      <w:r>
        <w:rPr>
          <w:rFonts w:hint="eastAsia" w:ascii="宋体" w:hAnsi="宋体" w:eastAsia="宋体" w:cs="宋体"/>
          <w:color w:val="auto"/>
          <w:kern w:val="0"/>
          <w:sz w:val="24"/>
          <w:szCs w:val="24"/>
          <w:lang w:val="en-US" w:eastAsia="zh-CN" w:bidi="ar-SA"/>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9</w:t>
      </w:r>
      <w:r>
        <w:rPr>
          <w:rFonts w:hint="eastAsia" w:ascii="宋体" w:hAnsi="宋体" w:eastAsia="宋体" w:cs="宋体"/>
          <w:color w:val="auto"/>
          <w:kern w:val="0"/>
          <w:sz w:val="24"/>
          <w:szCs w:val="24"/>
          <w:lang w:val="zh-CN" w:eastAsia="zh-CN" w:bidi="ar-SA"/>
        </w:rPr>
        <w:t>）供应商关联关系声明：</w:t>
      </w:r>
      <w:r>
        <w:rPr>
          <w:rFonts w:hint="eastAsia" w:ascii="宋体" w:hAnsi="宋体" w:eastAsia="宋体" w:cs="宋体"/>
          <w:color w:val="auto"/>
          <w:kern w:val="0"/>
          <w:sz w:val="24"/>
          <w:szCs w:val="24"/>
          <w:lang w:val="en-US" w:eastAsia="zh-CN" w:bidi="ar-SA"/>
        </w:rPr>
        <w:t>单位负责人为同一人或者存在直接控股、管理关系的不同投标人，不得参加同一项目的招标活动；（提供承诺书）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10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投标保证金：投标保证金缴纳凭证或担保机构出具的保函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w:t>
      </w:r>
      <w:r>
        <w:rPr>
          <w:rFonts w:hint="eastAsia" w:ascii="宋体" w:hAnsi="宋体" w:eastAsia="宋体" w:cs="宋体"/>
          <w:color w:val="auto"/>
          <w:kern w:val="0"/>
          <w:sz w:val="24"/>
          <w:szCs w:val="24"/>
          <w:lang w:val="en-US" w:eastAsia="zh-CN" w:bidi="ar-SA"/>
        </w:rPr>
        <w:t>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不允许组成联合体投标；（提供承诺书）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）本项目为非专门面向中小企业采购（提供中小企业声明函）</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宋体"/>
          <w:color w:val="auto"/>
          <w:kern w:val="0"/>
          <w:sz w:val="24"/>
          <w:szCs w:val="24"/>
          <w:lang w:val="zh-CN" w:eastAsia="zh-CN" w:bidi="ar-SA"/>
        </w:rPr>
      </w:pP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pPr>
        <w:spacing w:line="500" w:lineRule="exact"/>
        <w:rPr>
          <w:rFonts w:hint="eastAsia" w:ascii="宋体" w:hAnsi="宋体" w:eastAsia="宋体" w:cs="宋体"/>
          <w:b/>
          <w:bCs/>
          <w:color w:val="auto"/>
          <w:sz w:val="30"/>
          <w:szCs w:val="30"/>
        </w:rPr>
      </w:pPr>
    </w:p>
    <w:p>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r>
        <w:rPr>
          <w:rFonts w:hint="eastAsia" w:ascii="宋体" w:hAnsi="宋体" w:eastAsia="宋体" w:cs="宋体"/>
          <w:color w:val="auto"/>
          <w:sz w:val="24"/>
        </w:rPr>
        <w:t>我单位具有履行合同所必需的设备和专业技术能力，</w:t>
      </w:r>
      <w:r>
        <w:rPr>
          <w:rFonts w:hint="eastAsia" w:ascii="宋体" w:hAnsi="宋体" w:eastAsia="宋体" w:cs="宋体"/>
          <w:color w:val="auto"/>
          <w:sz w:val="24"/>
        </w:rPr>
        <w:t>未为本项目提供整体设计、规范编制或者项目管理、监理、检测等服务</w:t>
      </w:r>
      <w:r>
        <w:rPr>
          <w:rFonts w:hint="eastAsia" w:ascii="宋体" w:hAnsi="宋体" w:eastAsia="宋体" w:cs="宋体"/>
          <w:color w:val="auto"/>
          <w:sz w:val="24"/>
        </w:rPr>
        <w:t>。</w:t>
      </w:r>
    </w:p>
    <w:p>
      <w:pPr>
        <w:pStyle w:val="4"/>
        <w:spacing w:line="360" w:lineRule="auto"/>
        <w:rPr>
          <w:rFonts w:hint="eastAsia" w:ascii="宋体" w:hAnsi="宋体" w:eastAsia="宋体" w:cs="宋体"/>
          <w:color w:val="auto"/>
          <w:sz w:val="24"/>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（公章</w:t>
      </w:r>
      <w:r>
        <w:rPr>
          <w:rFonts w:hint="eastAsia" w:ascii="宋体" w:hAnsi="宋体" w:eastAsia="宋体" w:cs="宋体"/>
          <w:color w:val="auto"/>
          <w:sz w:val="24"/>
        </w:rPr>
        <w:t>）：</w:t>
      </w:r>
      <w:r>
        <w:rPr>
          <w:rFonts w:hint="eastAsia" w:ascii="宋体" w:hAnsi="宋体" w:eastAsia="宋体" w:cs="宋体"/>
          <w:color w:val="auto"/>
          <w:sz w:val="24"/>
        </w:rPr>
        <w:t xml:space="preserve">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rPr>
        <w:t>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w:t>
      </w:r>
      <w:r>
        <w:rPr>
          <w:rFonts w:hint="eastAsia" w:ascii="宋体" w:hAnsi="宋体" w:eastAsia="宋体" w:cs="宋体"/>
          <w:color w:val="auto"/>
          <w:sz w:val="24"/>
        </w:rPr>
        <w:t xml:space="preserve"> </w:t>
      </w:r>
      <w:r>
        <w:rPr>
          <w:rFonts w:hint="eastAsia" w:ascii="宋体" w:hAnsi="宋体" w:eastAsia="宋体" w:cs="宋体"/>
          <w:color w:val="auto"/>
          <w:sz w:val="24"/>
        </w:rPr>
        <w:t>期</w:t>
      </w:r>
      <w:r>
        <w:rPr>
          <w:rFonts w:hint="eastAsia" w:ascii="宋体" w:hAnsi="宋体" w:eastAsia="宋体" w:cs="宋体"/>
          <w:color w:val="auto"/>
          <w:sz w:val="24"/>
        </w:rPr>
        <w:t>：</w:t>
      </w:r>
      <w:r>
        <w:rPr>
          <w:rFonts w:hint="eastAsia" w:ascii="宋体" w:hAnsi="宋体" w:eastAsia="宋体" w:cs="宋体"/>
          <w:color w:val="auto"/>
          <w:sz w:val="24"/>
        </w:rPr>
        <w:t xml:space="preserve">      年    月    日</w:t>
      </w:r>
      <w:r>
        <w:rPr>
          <w:rFonts w:hint="eastAsia" w:ascii="宋体" w:hAnsi="宋体" w:eastAsia="宋体" w:cs="宋体"/>
          <w:color w:val="auto"/>
          <w:sz w:val="24"/>
        </w:rPr>
        <w:t xml:space="preserve"> </w:t>
      </w:r>
    </w:p>
    <w:p>
      <w:pPr>
        <w:pStyle w:val="11"/>
        <w:spacing w:after="190"/>
        <w:ind w:firstLine="240"/>
        <w:rPr>
          <w:rFonts w:hint="eastAsia" w:ascii="宋体" w:hAnsi="宋体" w:eastAsia="宋体" w:cs="宋体"/>
          <w:color w:val="auto"/>
          <w:sz w:val="24"/>
        </w:rPr>
      </w:pPr>
    </w:p>
    <w:p>
      <w:pPr>
        <w:spacing w:line="500" w:lineRule="exact"/>
        <w:ind w:firstLine="561"/>
        <w:rPr>
          <w:rFonts w:hint="eastAsia" w:ascii="宋体" w:hAnsi="宋体" w:eastAsia="宋体" w:cs="宋体"/>
          <w:b/>
          <w:bCs/>
          <w:color w:val="auto"/>
          <w:sz w:val="24"/>
        </w:rPr>
      </w:pPr>
      <w:bookmarkStart w:id="0" w:name="_Toc4561"/>
      <w:bookmarkStart w:id="1" w:name="_Toc20662"/>
      <w:bookmarkStart w:id="2" w:name="_Toc25524"/>
      <w:bookmarkStart w:id="3" w:name="_Toc15868"/>
      <w:bookmarkStart w:id="4" w:name="_Toc1517"/>
      <w:bookmarkStart w:id="5" w:name="_Toc9165"/>
      <w:bookmarkStart w:id="6" w:name="_Toc32331"/>
      <w:bookmarkStart w:id="7" w:name="_Toc708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pPr>
        <w:spacing w:line="360" w:lineRule="atLeast"/>
        <w:jc w:val="center"/>
        <w:rPr>
          <w:rFonts w:hint="eastAsia" w:ascii="宋体" w:hAnsi="宋体" w:eastAsia="宋体" w:cs="宋体"/>
          <w:b/>
          <w:color w:val="auto"/>
          <w:sz w:val="32"/>
          <w:szCs w:val="32"/>
        </w:rPr>
      </w:pPr>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w:t>
      </w:r>
      <w:r>
        <w:rPr>
          <w:rFonts w:hint="eastAsia" w:ascii="宋体" w:hAnsi="宋体" w:eastAsia="宋体" w:cs="宋体"/>
          <w:color w:val="auto"/>
          <w:sz w:val="24"/>
        </w:rPr>
        <w:t>单位</w:t>
      </w:r>
      <w:r>
        <w:rPr>
          <w:rFonts w:hint="eastAsia" w:ascii="宋体" w:hAnsi="宋体" w:eastAsia="宋体" w:cs="宋体"/>
          <w:color w:val="auto"/>
          <w:sz w:val="24"/>
        </w:rPr>
        <w:t>声明参加本次政府采购活动前三年内，在经营活动中没有重大违纪，以及未被列入失信被执行人、未</w:t>
      </w:r>
      <w:r>
        <w:rPr>
          <w:rFonts w:hint="eastAsia" w:ascii="宋体" w:hAnsi="宋体" w:eastAsia="宋体" w:cs="宋体"/>
          <w:color w:val="auto"/>
          <w:sz w:val="24"/>
        </w:rPr>
        <w:t>在</w:t>
      </w:r>
      <w:r>
        <w:rPr>
          <w:rFonts w:hint="eastAsia" w:ascii="宋体" w:hAnsi="宋体" w:eastAsia="宋体" w:cs="宋体"/>
          <w:color w:val="auto"/>
          <w:sz w:val="24"/>
        </w:rPr>
        <w:t>重大税收违法失信主体及政府采购严重违法失信行为记录名单中。</w:t>
      </w:r>
    </w:p>
    <w:p>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w:t>
      </w:r>
      <w:r>
        <w:rPr>
          <w:rFonts w:hint="eastAsia" w:ascii="宋体" w:hAnsi="宋体" w:eastAsia="宋体" w:cs="宋体"/>
          <w:color w:val="auto"/>
          <w:sz w:val="24"/>
        </w:rPr>
        <w:t>上如</w:t>
      </w:r>
      <w:r>
        <w:rPr>
          <w:rFonts w:hint="eastAsia" w:ascii="宋体" w:hAnsi="宋体" w:eastAsia="宋体" w:cs="宋体"/>
          <w:color w:val="auto"/>
          <w:sz w:val="24"/>
        </w:rPr>
        <w:t>构成</w:t>
      </w:r>
      <w:r>
        <w:rPr>
          <w:rFonts w:hint="eastAsia" w:ascii="宋体" w:hAnsi="宋体" w:eastAsia="宋体" w:cs="宋体"/>
          <w:color w:val="auto"/>
          <w:sz w:val="24"/>
        </w:rPr>
        <w:t>虚</w:t>
      </w:r>
      <w:r>
        <w:rPr>
          <w:rFonts w:hint="eastAsia" w:ascii="宋体" w:hAnsi="宋体" w:eastAsia="宋体" w:cs="宋体"/>
          <w:color w:val="auto"/>
          <w:sz w:val="24"/>
        </w:rPr>
        <w:t>假</w:t>
      </w:r>
      <w:r>
        <w:rPr>
          <w:rFonts w:hint="eastAsia" w:ascii="宋体" w:hAnsi="宋体" w:eastAsia="宋体" w:cs="宋体"/>
          <w:color w:val="auto"/>
          <w:sz w:val="24"/>
        </w:rPr>
        <w:t>，自愿承担相关法律责任。</w:t>
      </w:r>
    </w:p>
    <w:p>
      <w:pPr>
        <w:spacing w:line="360" w:lineRule="auto"/>
        <w:jc w:val="left"/>
        <w:rPr>
          <w:rFonts w:hint="eastAsia" w:ascii="宋体" w:hAnsi="宋体" w:eastAsia="宋体" w:cs="宋体"/>
          <w:b/>
          <w:color w:val="auto"/>
          <w:sz w:val="32"/>
          <w:szCs w:val="32"/>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（公章</w:t>
      </w:r>
      <w:r>
        <w:rPr>
          <w:rFonts w:hint="eastAsia" w:ascii="宋体" w:hAnsi="宋体" w:eastAsia="宋体" w:cs="宋体"/>
          <w:color w:val="auto"/>
          <w:sz w:val="24"/>
        </w:rPr>
        <w:t>）：</w:t>
      </w:r>
      <w:r>
        <w:rPr>
          <w:rFonts w:hint="eastAsia" w:ascii="宋体" w:hAnsi="宋体" w:eastAsia="宋体" w:cs="宋体"/>
          <w:color w:val="auto"/>
          <w:sz w:val="24"/>
        </w:rPr>
        <w:t xml:space="preserve">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rPr>
        <w:t>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w:t>
      </w:r>
      <w:r>
        <w:rPr>
          <w:rFonts w:hint="eastAsia" w:ascii="宋体" w:hAnsi="宋体" w:eastAsia="宋体" w:cs="宋体"/>
          <w:color w:val="auto"/>
          <w:sz w:val="24"/>
        </w:rPr>
        <w:t xml:space="preserve"> </w:t>
      </w:r>
      <w:r>
        <w:rPr>
          <w:rFonts w:hint="eastAsia" w:ascii="宋体" w:hAnsi="宋体" w:eastAsia="宋体" w:cs="宋体"/>
          <w:color w:val="auto"/>
          <w:sz w:val="24"/>
        </w:rPr>
        <w:t>期</w:t>
      </w:r>
      <w:r>
        <w:rPr>
          <w:rFonts w:hint="eastAsia" w:ascii="宋体" w:hAnsi="宋体" w:eastAsia="宋体" w:cs="宋体"/>
          <w:color w:val="auto"/>
          <w:sz w:val="24"/>
        </w:rPr>
        <w:t>：</w:t>
      </w:r>
      <w:r>
        <w:rPr>
          <w:rFonts w:hint="eastAsia" w:ascii="宋体" w:hAnsi="宋体" w:eastAsia="宋体" w:cs="宋体"/>
          <w:color w:val="auto"/>
          <w:sz w:val="24"/>
        </w:rPr>
        <w:t xml:space="preserve">      年    月    日</w:t>
      </w:r>
      <w:r>
        <w:rPr>
          <w:rFonts w:hint="eastAsia" w:ascii="宋体" w:hAnsi="宋体" w:eastAsia="宋体" w:cs="宋体"/>
          <w:color w:val="auto"/>
          <w:sz w:val="24"/>
        </w:rPr>
        <w:t xml:space="preserve"> </w:t>
      </w:r>
    </w:p>
    <w:p>
      <w:pPr>
        <w:rPr>
          <w:rFonts w:hint="eastAsia" w:ascii="宋体" w:hAnsi="宋体" w:eastAsia="宋体" w:cs="宋体"/>
          <w:b/>
          <w:bCs/>
          <w:color w:val="auto"/>
          <w:sz w:val="24"/>
        </w:rPr>
      </w:pPr>
      <w:r>
        <w:rPr>
          <w:rFonts w:hint="eastAsia" w:ascii="宋体" w:hAnsi="宋体" w:eastAsia="宋体" w:cs="宋体"/>
          <w:b/>
          <w:bCs/>
          <w:color w:val="auto"/>
          <w:sz w:val="24"/>
        </w:rPr>
        <w:br w:type="page"/>
      </w: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2023"/>
      <w:bookmarkStart w:id="9" w:name="_Toc10651"/>
      <w:bookmarkStart w:id="10" w:name="_Toc952"/>
      <w:bookmarkStart w:id="11" w:name="_Toc15131"/>
      <w:bookmarkStart w:id="12" w:name="_Toc26760"/>
      <w:bookmarkStart w:id="13" w:name="_Toc21260"/>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bl>
    <w:p>
      <w:pPr>
        <w:spacing w:line="500" w:lineRule="exact"/>
        <w:ind w:firstLine="3840" w:firstLineChars="1600"/>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（公章</w:t>
      </w:r>
      <w:r>
        <w:rPr>
          <w:rFonts w:hint="eastAsia" w:ascii="宋体" w:hAnsi="宋体" w:eastAsia="宋体" w:cs="宋体"/>
          <w:color w:val="auto"/>
          <w:sz w:val="24"/>
        </w:rPr>
        <w:t>）：</w:t>
      </w:r>
      <w:r>
        <w:rPr>
          <w:rFonts w:hint="eastAsia" w:ascii="宋体" w:hAnsi="宋体" w:eastAsia="宋体" w:cs="宋体"/>
          <w:color w:val="auto"/>
          <w:sz w:val="24"/>
        </w:rPr>
        <w:t xml:space="preserve">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rPr>
        <w:t>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w:t>
      </w:r>
      <w:r>
        <w:rPr>
          <w:rFonts w:hint="eastAsia" w:ascii="宋体" w:hAnsi="宋体" w:eastAsia="宋体" w:cs="宋体"/>
          <w:color w:val="auto"/>
          <w:sz w:val="24"/>
        </w:rPr>
        <w:t xml:space="preserve"> </w:t>
      </w:r>
      <w:r>
        <w:rPr>
          <w:rFonts w:hint="eastAsia" w:ascii="宋体" w:hAnsi="宋体" w:eastAsia="宋体" w:cs="宋体"/>
          <w:color w:val="auto"/>
          <w:sz w:val="24"/>
        </w:rPr>
        <w:t>期</w:t>
      </w:r>
      <w:r>
        <w:rPr>
          <w:rFonts w:hint="eastAsia" w:ascii="宋体" w:hAnsi="宋体" w:eastAsia="宋体" w:cs="宋体"/>
          <w:color w:val="auto"/>
          <w:sz w:val="24"/>
        </w:rPr>
        <w:t>：</w:t>
      </w:r>
      <w:r>
        <w:rPr>
          <w:rFonts w:hint="eastAsia" w:ascii="宋体" w:hAnsi="宋体" w:eastAsia="宋体" w:cs="宋体"/>
          <w:color w:val="auto"/>
          <w:sz w:val="24"/>
        </w:rPr>
        <w:t xml:space="preserve">      年    月    日</w:t>
      </w:r>
      <w:r>
        <w:rPr>
          <w:rFonts w:hint="eastAsia" w:ascii="宋体" w:hAnsi="宋体" w:eastAsia="宋体" w:cs="宋体"/>
          <w:color w:val="auto"/>
          <w:sz w:val="24"/>
        </w:rPr>
        <w:t xml:space="preserve"> </w:t>
      </w:r>
    </w:p>
    <w:p>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21910"/>
      <w:bookmarkStart w:id="15" w:name="_Toc18882"/>
      <w:bookmarkStart w:id="16" w:name="_Toc13961"/>
      <w:bookmarkStart w:id="17" w:name="_Toc24547"/>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tc>
      </w:tr>
    </w:tbl>
    <w:p>
      <w:pPr>
        <w:snapToGrid w:val="0"/>
        <w:spacing w:line="480" w:lineRule="auto"/>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adjustRightInd w:val="0"/>
        <w:snapToGrid w:val="0"/>
        <w:spacing w:line="360" w:lineRule="auto"/>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color w:val="auto"/>
          <w:kern w:val="0"/>
          <w:sz w:val="24"/>
          <w:szCs w:val="20"/>
          <w:highlight w:val="cyan"/>
        </w:rPr>
      </w:pPr>
    </w:p>
    <w:p>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9613"/>
      <w:bookmarkStart w:id="19" w:name="_Toc14081"/>
      <w:bookmarkStart w:id="20" w:name="_Toc26738"/>
      <w:bookmarkStart w:id="21" w:name="_Toc12905"/>
      <w:bookmarkStart w:id="22" w:name="_Toc6945"/>
      <w:bookmarkStart w:id="23" w:name="_Toc22704"/>
      <w:bookmarkStart w:id="24" w:name="_Toc23557"/>
      <w:bookmarkStart w:id="25" w:name="_Toc22198"/>
      <w:bookmarkStart w:id="26" w:name="_Toc29800"/>
      <w:bookmarkStart w:id="27" w:name="_Toc483349441"/>
      <w:bookmarkStart w:id="28" w:name="_Toc31865"/>
      <w:bookmarkStart w:id="29" w:name="_Toc13597"/>
      <w:bookmarkStart w:id="30" w:name="_Toc18044"/>
      <w:bookmarkStart w:id="31" w:name="_Toc15591"/>
      <w:bookmarkStart w:id="32" w:name="_Toc12408"/>
      <w:bookmarkStart w:id="33" w:name="_Toc17482"/>
      <w:bookmarkStart w:id="34" w:name="_Toc9004"/>
      <w:bookmarkStart w:id="35" w:name="_Toc21050"/>
      <w:bookmarkStart w:id="36" w:name="_Toc31501"/>
      <w:bookmarkStart w:id="37" w:name="_Toc19326"/>
      <w:bookmarkStart w:id="38" w:name="_Toc17265"/>
      <w:bookmarkStart w:id="39" w:name="_Toc13312"/>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工商行政管理局名称）之（委托单位全称）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法定代表人（签字或盖章）：</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rPr>
        <w:t xml:space="preserve">                          </w:t>
      </w:r>
    </w:p>
    <w:p>
      <w:pPr>
        <w:pStyle w:val="6"/>
        <w:spacing w:line="500" w:lineRule="exact"/>
        <w:ind w:firstLine="2760" w:firstLineChars="1150"/>
        <w:rPr>
          <w:rFonts w:hint="eastAsia" w:ascii="宋体" w:hAnsi="宋体" w:eastAsia="宋体" w:cs="宋体"/>
          <w:color w:val="auto"/>
          <w:sz w:val="24"/>
          <w:szCs w:val="24"/>
        </w:rPr>
      </w:pPr>
    </w:p>
    <w:p>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t>/</w:t>
      </w:r>
      <w:r>
        <w:rPr>
          <w:rFonts w:hint="eastAsia" w:ascii="宋体" w:hAnsi="宋体" w:eastAsia="宋体" w:cs="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pPr>
        <w:widowControl/>
        <w:spacing w:line="360" w:lineRule="exact"/>
        <w:ind w:firstLine="420" w:firstLineChars="200"/>
        <w:rPr>
          <w:rFonts w:hint="eastAsia" w:ascii="宋体" w:hAnsi="宋体" w:eastAsia="宋体" w:cs="宋体"/>
          <w:b/>
          <w:bCs/>
          <w:color w:val="auto"/>
          <w:szCs w:val="21"/>
        </w:rPr>
      </w:pPr>
      <w:bookmarkStart w:id="40" w:name="_Toc7264"/>
      <w:bookmarkStart w:id="41" w:name="_Toc26876"/>
      <w:bookmarkStart w:id="42" w:name="_Toc5624"/>
      <w:bookmarkStart w:id="43" w:name="_Toc15794"/>
      <w:bookmarkStart w:id="44" w:name="_Toc4050"/>
      <w:bookmarkStart w:id="45" w:name="_Toc255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bookmarkStart w:id="46" w:name="_GoBack"/>
      <w:bookmarkEnd w:id="46"/>
      <w:r>
        <w:rPr>
          <w:rFonts w:hint="eastAsia" w:ascii="宋体" w:hAnsi="宋体" w:eastAsia="宋体" w:cs="宋体"/>
          <w:color w:val="auto"/>
          <w:szCs w:val="21"/>
        </w:rPr>
        <w:t>时，除提供《法定代表人授权委托书》外，还须同时提供法人给分支机构出具的授权书。</w:t>
      </w:r>
    </w:p>
    <w:p>
      <w:pPr>
        <w:spacing w:line="500" w:lineRule="exact"/>
        <w:ind w:firstLine="561"/>
        <w:rPr>
          <w:rFonts w:hint="eastAsia" w:ascii="宋体" w:hAnsi="宋体" w:eastAsia="宋体" w:cs="宋体"/>
          <w:b/>
          <w:bCs/>
          <w:color w:val="auto"/>
          <w:sz w:val="24"/>
          <w:lang w:val="en-US" w:eastAsia="zh-CN"/>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w:t>
      </w:r>
      <w:r>
        <w:rPr>
          <w:rFonts w:hint="eastAsia" w:ascii="宋体" w:hAnsi="宋体" w:eastAsia="宋体" w:cs="宋体"/>
          <w:b/>
          <w:bCs/>
          <w:color w:val="auto"/>
          <w:sz w:val="24"/>
          <w:lang w:val="en-US" w:eastAsia="zh-CN"/>
        </w:rPr>
        <w:t>企业资质</w:t>
      </w:r>
    </w:p>
    <w:p>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rPr>
        <w:t>QL标:投标人须具有交通运输主管部门颁发的公路工程试验检测综合类甲级资质或桥梁隧道工程试验检测专项类资质。同时，投标人须具备有效的国家质量技术监督部门颁发的省部级以上计量认证（CMA）合格证书（具有桥梁检测能力）</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附件六：投标保证金</w:t>
      </w:r>
    </w:p>
    <w:p>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投标保证金缴纳凭证或担保机构出具的保函</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附件七：</w:t>
      </w:r>
      <w:r>
        <w:rPr>
          <w:rFonts w:hint="eastAsia" w:ascii="宋体" w:hAnsi="宋体" w:eastAsia="宋体" w:cs="宋体"/>
          <w:b/>
          <w:bCs/>
          <w:color w:val="auto"/>
          <w:sz w:val="24"/>
        </w:rPr>
        <w:t>非联合体声明</w:t>
      </w:r>
    </w:p>
    <w:p>
      <w:pPr>
        <w:pStyle w:val="11"/>
        <w:widowControl/>
        <w:ind w:firstLine="602" w:firstLineChars="200"/>
        <w:jc w:val="center"/>
        <w:rPr>
          <w:rFonts w:hint="eastAsia" w:ascii="宋体" w:hAnsi="宋体" w:eastAsia="宋体" w:cs="宋体"/>
          <w:b/>
          <w:bCs/>
          <w:color w:val="auto"/>
          <w:sz w:val="30"/>
          <w:szCs w:val="30"/>
        </w:rPr>
      </w:pPr>
    </w:p>
    <w:p>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pPr>
        <w:spacing w:line="360" w:lineRule="auto"/>
        <w:ind w:firstLine="480" w:firstLineChars="200"/>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pPr>
        <w:spacing w:line="360" w:lineRule="auto"/>
        <w:ind w:firstLine="480" w:firstLineChars="200"/>
        <w:jc w:val="left"/>
        <w:rPr>
          <w:rFonts w:hint="eastAsia" w:ascii="宋体" w:hAnsi="宋体" w:eastAsia="宋体" w:cs="宋体"/>
          <w:color w:val="auto"/>
          <w:sz w:val="24"/>
        </w:rPr>
      </w:pPr>
    </w:p>
    <w:p>
      <w:pPr>
        <w:pStyle w:val="2"/>
        <w:spacing w:line="360" w:lineRule="auto"/>
        <w:ind w:firstLine="480"/>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（公章</w:t>
      </w:r>
      <w:r>
        <w:rPr>
          <w:rFonts w:hint="eastAsia" w:ascii="宋体" w:hAnsi="宋体" w:eastAsia="宋体" w:cs="宋体"/>
          <w:color w:val="auto"/>
          <w:sz w:val="24"/>
        </w:rPr>
        <w:t>）：</w:t>
      </w:r>
      <w:r>
        <w:rPr>
          <w:rFonts w:hint="eastAsia" w:ascii="宋体" w:hAnsi="宋体" w:eastAsia="宋体" w:cs="宋体"/>
          <w:color w:val="auto"/>
          <w:sz w:val="24"/>
        </w:rPr>
        <w:t xml:space="preserve">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rPr>
        <w:t>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w:t>
      </w:r>
      <w:r>
        <w:rPr>
          <w:rFonts w:hint="eastAsia" w:ascii="宋体" w:hAnsi="宋体" w:eastAsia="宋体" w:cs="宋体"/>
          <w:color w:val="auto"/>
          <w:sz w:val="24"/>
        </w:rPr>
        <w:t xml:space="preserve"> </w:t>
      </w:r>
      <w:r>
        <w:rPr>
          <w:rFonts w:hint="eastAsia" w:ascii="宋体" w:hAnsi="宋体" w:eastAsia="宋体" w:cs="宋体"/>
          <w:color w:val="auto"/>
          <w:sz w:val="24"/>
        </w:rPr>
        <w:t>期</w:t>
      </w:r>
      <w:r>
        <w:rPr>
          <w:rFonts w:hint="eastAsia" w:ascii="宋体" w:hAnsi="宋体" w:eastAsia="宋体" w:cs="宋体"/>
          <w:color w:val="auto"/>
          <w:sz w:val="24"/>
        </w:rPr>
        <w:t>：</w:t>
      </w:r>
      <w:r>
        <w:rPr>
          <w:rFonts w:hint="eastAsia" w:ascii="宋体" w:hAnsi="宋体" w:eastAsia="宋体" w:cs="宋体"/>
          <w:color w:val="auto"/>
          <w:sz w:val="24"/>
        </w:rPr>
        <w:t xml:space="preserve">      年    月    日</w:t>
      </w:r>
      <w:r>
        <w:rPr>
          <w:rFonts w:hint="eastAsia" w:ascii="宋体" w:hAnsi="宋体" w:eastAsia="宋体" w:cs="宋体"/>
          <w:color w:val="auto"/>
          <w:sz w:val="24"/>
        </w:rPr>
        <w:t xml:space="preserve"> </w:t>
      </w:r>
    </w:p>
    <w:p>
      <w:pPr>
        <w:pStyle w:val="7"/>
        <w:numPr>
          <w:ilvl w:val="0"/>
          <w:numId w:val="0"/>
        </w:numPr>
        <w:ind w:leftChars="0"/>
        <w:rPr>
          <w:rFonts w:hint="eastAsia" w:ascii="宋体" w:hAnsi="宋体" w:eastAsia="宋体" w:cs="宋体"/>
          <w:color w:val="auto"/>
        </w:rPr>
      </w:pPr>
    </w:p>
    <w:p>
      <w:pPr>
        <w:numPr>
          <w:ilvl w:val="0"/>
          <w:numId w:val="0"/>
        </w:numPr>
        <w:tabs>
          <w:tab w:val="left" w:pos="6703"/>
        </w:tabs>
        <w:bidi w:val="0"/>
        <w:ind w:leftChars="0"/>
        <w:jc w:val="left"/>
        <w:rPr>
          <w:rFonts w:hint="eastAsia" w:ascii="宋体" w:hAnsi="宋体" w:eastAsia="宋体" w:cs="宋体"/>
          <w:color w:val="auto"/>
          <w:lang w:val="en-US" w:eastAsia="zh-CN"/>
        </w:rPr>
      </w:pPr>
    </w:p>
    <w:p>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NjFhMWY2ODA0ZDBhMGI0MjhjMzFkNDNjYWExN2IifQ=="/>
  </w:docVars>
  <w:rsids>
    <w:rsidRoot w:val="00000000"/>
    <w:rsid w:val="07E01DA1"/>
    <w:rsid w:val="08634780"/>
    <w:rsid w:val="0D1C114E"/>
    <w:rsid w:val="0E9877E2"/>
    <w:rsid w:val="12E34F1A"/>
    <w:rsid w:val="136A0736"/>
    <w:rsid w:val="17D2599D"/>
    <w:rsid w:val="198B0CFC"/>
    <w:rsid w:val="25453ACD"/>
    <w:rsid w:val="321A6B82"/>
    <w:rsid w:val="385E1544"/>
    <w:rsid w:val="38F8669B"/>
    <w:rsid w:val="4B420C77"/>
    <w:rsid w:val="57366C49"/>
    <w:rsid w:val="59B241EC"/>
    <w:rsid w:val="61926DDD"/>
    <w:rsid w:val="6502186D"/>
    <w:rsid w:val="65594D61"/>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2383</Words>
  <Characters>2442</Characters>
  <Lines>0</Lines>
  <Paragraphs>0</Paragraphs>
  <TotalTime>6</TotalTime>
  <ScaleCrop>false</ScaleCrop>
  <LinksUpToDate>false</LinksUpToDate>
  <CharactersWithSpaces>3333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2024-06-02T02:20:43Z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42AA77DADA5944069B4D565344A82B39_12</vt:lpwstr>
  </property>
</Properties>
</file>