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afterLines="100" w:line="400" w:lineRule="atLeast"/>
        <w:ind w:firstLine="783" w:firstLineChars="150"/>
        <w:jc w:val="center"/>
        <w:rPr>
          <w:rFonts w:hint="eastAsia" w:ascii="宋体" w:hAnsi="宋体" w:eastAsia="宋体" w:cs="宋体"/>
          <w:b/>
          <w:bCs/>
          <w:color w:val="auto"/>
          <w:sz w:val="52"/>
          <w:szCs w:val="52"/>
          <w:highlight w:val="none"/>
        </w:rPr>
      </w:pPr>
    </w:p>
    <w:p>
      <w:pPr>
        <w:widowControl/>
        <w:spacing w:after="240" w:afterLines="100" w:line="400" w:lineRule="atLeast"/>
        <w:ind w:firstLine="783" w:firstLineChars="150"/>
        <w:jc w:val="center"/>
        <w:rPr>
          <w:rFonts w:hint="eastAsia" w:ascii="宋体" w:hAnsi="宋体" w:eastAsia="宋体" w:cs="宋体"/>
          <w:b/>
          <w:bCs/>
          <w:color w:val="auto"/>
          <w:sz w:val="52"/>
          <w:szCs w:val="52"/>
          <w:highlight w:val="none"/>
          <w:lang w:val="en-US" w:eastAsia="zh-CN"/>
        </w:rPr>
      </w:pPr>
      <w:r>
        <w:rPr>
          <w:rFonts w:hint="eastAsia" w:ascii="宋体" w:hAnsi="宋体" w:eastAsia="宋体" w:cs="宋体"/>
          <w:b/>
          <w:bCs/>
          <w:color w:val="auto"/>
          <w:sz w:val="52"/>
          <w:szCs w:val="52"/>
          <w:highlight w:val="none"/>
          <w:lang w:val="en-US" w:eastAsia="zh-CN"/>
        </w:rPr>
        <w:t>2024年度全省农村公路</w:t>
      </w:r>
    </w:p>
    <w:p>
      <w:pPr>
        <w:widowControl/>
        <w:spacing w:after="240" w:afterLines="100" w:line="400" w:lineRule="atLeast"/>
        <w:ind w:firstLine="783" w:firstLineChars="150"/>
        <w:jc w:val="center"/>
        <w:rPr>
          <w:rFonts w:hint="eastAsia" w:ascii="宋体" w:hAnsi="宋体" w:eastAsia="宋体" w:cs="宋体"/>
          <w:b/>
          <w:bCs/>
          <w:color w:val="auto"/>
          <w:sz w:val="52"/>
          <w:szCs w:val="52"/>
          <w:highlight w:val="none"/>
          <w:lang w:val="en-US" w:eastAsia="zh-CN"/>
        </w:rPr>
      </w:pPr>
      <w:r>
        <w:rPr>
          <w:rFonts w:hint="eastAsia" w:ascii="宋体" w:hAnsi="宋体" w:eastAsia="宋体" w:cs="宋体"/>
          <w:b/>
          <w:bCs/>
          <w:color w:val="auto"/>
          <w:sz w:val="52"/>
          <w:szCs w:val="52"/>
          <w:highlight w:val="none"/>
          <w:lang w:val="en-US" w:eastAsia="zh-CN"/>
        </w:rPr>
        <w:t>路况检测项目</w:t>
      </w:r>
    </w:p>
    <w:p>
      <w:pPr>
        <w:pStyle w:val="6"/>
        <w:rPr>
          <w:rFonts w:hint="eastAsia" w:ascii="宋体" w:hAnsi="宋体" w:cs="宋体"/>
          <w:color w:val="auto"/>
          <w:sz w:val="44"/>
          <w:szCs w:val="44"/>
          <w:highlight w:val="none"/>
          <w:lang w:val="en-US" w:eastAsia="zh-CN"/>
        </w:rPr>
      </w:pPr>
    </w:p>
    <w:p>
      <w:pPr>
        <w:pStyle w:val="6"/>
        <w:rPr>
          <w:rFonts w:hint="eastAsia" w:ascii="宋体" w:hAnsi="宋体" w:cs="宋体"/>
          <w:color w:val="auto"/>
          <w:sz w:val="44"/>
          <w:szCs w:val="44"/>
          <w:highlight w:val="none"/>
          <w:lang w:val="en-US" w:eastAsia="zh-CN"/>
        </w:rPr>
      </w:pPr>
    </w:p>
    <w:p>
      <w:pPr>
        <w:pStyle w:val="6"/>
        <w:rPr>
          <w:rFonts w:hint="eastAsia" w:ascii="宋体" w:hAnsi="宋体" w:cs="宋体"/>
          <w:color w:val="auto"/>
          <w:sz w:val="44"/>
          <w:szCs w:val="44"/>
          <w:highlight w:val="none"/>
          <w:lang w:val="en-US" w:eastAsia="zh-CN"/>
        </w:rPr>
      </w:pPr>
    </w:p>
    <w:p>
      <w:pPr>
        <w:pStyle w:val="6"/>
        <w:rPr>
          <w:rFonts w:hint="eastAsia" w:ascii="宋体" w:hAnsi="宋体" w:cs="宋体"/>
          <w:color w:val="auto"/>
          <w:sz w:val="44"/>
          <w:szCs w:val="44"/>
          <w:highlight w:val="none"/>
          <w:lang w:val="en-US" w:eastAsia="zh-CN"/>
        </w:rPr>
      </w:pPr>
    </w:p>
    <w:p>
      <w:pPr>
        <w:pStyle w:val="6"/>
        <w:jc w:val="center"/>
        <w:rPr>
          <w:rFonts w:hint="default" w:ascii="宋体" w:hAnsi="宋体" w:cs="宋体"/>
          <w:color w:val="auto"/>
          <w:sz w:val="72"/>
          <w:szCs w:val="72"/>
          <w:highlight w:val="none"/>
          <w:lang w:val="en-US" w:eastAsia="zh-CN"/>
        </w:rPr>
      </w:pPr>
      <w:r>
        <w:rPr>
          <w:rFonts w:hint="eastAsia" w:ascii="宋体" w:hAnsi="宋体" w:cs="宋体"/>
          <w:color w:val="auto"/>
          <w:sz w:val="72"/>
          <w:szCs w:val="72"/>
          <w:highlight w:val="none"/>
          <w:lang w:val="en-US" w:eastAsia="zh-CN"/>
        </w:rPr>
        <w:t xml:space="preserve"> 采 购 合 同</w:t>
      </w:r>
    </w:p>
    <w:p>
      <w:pPr>
        <w:pStyle w:val="6"/>
        <w:rPr>
          <w:rFonts w:hint="eastAsia" w:ascii="宋体" w:hAnsi="宋体" w:cs="宋体"/>
          <w:color w:val="auto"/>
          <w:sz w:val="44"/>
          <w:szCs w:val="44"/>
          <w:highlight w:val="none"/>
          <w:lang w:val="en-US" w:eastAsia="zh-CN"/>
        </w:rPr>
      </w:pPr>
    </w:p>
    <w:p>
      <w:pPr>
        <w:pStyle w:val="6"/>
        <w:rPr>
          <w:rFonts w:hint="eastAsia" w:ascii="宋体" w:hAnsi="宋体" w:cs="宋体"/>
          <w:color w:val="auto"/>
          <w:sz w:val="44"/>
          <w:szCs w:val="44"/>
          <w:highlight w:val="none"/>
          <w:lang w:val="en-US" w:eastAsia="zh-CN"/>
        </w:rPr>
      </w:pPr>
    </w:p>
    <w:p>
      <w:pPr>
        <w:pStyle w:val="6"/>
        <w:rPr>
          <w:rFonts w:hint="eastAsia" w:ascii="宋体" w:hAnsi="宋体" w:cs="宋体"/>
          <w:color w:val="auto"/>
          <w:sz w:val="44"/>
          <w:szCs w:val="44"/>
          <w:highlight w:val="none"/>
          <w:lang w:val="en-US" w:eastAsia="zh-CN"/>
        </w:rPr>
      </w:pPr>
    </w:p>
    <w:p>
      <w:pPr>
        <w:pStyle w:val="6"/>
        <w:rPr>
          <w:rFonts w:hint="eastAsia" w:ascii="宋体" w:hAnsi="宋体" w:cs="宋体"/>
          <w:color w:val="auto"/>
          <w:sz w:val="44"/>
          <w:szCs w:val="44"/>
          <w:highlight w:val="none"/>
          <w:lang w:val="en-US" w:eastAsia="zh-CN"/>
        </w:rPr>
      </w:pPr>
    </w:p>
    <w:p>
      <w:pPr>
        <w:pStyle w:val="6"/>
        <w:rPr>
          <w:rFonts w:hint="eastAsia" w:ascii="宋体" w:hAnsi="宋体" w:cs="宋体"/>
          <w:color w:val="auto"/>
          <w:sz w:val="44"/>
          <w:szCs w:val="44"/>
          <w:highlight w:val="none"/>
          <w:lang w:val="en-US" w:eastAsia="zh-CN"/>
        </w:rPr>
      </w:pPr>
    </w:p>
    <w:p>
      <w:pPr>
        <w:pStyle w:val="2"/>
        <w:adjustRightInd w:val="0"/>
        <w:snapToGrid w:val="0"/>
        <w:spacing w:line="360" w:lineRule="auto"/>
        <w:ind w:left="846" w:leftChars="403" w:firstLine="137" w:firstLineChars="49"/>
        <w:rPr>
          <w:rFonts w:hint="eastAsia" w:ascii="宋体" w:hAnsi="宋体" w:eastAsia="宋体" w:cs="宋体"/>
          <w:color w:val="auto"/>
          <w:sz w:val="28"/>
          <w:szCs w:val="28"/>
          <w:highlight w:val="none"/>
        </w:rPr>
      </w:pPr>
    </w:p>
    <w:p>
      <w:pPr>
        <w:pStyle w:val="2"/>
        <w:adjustRightInd w:val="0"/>
        <w:snapToGrid w:val="0"/>
        <w:spacing w:line="360" w:lineRule="auto"/>
        <w:ind w:firstLine="1940" w:firstLineChars="69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采   购   人：陕西省公路局</w:t>
      </w:r>
    </w:p>
    <w:p>
      <w:pPr>
        <w:pStyle w:val="2"/>
        <w:adjustRightInd w:val="0"/>
        <w:snapToGrid w:val="0"/>
        <w:spacing w:line="360" w:lineRule="auto"/>
        <w:ind w:firstLine="1940" w:firstLineChars="690"/>
        <w:rPr>
          <w:rFonts w:hint="eastAsia" w:ascii="宋体" w:hAnsi="宋体" w:eastAsia="宋体" w:cs="宋体"/>
          <w:b/>
          <w:color w:val="auto"/>
          <w:sz w:val="28"/>
          <w:szCs w:val="28"/>
          <w:highlight w:val="none"/>
        </w:rPr>
      </w:pPr>
      <w:r>
        <w:rPr>
          <w:rFonts w:hint="eastAsia" w:hAnsi="宋体" w:cs="宋体"/>
          <w:b/>
          <w:color w:val="auto"/>
          <w:sz w:val="28"/>
          <w:szCs w:val="28"/>
          <w:highlight w:val="none"/>
          <w:lang w:val="en-US" w:eastAsia="zh-CN"/>
        </w:rPr>
        <w:t>供   应   商</w:t>
      </w:r>
      <w:r>
        <w:rPr>
          <w:rFonts w:hint="eastAsia" w:ascii="宋体" w:hAnsi="宋体" w:eastAsia="宋体" w:cs="宋体"/>
          <w:b/>
          <w:color w:val="auto"/>
          <w:sz w:val="28"/>
          <w:szCs w:val="28"/>
          <w:highlight w:val="none"/>
        </w:rPr>
        <w:t>:</w:t>
      </w:r>
    </w:p>
    <w:p>
      <w:pPr>
        <w:pStyle w:val="2"/>
        <w:adjustRightInd w:val="0"/>
        <w:snapToGrid w:val="0"/>
        <w:spacing w:line="360" w:lineRule="auto"/>
        <w:ind w:firstLine="1940" w:firstLineChars="690"/>
        <w:rPr>
          <w:rFonts w:hint="eastAsia" w:ascii="宋体" w:hAnsi="宋体" w:eastAsia="宋体" w:cs="宋体"/>
          <w:b/>
          <w:color w:val="auto"/>
          <w:sz w:val="28"/>
          <w:szCs w:val="28"/>
          <w:highlight w:val="none"/>
        </w:rPr>
      </w:pPr>
    </w:p>
    <w:p>
      <w:pPr>
        <w:spacing w:line="360" w:lineRule="auto"/>
        <w:jc w:val="center"/>
        <w:rPr>
          <w:rFonts w:hint="eastAsia" w:ascii="宋体" w:hAnsi="宋体" w:eastAsia="宋体" w:cs="宋体"/>
          <w:b/>
          <w:bCs/>
          <w:color w:val="auto"/>
          <w:sz w:val="28"/>
          <w:szCs w:val="28"/>
          <w:highlight w:val="none"/>
          <w:lang w:val="zh-CN"/>
        </w:rPr>
      </w:pPr>
      <w:r>
        <w:rPr>
          <w:rFonts w:hint="eastAsia" w:ascii="宋体" w:hAnsi="宋体" w:cs="宋体"/>
          <w:b/>
          <w:bCs/>
          <w:color w:val="auto"/>
          <w:sz w:val="28"/>
          <w:szCs w:val="28"/>
          <w:highlight w:val="none"/>
          <w:lang w:val="en-US" w:eastAsia="zh-CN"/>
        </w:rPr>
        <w:t>二〇二四</w:t>
      </w:r>
      <w:r>
        <w:rPr>
          <w:rFonts w:hint="eastAsia" w:ascii="宋体" w:hAnsi="宋体" w:eastAsia="宋体" w:cs="宋体"/>
          <w:b/>
          <w:bCs/>
          <w:color w:val="auto"/>
          <w:sz w:val="28"/>
          <w:szCs w:val="28"/>
          <w:highlight w:val="none"/>
          <w:lang w:val="zh-CN"/>
        </w:rPr>
        <w:t>年</w:t>
      </w:r>
      <w:r>
        <w:rPr>
          <w:rFonts w:hint="eastAsia" w:ascii="宋体" w:hAnsi="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lang w:val="zh-CN"/>
        </w:rPr>
        <w:t>月</w:t>
      </w:r>
    </w:p>
    <w:p>
      <w:pPr>
        <w:pStyle w:val="6"/>
        <w:rPr>
          <w:rFonts w:hint="eastAsia"/>
          <w:lang w:val="zh-CN"/>
        </w:rPr>
      </w:pPr>
    </w:p>
    <w:p>
      <w:pPr>
        <w:pStyle w:val="6"/>
        <w:jc w:val="center"/>
        <w:rPr>
          <w:rFonts w:hint="default" w:ascii="宋体" w:hAnsi="宋体" w:cs="宋体"/>
          <w:color w:val="auto"/>
          <w:sz w:val="44"/>
          <w:szCs w:val="44"/>
          <w:highlight w:val="none"/>
          <w:lang w:val="en-US" w:eastAsia="zh-CN"/>
        </w:rPr>
      </w:pPr>
      <w:r>
        <w:rPr>
          <w:rFonts w:hint="eastAsia" w:ascii="宋体" w:hAnsi="宋体" w:cs="宋体"/>
          <w:color w:val="auto"/>
          <w:sz w:val="44"/>
          <w:szCs w:val="44"/>
          <w:highlight w:val="none"/>
          <w:lang w:val="en-US" w:eastAsia="zh-CN"/>
        </w:rPr>
        <w:t>合同书</w:t>
      </w:r>
    </w:p>
    <w:p>
      <w:pPr>
        <w:pStyle w:val="6"/>
        <w:rPr>
          <w:rFonts w:hint="default" w:ascii="宋体" w:hAnsi="宋体" w:cs="宋体"/>
          <w:color w:val="auto"/>
          <w:sz w:val="44"/>
          <w:szCs w:val="44"/>
          <w:highlight w:val="none"/>
          <w:lang w:val="en-US" w:eastAsia="zh-CN"/>
        </w:rPr>
      </w:pP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合同编号： </w:t>
      </w:r>
    </w:p>
    <w:p>
      <w:pPr>
        <w:pStyle w:val="7"/>
        <w:spacing w:line="360" w:lineRule="auto"/>
        <w:ind w:firstLine="42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合同类别：服务</w:t>
      </w:r>
    </w:p>
    <w:p>
      <w:pPr>
        <w:pStyle w:val="7"/>
        <w:spacing w:line="360" w:lineRule="auto"/>
        <w:ind w:firstLine="42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签订地点： </w:t>
      </w:r>
      <w:r>
        <w:rPr>
          <w:rFonts w:hint="eastAsia" w:ascii="宋体" w:hAnsi="宋体" w:cs="宋体"/>
          <w:color w:val="auto"/>
          <w:sz w:val="21"/>
          <w:szCs w:val="21"/>
          <w:highlight w:val="none"/>
          <w:lang w:val="en-US" w:eastAsia="zh-CN"/>
        </w:rPr>
        <w:t>陕西西安</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签订时间:</w:t>
      </w:r>
    </w:p>
    <w:p>
      <w:pPr>
        <w:pStyle w:val="7"/>
        <w:spacing w:line="360" w:lineRule="auto"/>
        <w:ind w:firstLine="42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采购人（甲方）：</w:t>
      </w:r>
      <w:r>
        <w:rPr>
          <w:rFonts w:hint="eastAsia" w:ascii="宋体" w:hAnsi="宋体" w:cs="宋体"/>
          <w:color w:val="auto"/>
          <w:sz w:val="21"/>
          <w:szCs w:val="21"/>
          <w:highlight w:val="none"/>
          <w:lang w:val="en-US" w:eastAsia="zh-CN"/>
        </w:rPr>
        <w:t>陕西省公路局</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供应商（乙方）：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120" w:lineRule="auto"/>
        <w:ind w:left="0" w:right="0" w:firstLine="480"/>
        <w:jc w:val="both"/>
        <w:textAlignment w:val="baseline"/>
        <w:rPr>
          <w:rFonts w:hint="eastAsia" w:ascii="宋体" w:hAnsi="宋体" w:eastAsia="宋体" w:cs="宋体"/>
          <w:color w:val="auto"/>
          <w:sz w:val="21"/>
          <w:szCs w:val="21"/>
          <w:highlight w:val="none"/>
          <w:lang w:val="en-US" w:eastAsia="zh-CN"/>
        </w:rPr>
      </w:pPr>
    </w:p>
    <w:p>
      <w:pPr>
        <w:pStyle w:val="7"/>
        <w:spacing w:before="120" w:beforeLines="5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根据《中华人民共和国政府采购法》及实施条例、《中华人民共和国民法典》和甲方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2024年度全省农村公路路况检测</w:t>
      </w:r>
      <w:r>
        <w:rPr>
          <w:rFonts w:hint="eastAsia" w:ascii="宋体" w:hAnsi="宋体" w:eastAsia="宋体" w:cs="宋体"/>
          <w:color w:val="auto"/>
          <w:sz w:val="21"/>
          <w:szCs w:val="21"/>
          <w:highlight w:val="none"/>
          <w:u w:val="single"/>
        </w:rPr>
        <w:t>采购项目</w:t>
      </w:r>
      <w:r>
        <w:rPr>
          <w:rFonts w:hint="eastAsia" w:ascii="宋体" w:hAnsi="宋体" w:eastAsia="宋体" w:cs="宋体"/>
          <w:color w:val="auto"/>
          <w:sz w:val="21"/>
          <w:szCs w:val="21"/>
          <w:highlight w:val="none"/>
        </w:rPr>
        <w:t>（采购项目编号：GR24-CS-70</w:t>
      </w: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 xml:space="preserve">、包号：   </w:t>
      </w:r>
      <w:r>
        <w:rPr>
          <w:rFonts w:hint="eastAsia" w:ascii="宋体" w:hAnsi="宋体" w:eastAsia="宋体" w:cs="宋体"/>
          <w:color w:val="auto"/>
          <w:sz w:val="21"/>
          <w:szCs w:val="21"/>
          <w:highlight w:val="none"/>
        </w:rPr>
        <w:t>）的采购文件、响应文件等有关规定，为确保甲方采购项目的顺利实施，甲、乙双方在平等自愿原则下签订本合同，并共同遵守如下条款：</w:t>
      </w:r>
    </w:p>
    <w:p>
      <w:pPr>
        <w:numPr>
          <w:ilvl w:val="0"/>
          <w:numId w:val="1"/>
        </w:numPr>
        <w:tabs>
          <w:tab w:val="left" w:pos="1379"/>
          <w:tab w:val="clear" w:pos="1521"/>
        </w:tabs>
        <w:spacing w:before="120" w:beforeLines="50" w:after="120" w:afterLines="50" w:line="360" w:lineRule="auto"/>
        <w:ind w:left="1519" w:hanging="1094"/>
        <w:rPr>
          <w:rFonts w:hint="eastAsia" w:ascii="宋体" w:hAnsi="宋体" w:eastAsia="宋体" w:cs="宋体"/>
          <w:b/>
          <w:color w:val="auto"/>
          <w:sz w:val="30"/>
          <w:szCs w:val="30"/>
          <w:highlight w:val="none"/>
        </w:rPr>
      </w:pPr>
      <w:bookmarkStart w:id="0" w:name="_Toc239233919"/>
      <w:bookmarkStart w:id="1" w:name="_Toc212019599"/>
      <w:bookmarkStart w:id="2" w:name="_Toc211854454"/>
      <w:bookmarkStart w:id="3" w:name="_Toc286993792"/>
      <w:bookmarkStart w:id="4" w:name="_Toc225670756"/>
      <w:bookmarkStart w:id="5" w:name="_Toc185395254"/>
      <w:bookmarkStart w:id="6" w:name="_Toc225244857"/>
      <w:bookmarkStart w:id="7" w:name="_Toc239568423"/>
      <w:bookmarkStart w:id="8" w:name="_Toc211911353"/>
      <w:bookmarkStart w:id="9" w:name="_Toc247334846"/>
      <w:bookmarkStart w:id="10" w:name="_Toc251768867"/>
      <w:bookmarkStart w:id="11" w:name="_Toc241833908"/>
      <w:bookmarkStart w:id="12" w:name="_Toc225654649"/>
      <w:bookmarkStart w:id="13" w:name="_Toc238984980"/>
      <w:bookmarkStart w:id="14" w:name="_Toc237145411"/>
      <w:bookmarkStart w:id="15" w:name="_Toc232492933"/>
      <w:r>
        <w:rPr>
          <w:rFonts w:hint="eastAsia" w:ascii="宋体" w:hAnsi="宋体" w:eastAsia="宋体" w:cs="宋体"/>
          <w:b/>
          <w:color w:val="auto"/>
          <w:sz w:val="30"/>
          <w:szCs w:val="30"/>
          <w:highlight w:val="none"/>
        </w:rPr>
        <w:t>项目基本情况</w:t>
      </w:r>
    </w:p>
    <w:p>
      <w:pPr>
        <w:pStyle w:val="9"/>
        <w:keepNext w:val="0"/>
        <w:keepLines w:val="0"/>
        <w:pageBreakBefore w:val="0"/>
        <w:kinsoku/>
        <w:overflowPunct/>
        <w:topLinePunct w:val="0"/>
        <w:autoSpaceDE/>
        <w:autoSpaceDN/>
        <w:bidi w:val="0"/>
        <w:adjustRightInd/>
        <w:snapToGrid/>
        <w:spacing w:before="157" w:beforeLines="50" w:after="157" w:afterLines="50"/>
        <w:ind w:firstLine="420" w:firstLineChars="200"/>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采用自动化快速检测综合设备，对全省县乡公路开展路面技术状况抽检评定工作，包含路面技术状况检测与评定、检测数据处理及检测报告编制</w:t>
      </w:r>
    </w:p>
    <w:p>
      <w:pPr>
        <w:numPr>
          <w:ilvl w:val="0"/>
          <w:numId w:val="1"/>
        </w:numPr>
        <w:tabs>
          <w:tab w:val="left" w:pos="1379"/>
          <w:tab w:val="clear" w:pos="1521"/>
        </w:tabs>
        <w:spacing w:before="120" w:beforeLines="50" w:after="120" w:afterLines="50" w:line="360" w:lineRule="auto"/>
        <w:ind w:left="1519" w:hanging="1094"/>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合同期限</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自</w:t>
      </w:r>
      <w:r>
        <w:rPr>
          <w:rFonts w:hint="eastAsia" w:ascii="宋体" w:hAnsi="宋体" w:eastAsia="宋体" w:cs="宋体"/>
          <w:color w:val="auto"/>
          <w:szCs w:val="21"/>
          <w:highlight w:val="none"/>
        </w:rPr>
        <w:t>签订合同之日</w:t>
      </w:r>
      <w:r>
        <w:rPr>
          <w:rFonts w:hint="eastAsia" w:ascii="宋体" w:hAnsi="宋体" w:eastAsia="宋体" w:cs="宋体"/>
          <w:color w:val="auto"/>
          <w:szCs w:val="21"/>
          <w:highlight w:val="none"/>
          <w:lang w:eastAsia="zh-CN"/>
        </w:rPr>
        <w:t>起</w:t>
      </w:r>
      <w:r>
        <w:rPr>
          <w:rFonts w:hint="eastAsia" w:ascii="宋体" w:hAnsi="宋体" w:eastAsia="宋体" w:cs="宋体"/>
          <w:color w:val="auto"/>
          <w:szCs w:val="21"/>
          <w:highlight w:val="none"/>
          <w:lang w:val="en-US" w:eastAsia="zh-CN"/>
        </w:rPr>
        <w:t>120天</w:t>
      </w:r>
      <w:r>
        <w:rPr>
          <w:rFonts w:hint="eastAsia" w:ascii="宋体" w:hAnsi="宋体" w:eastAsia="宋体" w:cs="宋体"/>
          <w:color w:val="auto"/>
          <w:szCs w:val="21"/>
          <w:highlight w:val="none"/>
        </w:rPr>
        <w:t>。</w:t>
      </w:r>
    </w:p>
    <w:p>
      <w:pPr>
        <w:numPr>
          <w:ilvl w:val="0"/>
          <w:numId w:val="1"/>
        </w:numPr>
        <w:tabs>
          <w:tab w:val="left" w:pos="1379"/>
          <w:tab w:val="clear" w:pos="1521"/>
        </w:tabs>
        <w:spacing w:before="120" w:beforeLines="50" w:after="120" w:afterLines="50" w:line="360" w:lineRule="auto"/>
        <w:ind w:left="1519" w:hanging="1094"/>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服务内容与质量标准</w:t>
      </w:r>
    </w:p>
    <w:p>
      <w:pPr>
        <w:pStyle w:val="9"/>
        <w:keepNext w:val="0"/>
        <w:keepLines w:val="0"/>
        <w:pageBreakBefore w:val="0"/>
        <w:kinsoku/>
        <w:overflowPunct/>
        <w:topLinePunct w:val="0"/>
        <w:autoSpaceDE/>
        <w:autoSpaceDN/>
        <w:bidi w:val="0"/>
        <w:adjustRightInd/>
        <w:snapToGrid/>
        <w:spacing w:before="157" w:beforeLines="50" w:after="157" w:afterLines="50"/>
        <w:ind w:firstLine="400" w:firstLineChars="200"/>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eastAsia="zh-CN"/>
        </w:rPr>
        <w:t>（一）服务内容：</w:t>
      </w:r>
      <w:r>
        <w:rPr>
          <w:rFonts w:hint="eastAsia" w:ascii="宋体" w:hAnsi="宋体" w:eastAsia="宋体" w:cs="宋体"/>
          <w:color w:val="auto"/>
          <w:kern w:val="2"/>
          <w:sz w:val="21"/>
          <w:szCs w:val="21"/>
          <w:highlight w:val="none"/>
          <w:lang w:val="en-US" w:eastAsia="zh-CN" w:bidi="ar-SA"/>
        </w:rPr>
        <w:t>采用自动化快速检测综合设备，对全省县乡公路开展路面技术状况抽检评定工作，包含路面技术状况检测与评定、检测数据处理及检测报告编制，其中由各采购包的成交供应商应分别出具各自检测路段检测报告，同时，采购包1的成交供应商还需负责汇总形成全省分析报告，采购包2的成交供应商需协助完成全省总报告。检测里程不少于6500车道公里，共划分2个标段，其中，采购包1及采购包2分别负责检测</w:t>
      </w:r>
      <w:r>
        <w:rPr>
          <w:rFonts w:hint="default" w:ascii="宋体" w:hAnsi="宋体" w:eastAsia="宋体" w:cs="宋体"/>
          <w:color w:val="auto"/>
          <w:kern w:val="2"/>
          <w:sz w:val="21"/>
          <w:szCs w:val="21"/>
          <w:highlight w:val="none"/>
          <w:lang w:val="en-US" w:eastAsia="zh-CN" w:bidi="ar-SA"/>
        </w:rPr>
        <w:t>3250</w:t>
      </w:r>
      <w:r>
        <w:rPr>
          <w:rFonts w:hint="eastAsia" w:ascii="宋体" w:hAnsi="宋体" w:eastAsia="宋体" w:cs="宋体"/>
          <w:color w:val="auto"/>
          <w:kern w:val="2"/>
          <w:sz w:val="21"/>
          <w:szCs w:val="21"/>
          <w:highlight w:val="none"/>
          <w:lang w:val="en-US" w:eastAsia="zh-CN" w:bidi="ar-SA"/>
        </w:rPr>
        <w:t>公里。</w:t>
      </w:r>
    </w:p>
    <w:p>
      <w:pPr>
        <w:tabs>
          <w:tab w:val="left" w:pos="2554"/>
          <w:tab w:val="center" w:pos="4656"/>
        </w:tabs>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（二）质量标准：服务质量应符合本次政府采购竞争性磋商文件第</w:t>
      </w:r>
      <w:r>
        <w:rPr>
          <w:rFonts w:hint="eastAsia" w:ascii="宋体" w:hAnsi="宋体" w:eastAsia="宋体" w:cs="宋体"/>
          <w:color w:val="auto"/>
          <w:szCs w:val="21"/>
          <w:highlight w:val="none"/>
          <w:lang w:val="en-US" w:eastAsia="zh-CN"/>
        </w:rPr>
        <w:t>五</w:t>
      </w:r>
      <w:r>
        <w:rPr>
          <w:rFonts w:hint="eastAsia" w:ascii="宋体" w:hAnsi="宋体" w:eastAsia="宋体" w:cs="宋体"/>
          <w:color w:val="auto"/>
          <w:szCs w:val="21"/>
          <w:highlight w:val="none"/>
          <w:lang w:eastAsia="zh-CN"/>
        </w:rPr>
        <w:t>章“</w:t>
      </w:r>
      <w:r>
        <w:rPr>
          <w:rFonts w:hint="eastAsia" w:ascii="宋体" w:hAnsi="宋体" w:eastAsia="宋体" w:cs="宋体"/>
          <w:color w:val="auto"/>
          <w:szCs w:val="21"/>
          <w:highlight w:val="none"/>
          <w:lang w:val="en-US" w:eastAsia="zh-CN"/>
        </w:rPr>
        <w:t>采购需求</w:t>
      </w:r>
      <w:r>
        <w:rPr>
          <w:rFonts w:hint="eastAsia" w:ascii="宋体" w:hAnsi="宋体" w:eastAsia="宋体" w:cs="宋体"/>
          <w:color w:val="auto"/>
          <w:szCs w:val="21"/>
          <w:highlight w:val="none"/>
          <w:lang w:eastAsia="zh-CN"/>
        </w:rPr>
        <w:t>”内容的相关要求。</w:t>
      </w:r>
    </w:p>
    <w:p>
      <w:pPr>
        <w:numPr>
          <w:ilvl w:val="0"/>
          <w:numId w:val="1"/>
        </w:numPr>
        <w:tabs>
          <w:tab w:val="left" w:pos="1379"/>
          <w:tab w:val="clear" w:pos="1521"/>
        </w:tabs>
        <w:spacing w:before="120" w:beforeLines="50" w:after="120" w:afterLines="50" w:line="360" w:lineRule="auto"/>
        <w:ind w:left="1661" w:hanging="1094"/>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服务费用</w:t>
      </w:r>
    </w:p>
    <w:p>
      <w:pPr>
        <w:spacing w:line="360" w:lineRule="auto"/>
        <w:ind w:firstLine="525" w:firstLineChars="250"/>
        <w:rPr>
          <w:rFonts w:hint="eastAsia" w:ascii="宋体" w:hAnsi="宋体" w:cs="宋体"/>
          <w:color w:val="auto"/>
          <w:szCs w:val="21"/>
          <w:highlight w:val="none"/>
          <w:u w:val="none"/>
          <w:lang w:val="en-US" w:eastAsia="zh-CN"/>
        </w:rPr>
      </w:pPr>
      <w:r>
        <w:rPr>
          <w:rFonts w:hint="eastAsia" w:ascii="宋体" w:hAnsi="宋体" w:eastAsia="宋体" w:cs="宋体"/>
          <w:color w:val="auto"/>
          <w:szCs w:val="21"/>
          <w:highlight w:val="none"/>
        </w:rPr>
        <w:t>根据工程量清单所列的预计数量和单价所确定的总额价计算的本合同总价为</w:t>
      </w:r>
      <w:r>
        <w:rPr>
          <w:rFonts w:hint="eastAsia" w:ascii="宋体" w:hAnsi="宋体" w:cs="宋体"/>
          <w:color w:val="auto"/>
          <w:szCs w:val="21"/>
          <w:highlight w:val="none"/>
          <w:lang w:val="en-US" w:eastAsia="zh-CN"/>
        </w:rPr>
        <w:t xml:space="preserve">人民币（大写）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 xml:space="preserve">（小写：￥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w:t>
      </w:r>
    </w:p>
    <w:p>
      <w:pPr>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本合同执行期间服务总费用不变，甲方无须另向乙方支付本合同规定之外的其他任何费用。</w:t>
      </w:r>
    </w:p>
    <w:p>
      <w:pPr>
        <w:spacing w:before="120" w:beforeLines="50" w:after="120" w:afterLines="50" w:line="360" w:lineRule="auto"/>
        <w:ind w:firstLine="590" w:firstLineChars="196"/>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 xml:space="preserve">第五条 </w:t>
      </w:r>
      <w:r>
        <w:rPr>
          <w:rFonts w:hint="eastAsia" w:ascii="宋体" w:hAnsi="宋体" w:eastAsia="宋体" w:cs="宋体"/>
          <w:b/>
          <w:color w:val="auto"/>
          <w:szCs w:val="21"/>
          <w:highlight w:val="none"/>
        </w:rPr>
        <w:t xml:space="preserve"> </w:t>
      </w:r>
      <w:r>
        <w:rPr>
          <w:rFonts w:hint="eastAsia" w:ascii="宋体" w:hAnsi="宋体" w:eastAsia="宋体" w:cs="宋体"/>
          <w:b/>
          <w:color w:val="auto"/>
          <w:sz w:val="30"/>
          <w:szCs w:val="30"/>
          <w:highlight w:val="none"/>
        </w:rPr>
        <w:t>服务费支付方式</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付款方式：</w:t>
      </w:r>
    </w:p>
    <w:p>
      <w:pPr>
        <w:pStyle w:val="9"/>
        <w:keepNext w:val="0"/>
        <w:keepLines w:val="0"/>
        <w:pageBreakBefore w:val="0"/>
        <w:widowControl/>
        <w:kinsoku/>
        <w:wordWrap/>
        <w:overflowPunct/>
        <w:topLinePunct w:val="0"/>
        <w:autoSpaceDE/>
        <w:autoSpaceDN/>
        <w:bidi w:val="0"/>
        <w:adjustRightInd/>
        <w:snapToGrid/>
        <w:spacing w:before="157" w:beforeLines="50" w:after="157" w:afterLines="50" w:line="240" w:lineRule="auto"/>
        <w:ind w:right="0" w:rightChars="0" w:firstLine="420" w:firstLineChars="200"/>
        <w:textAlignment w:val="auto"/>
        <w:outlineLvl w:val="2"/>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1.双方签署合同后甲方收到履约保证金及增值税普通发票后，甲方向乙方支付合同总金额的60%。</w:t>
      </w:r>
    </w:p>
    <w:p>
      <w:pPr>
        <w:pStyle w:val="9"/>
        <w:keepNext w:val="0"/>
        <w:keepLines w:val="0"/>
        <w:pageBreakBefore w:val="0"/>
        <w:widowControl/>
        <w:kinsoku/>
        <w:wordWrap/>
        <w:overflowPunct/>
        <w:topLinePunct w:val="0"/>
        <w:autoSpaceDE/>
        <w:autoSpaceDN/>
        <w:bidi w:val="0"/>
        <w:adjustRightInd/>
        <w:snapToGrid/>
        <w:spacing w:before="157" w:beforeLines="50" w:after="157" w:afterLines="50" w:line="240" w:lineRule="auto"/>
        <w:ind w:right="0" w:rightChars="0" w:firstLine="420" w:firstLineChars="200"/>
        <w:textAlignment w:val="auto"/>
        <w:outlineLvl w:val="2"/>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2.在项目完成外业检测工作后，提交项目全部成果并经甲方确认后，甲方向乙方支付合同总金额的40%。</w:t>
      </w:r>
    </w:p>
    <w:p>
      <w:pPr>
        <w:pStyle w:val="9"/>
        <w:keepNext w:val="0"/>
        <w:keepLines w:val="0"/>
        <w:pageBreakBefore w:val="0"/>
        <w:widowControl/>
        <w:kinsoku/>
        <w:overflowPunct/>
        <w:topLinePunct w:val="0"/>
        <w:autoSpaceDE/>
        <w:autoSpaceDN/>
        <w:bidi w:val="0"/>
        <w:adjustRightInd/>
        <w:snapToGrid/>
        <w:spacing w:before="157" w:beforeLines="50" w:after="157" w:afterLines="50" w:line="240" w:lineRule="auto"/>
        <w:ind w:right="0" w:rightChars="0" w:firstLine="420" w:firstLineChars="200"/>
        <w:outlineLvl w:val="2"/>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3.按照交通运输部《公路水运工程质量检测管理办法》（交通部2023年第9号令）的相关要求，检测单位出现出具虚假检测报告、篡改伪造检测报告等情况的，按照该办法第五十二条相关规定处以相应罚款。</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cs="宋体"/>
          <w:color w:val="auto"/>
          <w:szCs w:val="21"/>
          <w:highlight w:val="none"/>
          <w:lang w:val="en-US" w:eastAsia="zh-CN"/>
        </w:rPr>
        <w:t>4</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Cs w:val="21"/>
          <w:highlight w:val="none"/>
        </w:rPr>
        <w:t>乙方</w:t>
      </w:r>
      <w:r>
        <w:rPr>
          <w:rFonts w:hint="eastAsia" w:ascii="宋体" w:hAnsi="宋体" w:eastAsia="宋体" w:cs="宋体"/>
          <w:color w:val="auto"/>
          <w:kern w:val="0"/>
          <w:szCs w:val="21"/>
          <w:highlight w:val="none"/>
          <w:lang w:val="en-US" w:eastAsia="zh-CN"/>
        </w:rPr>
        <w:t>存在</w:t>
      </w:r>
      <w:r>
        <w:rPr>
          <w:rFonts w:hint="eastAsia" w:ascii="宋体" w:hAnsi="宋体" w:eastAsia="宋体" w:cs="宋体"/>
          <w:color w:val="auto"/>
          <w:kern w:val="0"/>
          <w:szCs w:val="21"/>
          <w:highlight w:val="none"/>
        </w:rPr>
        <w:t>超出任务书范围的成果，</w:t>
      </w:r>
      <w:r>
        <w:rPr>
          <w:rFonts w:hint="eastAsia" w:ascii="宋体" w:hAnsi="宋体" w:eastAsia="宋体" w:cs="宋体"/>
          <w:color w:val="auto"/>
          <w:kern w:val="0"/>
          <w:szCs w:val="21"/>
          <w:highlight w:val="none"/>
          <w:lang w:val="en-US" w:eastAsia="zh-CN"/>
        </w:rPr>
        <w:t>检测费实际发生金额大于合同金额，应视为乙方可预见风险，按合同总价款</w:t>
      </w:r>
      <w:r>
        <w:rPr>
          <w:rFonts w:hint="eastAsia" w:ascii="宋体" w:hAnsi="宋体" w:cs="宋体"/>
          <w:color w:val="auto"/>
          <w:kern w:val="0"/>
          <w:szCs w:val="21"/>
          <w:highlight w:val="none"/>
          <w:lang w:val="en-US" w:eastAsia="zh-CN"/>
        </w:rPr>
        <w:t>支付</w:t>
      </w:r>
      <w:r>
        <w:rPr>
          <w:rFonts w:hint="eastAsia" w:ascii="宋体" w:hAnsi="宋体" w:eastAsia="宋体" w:cs="宋体"/>
          <w:color w:val="auto"/>
          <w:kern w:val="0"/>
          <w:szCs w:val="21"/>
          <w:highlight w:val="none"/>
          <w:lang w:val="en-US" w:eastAsia="zh-CN"/>
        </w:rPr>
        <w:t>乙方检测费。</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 w:val="21"/>
          <w:szCs w:val="21"/>
          <w:highlight w:val="none"/>
          <w:lang w:val="en-US" w:eastAsia="zh-CN" w:bidi="ar-SA"/>
        </w:rPr>
        <w:t>.</w:t>
      </w:r>
      <w:r>
        <w:rPr>
          <w:rFonts w:hint="eastAsia" w:ascii="宋体" w:hAnsi="宋体" w:eastAsia="宋体" w:cs="宋体"/>
          <w:color w:val="auto"/>
          <w:kern w:val="0"/>
          <w:szCs w:val="21"/>
          <w:highlight w:val="none"/>
        </w:rPr>
        <w:t>甲方有权在项目实施过程中，要求乙方对不满足质量要求的工作进行返工，工期不予顺延。</w:t>
      </w:r>
    </w:p>
    <w:p>
      <w:pPr>
        <w:spacing w:before="120" w:beforeLines="50" w:after="120" w:afterLines="50" w:line="360" w:lineRule="auto"/>
        <w:ind w:left="425"/>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第六条   知识产权</w:t>
      </w:r>
    </w:p>
    <w:p>
      <w:pPr>
        <w:tabs>
          <w:tab w:val="left" w:pos="1440"/>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乙方应保证所提供的服务或其任何一部分均不会侵犯任何第三方的专利权、商标权或著作权。</w:t>
      </w:r>
    </w:p>
    <w:p>
      <w:pPr>
        <w:spacing w:before="120" w:beforeLines="50" w:after="120" w:afterLines="50" w:line="360" w:lineRule="auto"/>
        <w:ind w:left="425"/>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第七条  无产权瑕疵条款</w:t>
      </w:r>
      <w:bookmarkStart w:id="34" w:name="_GoBack"/>
      <w:bookmarkEnd w:id="34"/>
    </w:p>
    <w:p>
      <w:pPr>
        <w:tabs>
          <w:tab w:val="left" w:pos="1440"/>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乙方保证所提供的服务的所有权完全属于乙方且无任何抵押、查封等产权瑕疵。如有产权瑕疵的，视为乙方违约。乙方应负担由此而产生的一切损失。</w:t>
      </w:r>
    </w:p>
    <w:p>
      <w:pPr>
        <w:widowControl/>
        <w:spacing w:before="120" w:beforeLines="50" w:after="120" w:afterLines="50" w:line="360" w:lineRule="auto"/>
        <w:jc w:val="left"/>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 xml:space="preserve">   第八条   履约保证金</w:t>
      </w:r>
    </w:p>
    <w:p>
      <w:pPr>
        <w:widowControl/>
        <w:spacing w:line="360" w:lineRule="auto"/>
        <w:ind w:firstLine="420" w:firstLineChars="200"/>
        <w:jc w:val="left"/>
        <w:rPr>
          <w:rFonts w:hint="eastAsia" w:ascii="宋体" w:hAnsi="宋体" w:eastAsia="宋体" w:cs="宋体"/>
          <w:b/>
          <w:color w:val="auto"/>
          <w:szCs w:val="21"/>
          <w:highlight w:val="none"/>
          <w:lang w:eastAsia="zh-CN"/>
        </w:rPr>
      </w:pPr>
      <w:r>
        <w:rPr>
          <w:rFonts w:hint="eastAsia" w:ascii="宋体" w:hAnsi="宋体" w:eastAsia="宋体" w:cs="宋体"/>
          <w:color w:val="auto"/>
          <w:kern w:val="0"/>
          <w:szCs w:val="21"/>
          <w:highlight w:val="none"/>
        </w:rPr>
        <w:t>1.乙方在签订本合同之前，向甲方构提交履约保证金人民币</w:t>
      </w:r>
      <w:r>
        <w:rPr>
          <w:rFonts w:hint="eastAsia" w:ascii="宋体" w:hAnsi="宋体" w:eastAsia="宋体" w:cs="宋体"/>
          <w:color w:val="auto"/>
          <w:kern w:val="0"/>
          <w:szCs w:val="21"/>
          <w:highlight w:val="none"/>
          <w:lang w:eastAsia="zh-CN"/>
        </w:rPr>
        <w:t>为</w:t>
      </w:r>
      <w:r>
        <w:rPr>
          <w:rFonts w:hint="eastAsia" w:ascii="宋体" w:hAnsi="宋体" w:eastAsia="宋体" w:cs="宋体"/>
          <w:color w:val="auto"/>
          <w:sz w:val="21"/>
          <w:szCs w:val="21"/>
          <w:highlight w:val="none"/>
          <w:lang w:val="zh-CN"/>
        </w:rPr>
        <w:t>中标价格的</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lang w:eastAsia="zh-CN"/>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pPr>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3.履约保证金作为违约金的一部分及用于补偿甲方因乙方不能履行合同义务而蒙受的损失。</w:t>
      </w:r>
    </w:p>
    <w:p>
      <w:pPr>
        <w:widowControl/>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szCs w:val="21"/>
          <w:highlight w:val="none"/>
        </w:rPr>
        <w:t>服务期限结束后，甲方财务部门接到甲方确认本合同服务等约定事项已经履行完毕的正式书面文件后的日内，向乙方退还履约保证金。</w:t>
      </w:r>
    </w:p>
    <w:p>
      <w:pPr>
        <w:widowControl/>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5.乙方可以履约担保函的形式交纳履约保证金。</w:t>
      </w:r>
    </w:p>
    <w:p>
      <w:pPr>
        <w:spacing w:before="120" w:beforeLines="50" w:after="120" w:afterLines="50" w:line="360" w:lineRule="auto"/>
        <w:ind w:left="425"/>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第九条  甲方的权利和义务</w:t>
      </w:r>
    </w:p>
    <w:p>
      <w:pPr>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pPr>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2.甲方有权依据双方签订的考评办法对乙方提供的服务进行定期考评。当考评结果未达到标准时，有权依据考评办法约定的数额扣除履约保证金。</w:t>
      </w:r>
    </w:p>
    <w:p>
      <w:pPr>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3.负责检查监督乙方管理工作的实施及制度的执行情况。</w:t>
      </w:r>
    </w:p>
    <w:p>
      <w:pPr>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4.根据本合同规定，按时向乙方支付应付服务费用。</w:t>
      </w:r>
    </w:p>
    <w:p>
      <w:pPr>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5.国家法律、法规所规定由甲方承担的其它责任。</w:t>
      </w:r>
    </w:p>
    <w:p>
      <w:pPr>
        <w:spacing w:before="120" w:beforeLines="50" w:after="120" w:afterLines="50" w:line="360" w:lineRule="auto"/>
        <w:ind w:left="425"/>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第十条  乙方的权利和义务</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．乙方应按照</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rPr>
        <w:t>文件的要求、</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文件中服务方案和《实施组织计划》提供服务，并以</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rPr>
        <w:t>文件中《技术要求》和合同作为服务质量是否合格的验收标准，对于</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rPr>
        <w:t>文件及合同要求的解释权归甲方所有。</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．未经甲方同意，乙方不得将本合同所列项目或部分工作任务转包给第三方。</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乙方应按照合同实施项目计划，并对项目经费实行单独核算、专款专用，保证项目经费的合理使用。项目经费使用必须满足完成本合同约定的任务。乙方有义务按照甲方的管理要求按期提供经费使用情况和有关财务资料，并于项目成果验收时提交项目决算报告。经费使用过程中，乙方应严格遵守财政部、交通运输部及甲方的有关经费管理规定。</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.在合同履行过程中，乙方应保障乙方工作人员的安全，并尽相应的注意义务，乙方工作人员自身发生的安全事故及给第三人造成人身或财产损失的，由乙方负责，与甲方无关。</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．乙方按照《合同》及相关补充规定的要求提交全部成果资料，经甲方审查合格，并在甲乙双方完成项目经费最终结算后，退还履约担保金，合同终止。  </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乙方在项目实施过程中形成的中间及最终成果归甲方所有，乙方应严格按照有关法律法规加强管理、合法使用，未经甲方同意，乙方不得以任何方式、理由发表或向第三者提供，也不得用于其他目的，不得私自拷贝、备份或转作他用。</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乙方在项目实施过程中形成的中间及最终成果等为保密资料。乙方须严格按照《中华人民共和国保守国家秘密法》、《中华人民共和国保守国家秘密法实施办法》、《计算机信息系统保密管理暂行规定》、《国家秘密载体保密管理的规定》等相关法律法规及管理文件的要求，对保密资料进行有效管理，做好安全保密工作，不得泄密。</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乙方为保密资料的使用者和安全管理者。乙方不得将保密资料用于本项目以外的任务，不得擅自复制、转让或转借；不得以商业目的使用该数据或者开发和生产产品；乙方可根据需要对数据内容进行必要的修改和对数据格式进转换，但未经许可，不得将修改、转换后的数据对外发布和提供；乙方不得将原始数据或衍生成果在计算机互联网上传输、登载；乙方在项目结束之后须将原始数据以及基于原始数据所产生的相关成果销毁，不得留存。任何格式或者任何复制品视同原始数据。</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．乙方存放保密资料的设施与</w:t>
      </w:r>
      <w:r>
        <w:rPr>
          <w:rFonts w:hint="eastAsia" w:ascii="宋体" w:hAnsi="宋体" w:cs="宋体"/>
          <w:color w:val="auto"/>
          <w:sz w:val="21"/>
          <w:szCs w:val="21"/>
          <w:highlight w:val="none"/>
          <w:lang w:eastAsia="zh-CN"/>
        </w:rPr>
        <w:t>条件</w:t>
      </w:r>
      <w:r>
        <w:rPr>
          <w:rFonts w:hint="eastAsia" w:ascii="宋体" w:hAnsi="宋体" w:eastAsia="宋体" w:cs="宋体"/>
          <w:color w:val="auto"/>
          <w:sz w:val="21"/>
          <w:szCs w:val="21"/>
          <w:highlight w:val="none"/>
        </w:rPr>
        <w:t>应符合国家保密、消防及档案管理的有关规定和要求，并建立完善的数据资料保密内部管理制度；经批准复制的载体要进行编号与登记，按同等密级进行管理；涉密计算机系统应按相关规定办理批准使用手续，严防失泄密事件的发生。</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．乙方有责任和义务进行经常性的保密教育和检查，落实各项保密措施，使所属人员知悉与其工作有关的保密范围和各项保密制度。一旦发生泄密涉密事件，乙方负全部责任。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rPr>
        <w:t>．本保密条款具有独立法律效力，不因合同其他条款无效或解除而失效。合同终止后，甲乙双方亦应持续履行本条所述各项保密责任。保密期限自任何一方获知该商业秘密和国家秘密之日起至本条规定的秘密成为公众信息之日止。</w:t>
      </w:r>
    </w:p>
    <w:p>
      <w:pPr>
        <w:spacing w:before="120" w:beforeLines="50" w:after="120" w:afterLines="50" w:line="360" w:lineRule="auto"/>
        <w:ind w:left="425"/>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第十一条  违约责任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1．因甲方原因造成乙方停工、返工及合同停止，乙方不承担违约责任。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2．乙方未经甲方同意将项目中的部分工作任务分包给第三方，或将项目转包给第三方承担，甲方有权要求乙方予以纠正或解除合同。</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3．乙方向甲方提交的所有资料成果必须保证真实可靠，一经发现存在弄虚作假的行为，甲方有权追索项目款，解除合同，乙方应按照合同总金额的20%向甲方承担违约责任。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除上述情况，对本合同的任何违反均构成违约。当一方认为对方的违约属于严重违约时，若按照相关法律规定或按照通常的理解或认识，确属对合同的履行有重大影响，则应当被认为属于严重违约。若双方对某一违约是否属于严重违约仍有争议，可以由争议解决机构裁决认定。</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若乙方未如期按照合同约定的任何或全部款项内容之要求提供服务及或乙方未能履行合同规定的任何其它义务时，甲方有权直接向乙方发出违约通知书，乙方应按照甲方选择的下列一种或多种方式承担赔偿责任及违约责任： </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1)在甲方同意延长的期限内提供服务并承担由此给甲方造成的直接损失及甲方因此产生的对第三方的责任。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2)在甲方规定的时间内，用符合合同规定的服务以达到合同规定的要求，乙方应承担由此发生的相关费用并承担由此给甲方造成的直接损失及甲方因此产生的对第三方的责任。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3)根据服务低劣程度、损坏程度以及使甲方所遭受的损失及甲方因此产生的对第三方的责任，经双方商定降低服务或赔偿甲方所遭受的损失及甲方因此产生的对第三方的责任。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4)按合同规定的同种货币将甲方已支付的合同款全部退还给甲方，并承担由此发生的直接损失和相关费用及甲方因此产生的对第三方的责任。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5)甲方有权部分或全部解除合同并要求乙方赔偿由此造成的损失及甲方因此产生的对第三方的责任。此时甲方可采取必要的补救措施，相关费用由乙方承担。</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6)此外，上述情形下甲方为采取必要的补救措施及或因防止损失扩大而支出的合理费用应由乙方承担。</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6．如果乙方在收到甲方的违约通知书后十日内未作答复也没有按照甲方选择的方式承担违约责任，甲方有权解除合同，乙方应按照合同总金额的20%向甲方承担违约责任，并赔偿给甲方造成的一切损失。</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若发生上述情形之外的任何违约时，违约方在接到对方关于违约的通知时，均应当就每一项违约向对方支付相当于合同金额5%的违约金。当违约行为给对方造成损失时，若违约金不足以弥补全部损失，违约方还应当赔偿对方因此所受全部损失。当构成严重违约时，对方可以单方面决定解除或终止合同履行，违约方同时还应当承担</w:t>
      </w:r>
      <w:r>
        <w:rPr>
          <w:rFonts w:hint="eastAsia" w:ascii="宋体" w:hAnsi="宋体" w:cs="宋体"/>
          <w:color w:val="auto"/>
          <w:sz w:val="21"/>
          <w:szCs w:val="21"/>
          <w:highlight w:val="none"/>
          <w:lang w:eastAsia="zh-CN"/>
        </w:rPr>
        <w:t>违约金</w:t>
      </w:r>
      <w:r>
        <w:rPr>
          <w:rFonts w:hint="eastAsia" w:ascii="宋体" w:hAnsi="宋体" w:eastAsia="宋体" w:cs="宋体"/>
          <w:color w:val="auto"/>
          <w:sz w:val="21"/>
          <w:szCs w:val="21"/>
          <w:highlight w:val="none"/>
        </w:rPr>
        <w:t>或赔偿责任。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如果乙方延期提供服务（包括阶段性时间），应按下列比例向甲方累计支付工期延误罚款：1周之内，每天罚款金额20000元，2周至4周，从违约之日起至第4周每天罚款金额30000元。累计罚款超过合同金额10%或延期服务超过4周，甲方有权终止合同，并有权要求乙方承担甲方因此所受的全部损失。</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9．在本项目过程中，如果甲方要求，乙方应立即从现场撤出甲方认为不能恰当地履行其职责或有不当行为的人员，且应尽快替换以称职的人员。</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10.以上各项交付的违约金并不影响违约方履行合同的各项义务。   </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本次采购的合同项下的任何合同、文件等均应当符合有关环保、知识产权及其他法律法规的规定，包括童工禁用、劳动保护待遇等法律规定。乙方在合同的签订及履行过程中，其签署、履行合同均意味着其已承诺，任何情况下，均将严格遵守法律、法规，并且应当独立承担全部及任何法律责任，包括甲方、最终用户或任何第三方的民事侵权赔偿责任。上述该等责任同时亦均属严重违约责任。</w:t>
      </w:r>
    </w:p>
    <w:p>
      <w:pPr>
        <w:spacing w:before="120" w:beforeLines="50" w:after="120" w:afterLines="50" w:line="360" w:lineRule="auto"/>
        <w:ind w:left="425"/>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第十二条  不可抗力事件处理</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1．不可抗力指下列事件：战争、动乱、瘟疫、严重火灾、洪水、地震、风暴或其他自然灾害，以及本合同各方不可预见、不可防止并不能避免或克服的一切其他因素及事件。</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任何一方因不可抗力不能履行本合同规定的全部或部分义务，该方应尽快通知另一方，并须在不可抗力发生后三日内以书面形式向另一方提供详细情况报告及不可抗力对履行本合同的影响程度的说明。就上述不可抗力的发生须由受到不可抗力影响的一方负责同时提供由公证机关作出的公证证明。</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pPr>
        <w:pStyle w:val="7"/>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4.合同各方应根据不可抗力对本合同履行的影响程度，协商确定是否终止本合同，或是继续履行本合同。</w:t>
      </w:r>
    </w:p>
    <w:p>
      <w:pPr>
        <w:widowControl/>
        <w:spacing w:before="120" w:beforeLines="50" w:after="120" w:afterLines="50" w:line="360" w:lineRule="auto"/>
        <w:jc w:val="left"/>
        <w:rPr>
          <w:rFonts w:hint="eastAsia" w:ascii="宋体" w:hAnsi="宋体" w:eastAsia="宋体" w:cs="宋体"/>
          <w:color w:val="auto"/>
          <w:kern w:val="0"/>
          <w:sz w:val="30"/>
          <w:szCs w:val="30"/>
          <w:highlight w:val="none"/>
        </w:rPr>
      </w:pPr>
      <w:r>
        <w:rPr>
          <w:rFonts w:hint="eastAsia" w:ascii="宋体" w:hAnsi="宋体" w:eastAsia="宋体" w:cs="宋体"/>
          <w:b/>
          <w:color w:val="auto"/>
          <w:sz w:val="30"/>
          <w:szCs w:val="30"/>
          <w:highlight w:val="none"/>
        </w:rPr>
        <w:t xml:space="preserve">   第十三条  </w:t>
      </w:r>
      <w:r>
        <w:rPr>
          <w:rFonts w:hint="eastAsia" w:ascii="宋体" w:hAnsi="宋体" w:eastAsia="宋体" w:cs="宋体"/>
          <w:b/>
          <w:color w:val="auto"/>
          <w:kern w:val="0"/>
          <w:sz w:val="30"/>
          <w:szCs w:val="30"/>
          <w:highlight w:val="none"/>
        </w:rPr>
        <w:t>合同的变更和终止</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pPr>
        <w:spacing w:before="120" w:beforeLines="50" w:after="120" w:afterLines="50" w:line="360" w:lineRule="auto"/>
        <w:ind w:left="425"/>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第十四条  解决合同纠纷的方式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7"/>
        <w:spacing w:line="360" w:lineRule="auto"/>
        <w:ind w:firstLine="420"/>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在执行本合同中发生的或与本合同有关的争端，双方应通过友好协商解决，经协商不能达成协议时，</w:t>
      </w:r>
      <w:r>
        <w:rPr>
          <w:rFonts w:hint="eastAsia" w:ascii="宋体" w:hAnsi="宋体" w:cs="宋体"/>
          <w:color w:val="auto"/>
          <w:kern w:val="0"/>
          <w:sz w:val="21"/>
          <w:szCs w:val="21"/>
          <w:highlight w:val="none"/>
          <w:lang w:val="en-US" w:eastAsia="zh-CN"/>
        </w:rPr>
        <w:t>可</w:t>
      </w:r>
      <w:r>
        <w:rPr>
          <w:rFonts w:hint="eastAsia" w:ascii="宋体" w:hAnsi="宋体" w:eastAsia="宋体" w:cs="宋体"/>
          <w:color w:val="auto"/>
          <w:kern w:val="0"/>
          <w:sz w:val="21"/>
          <w:szCs w:val="21"/>
          <w:highlight w:val="none"/>
        </w:rPr>
        <w:t>向甲方所在地有管辖权的人民法院提起诉讼</w:t>
      </w:r>
      <w:r>
        <w:rPr>
          <w:rFonts w:hint="eastAsia" w:ascii="宋体" w:hAnsi="宋体" w:eastAsia="宋体" w:cs="宋体"/>
          <w:color w:val="auto"/>
          <w:kern w:val="0"/>
          <w:szCs w:val="21"/>
          <w:highlight w:val="none"/>
        </w:rPr>
        <w:t>。</w:t>
      </w:r>
    </w:p>
    <w:p>
      <w:pPr>
        <w:spacing w:before="120" w:beforeLines="50" w:after="120" w:afterLines="50" w:line="360" w:lineRule="auto"/>
        <w:ind w:left="425"/>
        <w:rPr>
          <w:rFonts w:hint="eastAsia" w:ascii="宋体" w:hAnsi="宋体" w:eastAsia="宋体" w:cs="宋体"/>
          <w:b/>
          <w:color w:val="auto"/>
          <w:sz w:val="30"/>
          <w:szCs w:val="30"/>
          <w:highlight w:val="none"/>
        </w:rPr>
      </w:pPr>
      <w:bookmarkStart w:id="16" w:name="_Toc247334847"/>
      <w:bookmarkStart w:id="17" w:name="_Toc238984981"/>
      <w:bookmarkStart w:id="18" w:name="_Toc225654650"/>
      <w:bookmarkStart w:id="19" w:name="_Toc251768868"/>
      <w:bookmarkStart w:id="20" w:name="_Toc283019219"/>
      <w:bookmarkStart w:id="21" w:name="_Toc282696231"/>
      <w:bookmarkStart w:id="22" w:name="_Toc239568424"/>
      <w:bookmarkStart w:id="23" w:name="_Toc211911354"/>
      <w:bookmarkStart w:id="24" w:name="_Toc239233920"/>
      <w:bookmarkStart w:id="25" w:name="_Toc211854455"/>
      <w:bookmarkStart w:id="26" w:name="_Toc232492934"/>
      <w:bookmarkStart w:id="27" w:name="_Toc185395255"/>
      <w:bookmarkStart w:id="28" w:name="_Toc225244858"/>
      <w:bookmarkStart w:id="29" w:name="_Toc237145412"/>
      <w:bookmarkStart w:id="30" w:name="_Toc241833909"/>
      <w:bookmarkStart w:id="31" w:name="_Toc225670757"/>
      <w:bookmarkStart w:id="32" w:name="_Toc286993793"/>
      <w:bookmarkStart w:id="33" w:name="_Toc212019600"/>
      <w:r>
        <w:rPr>
          <w:rFonts w:hint="eastAsia" w:ascii="宋体" w:hAnsi="宋体" w:eastAsia="宋体" w:cs="宋体"/>
          <w:b/>
          <w:color w:val="auto"/>
          <w:sz w:val="30"/>
          <w:szCs w:val="30"/>
          <w:highlight w:val="none"/>
        </w:rPr>
        <w:t>第十</w:t>
      </w:r>
      <w:r>
        <w:rPr>
          <w:rFonts w:hint="eastAsia" w:ascii="宋体" w:hAnsi="宋体" w:cs="宋体"/>
          <w:b/>
          <w:color w:val="auto"/>
          <w:sz w:val="30"/>
          <w:szCs w:val="30"/>
          <w:highlight w:val="none"/>
          <w:lang w:val="en-US" w:eastAsia="zh-CN"/>
        </w:rPr>
        <w:t>五</w:t>
      </w:r>
      <w:r>
        <w:rPr>
          <w:rFonts w:hint="eastAsia" w:ascii="宋体" w:hAnsi="宋体" w:eastAsia="宋体" w:cs="宋体"/>
          <w:b/>
          <w:color w:val="auto"/>
          <w:sz w:val="30"/>
          <w:szCs w:val="30"/>
          <w:highlight w:val="none"/>
        </w:rPr>
        <w:t>条  合同</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宋体" w:hAnsi="宋体" w:eastAsia="宋体" w:cs="宋体"/>
          <w:b/>
          <w:color w:val="auto"/>
          <w:sz w:val="30"/>
          <w:szCs w:val="30"/>
          <w:highlight w:val="none"/>
        </w:rPr>
        <w:t>生效及其他</w:t>
      </w:r>
    </w:p>
    <w:p>
      <w:pPr>
        <w:pStyle w:val="8"/>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1.合同经双方法定代表人或授权委托代理人签字并加盖单位公章后生效。</w:t>
      </w:r>
    </w:p>
    <w:p>
      <w:pPr>
        <w:pStyle w:val="8"/>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pPr>
        <w:pStyle w:val="8"/>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w:t>
      </w:r>
      <w:r>
        <w:rPr>
          <w:rFonts w:hint="eastAsia" w:ascii="宋体" w:hAnsi="宋体" w:cs="宋体"/>
          <w:color w:val="auto"/>
          <w:sz w:val="21"/>
          <w:szCs w:val="21"/>
          <w:highlight w:val="none"/>
          <w:lang w:val="en-US" w:eastAsia="zh-CN"/>
        </w:rPr>
        <w:t>壹拾</w:t>
      </w:r>
      <w:r>
        <w:rPr>
          <w:rFonts w:hint="eastAsia" w:ascii="宋体" w:hAnsi="宋体" w:eastAsia="宋体" w:cs="宋体"/>
          <w:color w:val="auto"/>
          <w:sz w:val="21"/>
          <w:szCs w:val="21"/>
          <w:highlight w:val="none"/>
        </w:rPr>
        <w:t>份，自双方签章之日起起效。甲方</w:t>
      </w:r>
      <w:r>
        <w:rPr>
          <w:rFonts w:hint="eastAsia" w:ascii="宋体" w:hAnsi="宋体" w:cs="宋体"/>
          <w:color w:val="auto"/>
          <w:sz w:val="21"/>
          <w:szCs w:val="21"/>
          <w:highlight w:val="none"/>
          <w:lang w:val="en-US" w:eastAsia="zh-CN"/>
        </w:rPr>
        <w:t>肆</w:t>
      </w:r>
      <w:r>
        <w:rPr>
          <w:rFonts w:hint="eastAsia" w:ascii="宋体" w:hAnsi="宋体" w:eastAsia="宋体" w:cs="宋体"/>
          <w:color w:val="auto"/>
          <w:sz w:val="21"/>
          <w:szCs w:val="21"/>
          <w:highlight w:val="none"/>
        </w:rPr>
        <w:t>份，乙方</w:t>
      </w:r>
      <w:r>
        <w:rPr>
          <w:rFonts w:hint="eastAsia" w:ascii="宋体" w:hAnsi="宋体" w:cs="宋体"/>
          <w:color w:val="auto"/>
          <w:sz w:val="21"/>
          <w:szCs w:val="21"/>
          <w:highlight w:val="none"/>
          <w:lang w:val="en-US" w:eastAsia="zh-CN"/>
        </w:rPr>
        <w:t>肆</w:t>
      </w:r>
      <w:r>
        <w:rPr>
          <w:rFonts w:hint="eastAsia" w:ascii="宋体" w:hAnsi="宋体" w:eastAsia="宋体" w:cs="宋体"/>
          <w:color w:val="auto"/>
          <w:sz w:val="21"/>
          <w:szCs w:val="21"/>
          <w:highlight w:val="none"/>
        </w:rPr>
        <w:t>份，政府采购代理机构</w:t>
      </w:r>
      <w:r>
        <w:rPr>
          <w:rFonts w:hint="eastAsia" w:ascii="宋体" w:hAnsi="宋体" w:cs="宋体"/>
          <w:color w:val="auto"/>
          <w:sz w:val="21"/>
          <w:szCs w:val="21"/>
          <w:highlight w:val="none"/>
          <w:lang w:val="en-US" w:eastAsia="zh-CN"/>
        </w:rPr>
        <w:t>壹</w:t>
      </w:r>
      <w:r>
        <w:rPr>
          <w:rFonts w:hint="eastAsia" w:ascii="宋体" w:hAnsi="宋体" w:eastAsia="宋体" w:cs="宋体"/>
          <w:color w:val="auto"/>
          <w:sz w:val="21"/>
          <w:szCs w:val="21"/>
          <w:highlight w:val="none"/>
        </w:rPr>
        <w:t>份，同级财政部门备案</w:t>
      </w:r>
      <w:r>
        <w:rPr>
          <w:rFonts w:hint="eastAsia" w:ascii="宋体" w:hAnsi="宋体" w:cs="宋体"/>
          <w:color w:val="auto"/>
          <w:sz w:val="21"/>
          <w:szCs w:val="21"/>
          <w:highlight w:val="none"/>
          <w:lang w:val="en-US" w:eastAsia="zh-CN"/>
        </w:rPr>
        <w:t>壹</w:t>
      </w:r>
      <w:r>
        <w:rPr>
          <w:rFonts w:hint="eastAsia" w:ascii="宋体" w:hAnsi="宋体" w:eastAsia="宋体" w:cs="宋体"/>
          <w:color w:val="auto"/>
          <w:sz w:val="21"/>
          <w:szCs w:val="21"/>
          <w:highlight w:val="none"/>
        </w:rPr>
        <w:t>份，具有同等法律效力。</w:t>
      </w:r>
    </w:p>
    <w:p>
      <w:pPr>
        <w:spacing w:after="120" w:afterLines="50" w:line="360" w:lineRule="auto"/>
        <w:ind w:left="425"/>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第十</w:t>
      </w:r>
      <w:r>
        <w:rPr>
          <w:rFonts w:hint="eastAsia" w:ascii="宋体" w:hAnsi="宋体" w:cs="宋体"/>
          <w:b/>
          <w:color w:val="auto"/>
          <w:sz w:val="30"/>
          <w:szCs w:val="30"/>
          <w:highlight w:val="none"/>
          <w:lang w:val="en-US" w:eastAsia="zh-CN"/>
        </w:rPr>
        <w:t>六</w:t>
      </w:r>
      <w:r>
        <w:rPr>
          <w:rFonts w:hint="eastAsia" w:ascii="宋体" w:hAnsi="宋体" w:eastAsia="宋体" w:cs="宋体"/>
          <w:b/>
          <w:color w:val="auto"/>
          <w:sz w:val="30"/>
          <w:szCs w:val="30"/>
          <w:highlight w:val="none"/>
        </w:rPr>
        <w:t>条  附件</w:t>
      </w:r>
    </w:p>
    <w:p>
      <w:pPr>
        <w:pStyle w:val="8"/>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rPr>
        <w:t>文件</w:t>
      </w:r>
    </w:p>
    <w:p>
      <w:pPr>
        <w:pStyle w:val="8"/>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2.项目修改澄清文件</w:t>
      </w:r>
    </w:p>
    <w:p>
      <w:pPr>
        <w:pStyle w:val="8"/>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w:t>
      </w:r>
    </w:p>
    <w:p>
      <w:pPr>
        <w:pStyle w:val="8"/>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val="en-US" w:eastAsia="zh-CN"/>
        </w:rPr>
        <w:t>成交</w:t>
      </w:r>
      <w:r>
        <w:rPr>
          <w:rFonts w:hint="eastAsia" w:ascii="宋体" w:hAnsi="宋体" w:eastAsia="宋体" w:cs="宋体"/>
          <w:color w:val="auto"/>
          <w:sz w:val="21"/>
          <w:szCs w:val="21"/>
          <w:highlight w:val="none"/>
        </w:rPr>
        <w:t>通知书</w:t>
      </w:r>
    </w:p>
    <w:p>
      <w:pPr>
        <w:pStyle w:val="8"/>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w:t>
      </w:r>
    </w:p>
    <w:p>
      <w:pPr>
        <w:spacing w:line="360" w:lineRule="auto"/>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甲方：</w:t>
      </w:r>
      <w:r>
        <w:rPr>
          <w:rFonts w:hint="eastAsia" w:ascii="宋体" w:hAnsi="宋体" w:cs="宋体"/>
          <w:color w:val="auto"/>
          <w:szCs w:val="21"/>
          <w:highlight w:val="none"/>
          <w:u w:val="single"/>
          <w:lang w:val="en-US" w:eastAsia="zh-CN"/>
        </w:rPr>
        <w:t xml:space="preserve">  </w:t>
      </w:r>
      <w:r>
        <w:rPr>
          <w:rFonts w:hint="eastAsia" w:ascii="微软雅黑" w:hAnsi="微软雅黑" w:eastAsia="微软雅黑" w:cs="微软雅黑"/>
          <w:b w:val="0"/>
          <w:color w:val="auto"/>
          <w:sz w:val="21"/>
          <w:szCs w:val="21"/>
          <w:highlight w:val="none"/>
          <w:u w:val="single"/>
          <w:lang w:val="en-US" w:eastAsia="zh-CN"/>
        </w:rPr>
        <w:t xml:space="preserve">陕西省公路局  </w:t>
      </w:r>
      <w:r>
        <w:rPr>
          <w:rFonts w:hint="eastAsia" w:ascii="宋体" w:hAnsi="宋体" w:eastAsia="宋体" w:cs="宋体"/>
          <w:color w:val="auto"/>
          <w:szCs w:val="21"/>
          <w:highlight w:val="none"/>
          <w:u w:val="single"/>
        </w:rPr>
        <w:t xml:space="preserve">（盖章）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tab/>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乙方：</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（盖章）</w:t>
      </w:r>
    </w:p>
    <w:p>
      <w:pPr>
        <w:spacing w:line="360" w:lineRule="auto"/>
        <w:ind w:firstLine="420" w:firstLineChars="200"/>
        <w:rPr>
          <w:rFonts w:hint="eastAsia" w:ascii="宋体" w:hAnsi="宋体" w:eastAsia="宋体" w:cs="宋体"/>
          <w:color w:val="auto"/>
          <w:szCs w:val="21"/>
          <w:highlight w:val="none"/>
          <w:u w:val="single"/>
        </w:rPr>
      </w:pPr>
    </w:p>
    <w:p>
      <w:pPr>
        <w:spacing w:line="360" w:lineRule="auto"/>
        <w:ind w:firstLine="420" w:firstLineChars="200"/>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 xml:space="preserve">法定代表人（委托代理人）： </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 xml:space="preserve">  法定代表人（委托代理人）：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rPr>
      </w:pPr>
    </w:p>
    <w:p>
      <w:pPr>
        <w:keepNext w:val="0"/>
        <w:keepLines w:val="0"/>
        <w:pageBreakBefore w:val="0"/>
        <w:kinsoku/>
        <w:overflowPunct/>
        <w:topLinePunct w:val="0"/>
        <w:autoSpaceDE/>
        <w:autoSpaceDN/>
        <w:bidi w:val="0"/>
        <w:adjustRightInd/>
        <w:snapToGrid/>
        <w:spacing w:line="120" w:lineRule="auto"/>
        <w:ind w:left="101" w:leftChars="48" w:firstLine="315"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址：西安市含光北路110号   </w:t>
      </w:r>
      <w:r>
        <w:rPr>
          <w:rFonts w:hint="eastAsia" w:ascii="宋体" w:hAnsi="宋体" w:eastAsia="宋体" w:cs="宋体"/>
          <w:color w:val="auto"/>
          <w:szCs w:val="21"/>
          <w:highlight w:val="none"/>
          <w:u w:val="none"/>
        </w:rPr>
        <w:t xml:space="preserve"> </w:t>
      </w:r>
      <w:r>
        <w:rPr>
          <w:rFonts w:hint="eastAsia" w:ascii="宋体" w:hAnsi="宋体" w:eastAsia="宋体" w:cs="宋体"/>
          <w:color w:val="auto"/>
          <w:szCs w:val="21"/>
          <w:highlight w:val="none"/>
        </w:rPr>
        <w:t xml:space="preserve">            地    址：</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开户银行：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开户银行：</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账号：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账号：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电    话：</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传    真：</w:t>
      </w:r>
    </w:p>
    <w:p>
      <w:pPr>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甲方联系人：                                  乙方联系人：</w:t>
      </w:r>
    </w:p>
    <w:p>
      <w:pPr>
        <w:spacing w:line="360" w:lineRule="auto"/>
        <w:ind w:firstLine="5250" w:firstLineChars="2500"/>
        <w:rPr>
          <w:rFonts w:hint="eastAsia" w:ascii="宋体" w:hAnsi="宋体" w:cs="宋体"/>
          <w:color w:val="auto"/>
          <w:szCs w:val="21"/>
          <w:highlight w:val="none"/>
          <w:u w:val="single"/>
          <w:lang w:val="en-US" w:eastAsia="zh-CN"/>
        </w:rPr>
      </w:pPr>
      <w:r>
        <w:rPr>
          <w:rFonts w:hint="eastAsia" w:ascii="宋体" w:hAnsi="宋体" w:cs="宋体"/>
          <w:color w:val="auto"/>
          <w:szCs w:val="21"/>
          <w:highlight w:val="none"/>
          <w:lang w:val="en-US" w:eastAsia="zh-CN"/>
        </w:rPr>
        <w:t>纳税人识别号：</w:t>
      </w:r>
      <w:r>
        <w:rPr>
          <w:rFonts w:hint="eastAsia" w:ascii="宋体" w:hAnsi="宋体" w:cs="宋体"/>
          <w:color w:val="auto"/>
          <w:szCs w:val="21"/>
          <w:highlight w:val="none"/>
          <w:u w:val="single"/>
          <w:lang w:val="en-US" w:eastAsia="zh-CN"/>
        </w:rPr>
        <w:t xml:space="preserve">                      </w:t>
      </w:r>
    </w:p>
    <w:p>
      <w:pPr>
        <w:spacing w:line="360" w:lineRule="auto"/>
        <w:ind w:firstLine="5250" w:firstLineChars="2500"/>
        <w:rPr>
          <w:rFonts w:hint="default" w:ascii="宋体" w:hAnsi="宋体" w:cs="宋体"/>
          <w:color w:val="auto"/>
          <w:szCs w:val="21"/>
          <w:highlight w:val="none"/>
          <w:u w:val="single"/>
          <w:lang w:val="en-US" w:eastAsia="zh-CN"/>
        </w:rPr>
      </w:pP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签约日期：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年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月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签约日期：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年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月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3Mzg5YTFlZWRhMDVhNWE4MDM4NTA0NTJkOWI3MDUifQ=="/>
  </w:docVars>
  <w:rsids>
    <w:rsidRoot w:val="6B185F97"/>
    <w:rsid w:val="0E457C1F"/>
    <w:rsid w:val="1F5F2585"/>
    <w:rsid w:val="3FDD7719"/>
    <w:rsid w:val="423441DD"/>
    <w:rsid w:val="42C60CD6"/>
    <w:rsid w:val="469E391C"/>
    <w:rsid w:val="56416185"/>
    <w:rsid w:val="5C253821"/>
    <w:rsid w:val="6B185F97"/>
    <w:rsid w:val="6BE40C56"/>
    <w:rsid w:val="704D0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customStyle="1" w:styleId="6">
    <w:name w:val="正文文本 31"/>
    <w:basedOn w:val="1"/>
    <w:autoRedefine/>
    <w:qFormat/>
    <w:uiPriority w:val="0"/>
    <w:rPr>
      <w:sz w:val="16"/>
      <w:szCs w:val="16"/>
    </w:rPr>
  </w:style>
  <w:style w:type="paragraph" w:customStyle="1" w:styleId="7">
    <w:name w:val="样式 首行缩进:  2 字符"/>
    <w:basedOn w:val="1"/>
    <w:autoRedefine/>
    <w:qFormat/>
    <w:uiPriority w:val="0"/>
    <w:pPr>
      <w:spacing w:line="400" w:lineRule="exact"/>
      <w:ind w:firstLine="200" w:firstLineChars="200"/>
    </w:pPr>
    <w:rPr>
      <w:rFonts w:cs="宋体"/>
      <w:sz w:val="24"/>
    </w:rPr>
  </w:style>
  <w:style w:type="paragraph" w:styleId="8">
    <w:name w:val="List Paragraph"/>
    <w:basedOn w:val="1"/>
    <w:autoRedefine/>
    <w:qFormat/>
    <w:uiPriority w:val="0"/>
    <w:pPr>
      <w:ind w:firstLine="420" w:firstLineChars="200"/>
    </w:pPr>
    <w:rPr>
      <w:sz w:val="18"/>
      <w:szCs w:val="18"/>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4979</Words>
  <Characters>5067</Characters>
  <Lines>0</Lines>
  <Paragraphs>0</Paragraphs>
  <TotalTime>1</TotalTime>
  <ScaleCrop>false</ScaleCrop>
  <LinksUpToDate>false</LinksUpToDate>
  <CharactersWithSpaces>5488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2024-04-10T00:43:00Z</dcterms:created>
  <dc:creator>胁遗孜冠戎</dc:creator>
  <cp:lastModifiedBy>雷适瑄</cp:lastModifiedBy>
  <cp:lastPrinted>2024-05-20T02:03:14Z</cp:lastPrinted>
  <dcterms:modified xsi:type="dcterms:W3CDTF">2024-05-20T02:03:18Z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E66AC55ECB7A480C97974EC911017F5B_11</vt:lpwstr>
  </property>
</Properties>
</file>