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版本号：240602001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高速公路联网收费系统应用软件运维</w:t>
      </w:r>
    </w:p>
    <w:p>
      <w:pPr>
        <w:pStyle w:val="null3"/>
        <w:jc w:val="center"/>
        <w:outlineLvl w:val="2"/>
      </w:pPr>
      <w:r>
        <w:rPr>
          <w:sz w:val="28"/>
          <w:b/>
        </w:rPr>
        <w:t>采购项目编号：</w:t>
      </w:r>
      <w:r>
        <w:rPr>
          <w:sz w:val="28"/>
          <w:b/>
        </w:rPr>
        <w:t>中赞招字（2024）第20号</w:t>
      </w:r>
      <w:r>
        <w:br/>
      </w:r>
      <w:r>
        <w:br/>
      </w:r>
      <w:r>
        <w:br/>
      </w:r>
    </w:p>
    <w:p>
      <w:pPr>
        <w:pStyle w:val="null3"/>
        <w:jc w:val="center"/>
        <w:outlineLvl w:val="2"/>
      </w:pPr>
      <w:r>
        <w:rPr>
          <w:sz w:val="28"/>
          <w:b/>
        </w:rPr>
        <w:t>陕西省高速公路收费中心</w:t>
      </w:r>
    </w:p>
    <w:p>
      <w:pPr>
        <w:pStyle w:val="null3"/>
        <w:jc w:val="center"/>
        <w:outlineLvl w:val="2"/>
      </w:pPr>
      <w:r>
        <w:rPr>
          <w:sz w:val="28"/>
          <w:b/>
        </w:rPr>
        <w:t>中赞国际项目管理有限公司</w:t>
      </w:r>
      <w:r>
        <w:rPr>
          <w:sz w:val="28"/>
          <w:b/>
        </w:rPr>
        <w:t>共同编制</w:t>
      </w:r>
    </w:p>
    <w:p>
      <w:pPr>
        <w:pStyle w:val="null3"/>
        <w:jc w:val="center"/>
        <w:outlineLvl w:val="2"/>
      </w:pPr>
      <w:r>
        <w:rPr>
          <w:sz w:val="28"/>
          <w:b/>
        </w:rPr>
        <w:t>2024年06月01日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中赞国际项目管理有限公司</w:t>
      </w:r>
      <w:r>
        <w:rPr/>
        <w:t>（以下简称“代理机构”）受</w:t>
      </w:r>
      <w:r>
        <w:rPr/>
        <w:t>陕西省高速公路收费中心</w:t>
      </w:r>
      <w:r>
        <w:rPr/>
        <w:t>委托，拟对</w:t>
      </w:r>
      <w:r>
        <w:rPr/>
        <w:t>高速公路联网收费系统应用软件运维</w:t>
      </w:r>
      <w:r>
        <w:rPr/>
        <w:t>采用竞争性磋商采购方式进行采购，兹邀请供应商参加本项目的竞争性磋商。</w:t>
      </w:r>
    </w:p>
    <w:p>
      <w:pPr>
        <w:pStyle w:val="null3"/>
        <w:outlineLvl w:val="2"/>
      </w:pPr>
      <w:r>
        <w:rPr>
          <w:sz w:val="28"/>
          <w:b/>
        </w:rPr>
        <w:t>一、项目编号：</w:t>
      </w:r>
      <w:r>
        <w:rPr>
          <w:sz w:val="28"/>
          <w:b/>
        </w:rPr>
        <w:t>中赞招字（2024）第20号</w:t>
      </w:r>
    </w:p>
    <w:p>
      <w:pPr>
        <w:pStyle w:val="null3"/>
        <w:outlineLvl w:val="2"/>
      </w:pPr>
      <w:r>
        <w:rPr>
          <w:sz w:val="28"/>
          <w:b/>
        </w:rPr>
        <w:t>二、项目名称：</w:t>
      </w:r>
      <w:r>
        <w:rPr>
          <w:sz w:val="28"/>
          <w:b/>
        </w:rPr>
        <w:t>高速公路联网收费系统应用软件运维</w:t>
      </w:r>
    </w:p>
    <w:p>
      <w:pPr>
        <w:pStyle w:val="null3"/>
        <w:outlineLvl w:val="2"/>
      </w:pPr>
      <w:r>
        <w:rPr>
          <w:sz w:val="28"/>
          <w:b/>
        </w:rPr>
        <w:t>三、磋商项目简介</w:t>
      </w:r>
    </w:p>
    <w:p>
      <w:pPr>
        <w:pStyle w:val="null3"/>
        <w:ind w:firstLine="480"/>
      </w:pPr>
      <w:r>
        <w:rPr/>
        <w:t>陕西省高速公路联网收费系统应用软件运维服务项目预算为125万元。由联网收费系统应用软件维护（预算：74万元）、费率库升级服务（预算46.00万元）、国密省收费中心系统及CPC卡发行系统软件维护（预算：5万元）三部分内容组成。 联网收费系统应用软件系统，承担了我省高速公路通行费的数据接收，记账数据处理，清分数据处理，对账数据处理、结算数据处理、退费数据处理、补缴数据处理，拆分数据处理、数据统计分析、车道软件升级（包括新路段开通、节假日免费、已有功能的完善）等多种业务，是高速公路收费管理的重要支撑系统。为了保障系统的正常运行，持续发挥重要作用，软件应用系统需进行日常维护，以减少产生争议交易等问题，提高系统运行效率和系统可靠运行。 费率库编制服务是为进一步提升路网费率制定及下发水平，保障全省联网费率制定下发工作的规范稳定运行，按照《收费公路联网收费费率发布周期优化方案》，结合全省路网新通车路段、差异化收费政策及其他费率变化等情况，不定期进行费率制定及下发的工作，保障了全省收费门架、收费车道计费精准。 国密省收费中心系统及CPC卡发行系统，承担了为全省门架、车道授权、签到及通行介质的初始化发行等重要工作任务，确保联网收费正常运转。</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1、供应商不得在“信用中国” 网站被列入失信被执行人名单、重大税收违法案件当事人名单和不得在“中国政府采购网”被列入政府采购严重违法失信行为记录名单：供应商需在项目电子化交易系统中按要求上传相应证明文件并进行电子签章。</w:t>
      </w:r>
    </w:p>
    <w:p>
      <w:pPr>
        <w:pStyle w:val="null3"/>
      </w:pPr>
      <w:r>
        <w:rPr/>
        <w:t>2、法定代表人委托授权书\身份证明：供应商应授权合法的人员参加磋商全过程，其中法定代表人直接参加磋商的，须出具法定代表人身份证明，并与营业执照上信息一致。法定代表人授权代表参加磋商的，须出具法定代表人授权委托书。（其他组织或自然人参照执行）</w:t>
      </w:r>
    </w:p>
    <w:p>
      <w:pPr>
        <w:pStyle w:val="null3"/>
      </w:pPr>
      <w:r>
        <w:rPr/>
        <w:t>3、有效的主体资格证明：提供合格有效的法人或者其他组织的营业执照等证明文件或自然人的身份证明。</w:t>
      </w:r>
    </w:p>
    <w:p>
      <w:pPr>
        <w:pStyle w:val="null3"/>
      </w:pPr>
      <w:r>
        <w:rPr/>
        <w:t>4、财务状况报告：（1）提供2022年度或2023年度的财务审计报告；（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形式的证明资料提供任何一种即可。（事业法人仅提供部门决算报告即可）</w:t>
      </w:r>
    </w:p>
    <w:p>
      <w:pPr>
        <w:pStyle w:val="null3"/>
      </w:pPr>
      <w:r>
        <w:rPr/>
        <w:t>5、税收缴纳证明：提供递交响应文件截止日期前十二个月（递交响应文件截止时间当月不计入）内已缴存的至少一个月的纳税证明或完税证明，依法免税的单位应提供相关证明材料。</w:t>
      </w:r>
    </w:p>
    <w:p>
      <w:pPr>
        <w:pStyle w:val="null3"/>
      </w:pPr>
      <w:r>
        <w:rPr/>
        <w:t>6、社会保障资金缴纳证明：提供递交响应文件截止日期前十二个月内（递交响应文件截止时间当月不计入）已缴存的至少一个月的社会保障资金缴存单据或社保机构开具的社会保险参保缴费情况证明，依法不需要缴纳社会保障资金的单位应提供相关证明材料。</w:t>
      </w:r>
    </w:p>
    <w:p>
      <w:pPr>
        <w:pStyle w:val="null3"/>
      </w:pPr>
      <w:r>
        <w:rPr/>
        <w:t>7、无重大违法记录声明：近3年内在经营活动中没有重大违法记录的书面声明。</w:t>
      </w:r>
    </w:p>
    <w:p>
      <w:pPr>
        <w:pStyle w:val="null3"/>
      </w:pPr>
      <w:r>
        <w:rPr/>
        <w:t>8、具有履行合同所必需的设备和专业技术能力：提交履行合同所必需的设备和专业技术能力的书面声明。</w:t>
      </w:r>
    </w:p>
    <w:p>
      <w:pPr>
        <w:pStyle w:val="null3"/>
      </w:pPr>
      <w:r>
        <w:rPr/>
        <w:t>9、本项目不接受联合体响应：非联合体投标承诺书。</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陕西省高速公路收费中心</w:t>
      </w:r>
    </w:p>
    <w:p>
      <w:pPr>
        <w:pStyle w:val="null3"/>
      </w:pPr>
      <w:r>
        <w:rPr/>
        <w:t xml:space="preserve"> 地址： </w:t>
      </w:r>
      <w:r>
        <w:rPr/>
        <w:t>西安市未央区未央路208号</w:t>
      </w:r>
    </w:p>
    <w:p>
      <w:pPr>
        <w:pStyle w:val="null3"/>
      </w:pPr>
      <w:r>
        <w:rPr/>
        <w:t xml:space="preserve"> 邮编： </w:t>
      </w:r>
      <w:r>
        <w:rPr/>
        <w:t>710000</w:t>
      </w:r>
    </w:p>
    <w:p>
      <w:pPr>
        <w:pStyle w:val="null3"/>
      </w:pPr>
      <w:r>
        <w:rPr/>
        <w:t xml:space="preserve"> 联系人： </w:t>
      </w:r>
      <w:r>
        <w:rPr/>
        <w:t>陕西省高速公路收费中心办公室</w:t>
      </w:r>
    </w:p>
    <w:p>
      <w:pPr>
        <w:pStyle w:val="null3"/>
      </w:pPr>
      <w:r>
        <w:rPr/>
        <w:t xml:space="preserve"> 联系电话： </w:t>
      </w:r>
      <w:r>
        <w:rPr/>
        <w:t>029-86531101</w:t>
      </w:r>
    </w:p>
    <w:p>
      <w:pPr>
        <w:pStyle w:val="null3"/>
        <w:outlineLvl w:val="3"/>
      </w:pPr>
      <w:r>
        <w:rPr>
          <w:sz w:val="24"/>
          <w:b/>
        </w:rPr>
        <w:t>代理机构：</w:t>
      </w:r>
      <w:r>
        <w:rPr>
          <w:sz w:val="24"/>
          <w:b/>
        </w:rPr>
        <w:t>中赞国际项目管理有限公司</w:t>
      </w:r>
    </w:p>
    <w:p>
      <w:pPr>
        <w:pStyle w:val="null3"/>
      </w:pPr>
      <w:r>
        <w:rPr/>
        <w:t xml:space="preserve"> 地址： </w:t>
      </w:r>
      <w:r>
        <w:rPr/>
        <w:t>陕西省西安市未央区陕西省西安市未央区未央路老三届首座大厦2号1幢12220室</w:t>
      </w:r>
    </w:p>
    <w:p>
      <w:pPr>
        <w:pStyle w:val="null3"/>
      </w:pPr>
      <w:r>
        <w:rPr/>
        <w:t xml:space="preserve"> 邮编： </w:t>
      </w:r>
      <w:r>
        <w:rPr/>
        <w:t>710000</w:t>
      </w:r>
    </w:p>
    <w:p>
      <w:pPr>
        <w:pStyle w:val="null3"/>
      </w:pPr>
      <w:r>
        <w:rPr/>
        <w:t xml:space="preserve"> 联系人： </w:t>
      </w:r>
      <w:r>
        <w:rPr/>
        <w:t>张琪</w:t>
      </w:r>
    </w:p>
    <w:p>
      <w:pPr>
        <w:pStyle w:val="null3"/>
      </w:pPr>
      <w:r>
        <w:rPr/>
        <w:t xml:space="preserve"> 联系电话： </w:t>
      </w:r>
      <w:r>
        <w:rPr/>
        <w:t>029-81629798</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采购包1：1,250,000.00元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采购包1保证金金额：20,000.00元</w:t>
            </w:r>
          </w:p>
          <w:p>
            <w:pPr>
              <w:pStyle w:val="null3"/>
            </w:pPr>
            <w:r>
              <w:rPr/>
              <w:t>缴交渠道：转账、支票、汇票等（需通过实体账户、户名及开户行信息）</w:t>
            </w:r>
          </w:p>
          <w:p>
            <w:pPr>
              <w:pStyle w:val="null3"/>
            </w:pPr>
            <w:r>
              <w:rPr/>
              <w:t>开户名称：中赞国际项目管理有限公司</w:t>
            </w:r>
          </w:p>
          <w:p>
            <w:pPr>
              <w:pStyle w:val="null3"/>
            </w:pPr>
            <w:r>
              <w:rPr/>
              <w:t>开户银行：招商银行股份有限公司西安未央路支行</w:t>
            </w:r>
          </w:p>
          <w:p>
            <w:pPr>
              <w:pStyle w:val="null3"/>
            </w:pPr>
            <w:r>
              <w:rPr/>
              <w:t>银行账号：129912141810202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成交供应商按照国家计委关于印发《招标代理服务收费管理暂行办法》的通知（计价格〔2002〕1980号）、《国家发展和改革委员会办公厅关于招标代理服务收费有关问题的通知》（发改办价格〔2003〕857号）文件取费标准优惠5%向招标代理机构一次性支付招标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陕西省高速公路收费中心</w:t>
      </w:r>
      <w:r>
        <w:rPr/>
        <w:t>和</w:t>
      </w:r>
      <w:r>
        <w:rPr/>
        <w:t>中赞国际项目管理有限公司</w:t>
      </w:r>
      <w:r>
        <w:rPr/>
        <w:t>享有。对磋商文件中供应商参加本次政府采购活动应当具备的条件，磋商项目技术、服务、商务及其他要求，评审细则及标准由</w:t>
      </w:r>
      <w:r>
        <w:rPr/>
        <w:t>陕西省高速公路收费中心</w:t>
      </w:r>
      <w:r>
        <w:rPr/>
        <w:t>负责解释。除上述磋商文件内容，其他内容由</w:t>
      </w:r>
      <w:r>
        <w:rPr/>
        <w:t>中赞国际项目管理有限公司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陕西省高速公路收费中心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中赞国际项目管理有限公司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采购人按照政府采购合同规定的技术、服务、安全标准组织对供应商履约情况进行验收，并出具验收书。</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中赞国际项目管理有限公司</w:t>
      </w:r>
      <w:r>
        <w:rPr/>
        <w:t xml:space="preserve"> 负责答复；供应商对除采购需求外的采购文件的询问、质疑由</w:t>
      </w:r>
      <w:r>
        <w:rPr/>
        <w:t>中赞国际项目管理有限公司</w:t>
      </w:r>
      <w:r>
        <w:rPr/>
        <w:t xml:space="preserve"> 负责答复；供应商对采购过程、采购结果的询问、质疑由 </w:t>
      </w:r>
      <w:r>
        <w:rPr/>
        <w:t>中赞国际项目管理有限公司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联系人：张琪</w:t>
      </w:r>
    </w:p>
    <w:p>
      <w:pPr>
        <w:pStyle w:val="null3"/>
      </w:pPr>
      <w:r>
        <w:rPr/>
        <w:t>联系电话：029-81629798</w:t>
      </w:r>
    </w:p>
    <w:p>
      <w:pPr>
        <w:pStyle w:val="null3"/>
      </w:pPr>
      <w:r>
        <w:rPr/>
        <w:t>地址：陕西省西安市未央区未央路老三届首座大厦2号1幢12220室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rFonts w:ascii="宋体" w:hAnsi="宋体" w:cs="宋体" w:eastAsia="宋体"/>
          <w:sz w:val="20"/>
        </w:rPr>
        <w:t>陕西省高速公路联网收费系统应用软件运维服务项目预算为125万元。由联网收费系统应用软件维护（预算：74万元）、费率库升级服务（预算46.00万元）、国密省收费中心系统及CPC卡发行系统软件维护（预算：5万元）三部分内容组成。</w:t>
      </w:r>
    </w:p>
    <w:p>
      <w:pPr>
        <w:pStyle w:val="null3"/>
        <w:ind w:firstLine="400"/>
      </w:pPr>
      <w:r>
        <w:rPr>
          <w:rFonts w:ascii="宋体" w:hAnsi="宋体" w:cs="宋体" w:eastAsia="宋体"/>
          <w:sz w:val="20"/>
        </w:rPr>
        <w:t>联网收费系统应用软件系统，承担了我省高速公路通行费的数据接收，记账数据处理，清分数据处理，对账数据处理、结算数据处理、退费数据处理、补缴数据处理，拆分数据处理、数据统计分析、车道软件升级（包括新路段开通、节假日免费、已有功能的完善）等多种业务，是高速公路收费管理的重要支撑系统。为了保障系统的正常运行，持续发挥重要作用，软件应用系统需进行日常维护，以减少产生争议交易等问题，提高系统运行效率和系统可靠运行。</w:t>
      </w:r>
    </w:p>
    <w:p>
      <w:pPr>
        <w:pStyle w:val="null3"/>
        <w:ind w:firstLine="400"/>
      </w:pPr>
      <w:r>
        <w:rPr>
          <w:rFonts w:ascii="宋体" w:hAnsi="宋体" w:cs="宋体" w:eastAsia="宋体"/>
          <w:sz w:val="20"/>
        </w:rPr>
        <w:t>费率库编制服务是为进一步提升路网费率制定及下发水平，保障全省联网费率制定下发工作的规范稳定运行，按照《收费公路联网收费费率发布周期优化方案》，结合全省路网新通车路段、差异化收费政策及其他费率变化等情况，不定期进行费率制定及下发的工作，保障了全省收费门架、收费车道计费精准。</w:t>
      </w:r>
    </w:p>
    <w:p>
      <w:pPr>
        <w:pStyle w:val="null3"/>
      </w:pPr>
      <w:r>
        <w:rPr>
          <w:rFonts w:ascii="宋体" w:hAnsi="宋体" w:cs="宋体" w:eastAsia="宋体"/>
          <w:sz w:val="21"/>
        </w:rPr>
        <w:t>国密省收费中心系统及CPC卡发行系统，承担了为全省门架、车道授权、签到及通行介质的初始化发行等重要工作任务，确保联网收费正常运转。</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1,250,000.00</w:t>
      </w:r>
    </w:p>
    <w:p>
      <w:pPr>
        <w:pStyle w:val="null3"/>
      </w:pPr>
      <w:r>
        <w:rPr/>
        <w:t>采购包最高限价（元）: 1,250,000.00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高速公路联网收费系统应用软件运维</w:t>
            </w:r>
          </w:p>
        </w:tc>
        <w:tc>
          <w:tcPr>
            <w:tcW w:type="dxa" w:w="831"/>
          </w:tcPr>
          <w:p>
            <w:pPr>
              <w:pStyle w:val="null3"/>
              <w:jc w:val="right"/>
            </w:pPr>
            <w:r>
              <w:rPr/>
              <w:t>1.00</w:t>
            </w:r>
          </w:p>
        </w:tc>
        <w:tc>
          <w:tcPr>
            <w:tcW w:type="dxa" w:w="831"/>
          </w:tcPr>
          <w:p>
            <w:pPr>
              <w:pStyle w:val="null3"/>
              <w:jc w:val="right"/>
            </w:pPr>
            <w:r>
              <w:rPr/>
              <w:t>1,250,000.00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标的名称：高速公路联网收费系统应用软件运维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56"/>
            </w:tblGrid>
            <w:tr>
              <w:tc>
                <w:tcPr>
                  <w:tcW w:type="dxa" w:w="2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服务范围</w:t>
                  </w:r>
                </w:p>
                <w:p>
                  <w:pPr>
                    <w:pStyle w:val="null3"/>
                    <w:ind w:firstLine="400"/>
                    <w:jc w:val="both"/>
                  </w:pPr>
                  <w:r>
                    <w:rPr>
                      <w:rFonts w:ascii="宋体" w:hAnsi="宋体" w:cs="宋体" w:eastAsia="宋体"/>
                      <w:sz w:val="20"/>
                    </w:rPr>
                    <w:t>1.陕西省高速公路联网收费系统应用软件维护：陕西省高速公路联网收费系统应用软件系统。</w:t>
                  </w:r>
                </w:p>
                <w:p>
                  <w:pPr>
                    <w:pStyle w:val="null3"/>
                    <w:ind w:firstLine="400"/>
                    <w:jc w:val="both"/>
                  </w:pPr>
                  <w:r>
                    <w:rPr>
                      <w:rFonts w:ascii="宋体" w:hAnsi="宋体" w:cs="宋体" w:eastAsia="宋体"/>
                      <w:sz w:val="20"/>
                    </w:rPr>
                    <w:t>2.费率库编制服务：陕西省高速公路联网收费系统费率库。</w:t>
                  </w:r>
                </w:p>
                <w:p>
                  <w:pPr>
                    <w:pStyle w:val="null3"/>
                    <w:ind w:firstLine="400"/>
                    <w:jc w:val="both"/>
                  </w:pPr>
                  <w:r>
                    <w:rPr>
                      <w:rFonts w:ascii="宋体" w:hAnsi="宋体" w:cs="宋体" w:eastAsia="宋体"/>
                      <w:sz w:val="20"/>
                    </w:rPr>
                    <w:t>3.国密省收费中心系统及CPC卡发行系统软件维护：国密省收费中心系统及CPC卡发行系统。</w:t>
                  </w:r>
                </w:p>
              </w:tc>
            </w:tr>
            <w:tr>
              <w:tc>
                <w:tcPr>
                  <w:tcW w:type="dxa" w:w="2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b/>
                    </w:rPr>
                    <w:t>服务内容</w:t>
                  </w:r>
                </w:p>
                <w:p>
                  <w:pPr>
                    <w:pStyle w:val="null3"/>
                    <w:jc w:val="left"/>
                  </w:pPr>
                  <w:r>
                    <w:rPr>
                      <w:rFonts w:ascii="宋体" w:hAnsi="宋体" w:cs="宋体" w:eastAsia="宋体"/>
                      <w:sz w:val="21"/>
                    </w:rPr>
                    <w:t>（一）联网收费系统应用软件维护</w:t>
                  </w:r>
                </w:p>
                <w:p>
                  <w:pPr>
                    <w:pStyle w:val="null3"/>
                    <w:jc w:val="left"/>
                  </w:pPr>
                  <w:r>
                    <w:rPr>
                      <w:rFonts w:ascii="宋体" w:hAnsi="宋体" w:cs="宋体" w:eastAsia="宋体"/>
                      <w:sz w:val="21"/>
                    </w:rPr>
                    <w:t>1.基础信息管理系统：实现对全路网收费系统正常运行所需的基础信息的管理，主要包含对路段和收费中心的用户信息管理，以及全省路网机构信息管理。</w:t>
                  </w:r>
                </w:p>
                <w:p>
                  <w:pPr>
                    <w:pStyle w:val="null3"/>
                    <w:jc w:val="left"/>
                  </w:pPr>
                  <w:r>
                    <w:rPr>
                      <w:rFonts w:ascii="宋体" w:hAnsi="宋体" w:cs="宋体" w:eastAsia="宋体"/>
                      <w:sz w:val="21"/>
                    </w:rPr>
                    <w:t>2.用户状态名单管理系统：实现对用户状态名单的管理，包括从部中心下载、名单整理、名单校验、名单发布及版本管理与控制。名单类型包括用户卡状态名单、绿通名单、应急名单。</w:t>
                  </w:r>
                </w:p>
                <w:p>
                  <w:pPr>
                    <w:pStyle w:val="null3"/>
                    <w:jc w:val="left"/>
                  </w:pPr>
                  <w:r>
                    <w:rPr>
                      <w:rFonts w:ascii="宋体" w:hAnsi="宋体" w:cs="宋体" w:eastAsia="宋体"/>
                      <w:sz w:val="21"/>
                    </w:rPr>
                    <w:t>3.清分系统：ETC通行费采用部、省两级清分结算体系，省级清分结算机构完成省内ETC通行费清分，包括收费数据校核、CPC卡收费数据拆分、ETC收费数据拆分、省内及跨省清分业务处理、清分数据审核、打包、传输及数据查询统计。</w:t>
                  </w:r>
                </w:p>
                <w:p>
                  <w:pPr>
                    <w:pStyle w:val="null3"/>
                    <w:jc w:val="left"/>
                  </w:pPr>
                  <w:r>
                    <w:rPr>
                      <w:rFonts w:ascii="宋体" w:hAnsi="宋体" w:cs="宋体" w:eastAsia="宋体"/>
                      <w:sz w:val="21"/>
                    </w:rPr>
                    <w:t>4.对账及结算系统:完成对门架收费数据、实体收费站交易的对账与结算。同时将根据新的部省数据接口及门架数据结构重新创建与部级系统的对接业务系统，以满足部省数据交互的要求。同时，完成与建行之间的现金收费对账数据的生成，完成省收费中心对各业主单位划拨数据的生成。</w:t>
                  </w:r>
                </w:p>
                <w:p>
                  <w:pPr>
                    <w:pStyle w:val="null3"/>
                    <w:jc w:val="left"/>
                  </w:pPr>
                  <w:r>
                    <w:rPr>
                      <w:rFonts w:ascii="宋体" w:hAnsi="宋体" w:cs="宋体" w:eastAsia="宋体"/>
                      <w:sz w:val="21"/>
                    </w:rPr>
                    <w:t>5.记账与争议处理系统：完成对门架收费数据、实体收费站收费数据的记账处理工作，提取处理中存在争议的交易数据，提交给用户处理。</w:t>
                  </w:r>
                </w:p>
                <w:p>
                  <w:pPr>
                    <w:pStyle w:val="null3"/>
                    <w:jc w:val="left"/>
                  </w:pPr>
                  <w:r>
                    <w:rPr>
                      <w:rFonts w:ascii="宋体" w:hAnsi="宋体" w:cs="宋体" w:eastAsia="宋体"/>
                      <w:sz w:val="21"/>
                    </w:rPr>
                    <w:t>6.省级收费公路营改增发票业务系统:完成车辆通行陕西高速路网所产生的收费数据，经过数据整理筛选记账等业务审核后，上传到部级营改增发票系统，用于给车辆用户在部级发票平台打印通行费发票提供所需的消费记录，包括发票数据整理、审核、打包、省部对接。</w:t>
                  </w:r>
                </w:p>
                <w:p>
                  <w:pPr>
                    <w:pStyle w:val="null3"/>
                    <w:jc w:val="left"/>
                  </w:pPr>
                  <w:r>
                    <w:rPr>
                      <w:rFonts w:ascii="宋体" w:hAnsi="宋体" w:cs="宋体" w:eastAsia="宋体"/>
                      <w:sz w:val="21"/>
                    </w:rPr>
                    <w:t>7.退费补交系统:完成部省间退费数据、补交、结算数据的交换及相关业务流程，包括退费数据查询、整理、确认；补交数据查询、整理及确认。</w:t>
                  </w:r>
                </w:p>
                <w:p>
                  <w:pPr>
                    <w:pStyle w:val="null3"/>
                    <w:jc w:val="left"/>
                  </w:pPr>
                  <w:r>
                    <w:rPr>
                      <w:rFonts w:ascii="宋体" w:hAnsi="宋体" w:cs="宋体" w:eastAsia="宋体"/>
                      <w:sz w:val="21"/>
                    </w:rPr>
                    <w:t>8.数据汇聚系统:完成省内高速公路网内车辆的通行数据和交易数据的汇聚。</w:t>
                  </w:r>
                </w:p>
                <w:p>
                  <w:pPr>
                    <w:pStyle w:val="null3"/>
                    <w:jc w:val="left"/>
                  </w:pPr>
                  <w:r>
                    <w:rPr>
                      <w:rFonts w:ascii="宋体" w:hAnsi="宋体" w:cs="宋体" w:eastAsia="宋体"/>
                      <w:sz w:val="21"/>
                    </w:rPr>
                    <w:t>9.省级计费服务系统:实现本省费率模块的开发，向部联网中心平台上传省级计费参数、省级路径参数、计费路径及通行费数据，实现从部联网中心平台下载全网收费站间可达最短路径参数和其他省（市）省级计费参数；同时根据新业务的需求，为通行费费率计算、通行费征收、收费稽查及特情车辆处理等业务提供数据基础。包括计费服务、路径拟合、路径查询、特情业务辅助等四大类内容。</w:t>
                  </w:r>
                </w:p>
                <w:p>
                  <w:pPr>
                    <w:pStyle w:val="null3"/>
                    <w:jc w:val="left"/>
                  </w:pPr>
                  <w:r>
                    <w:rPr>
                      <w:rFonts w:ascii="宋体" w:hAnsi="宋体" w:cs="宋体" w:eastAsia="宋体"/>
                      <w:sz w:val="21"/>
                    </w:rPr>
                    <w:t>10.统计报表系统:分为中心报表和站级报表，涉及流量类、金额类、现金及非现金交易类等。系统包括：报表配置管理、条件管理、历史统计管理、类型管理及报表打印。</w:t>
                  </w:r>
                </w:p>
                <w:p>
                  <w:pPr>
                    <w:pStyle w:val="null3"/>
                    <w:jc w:val="left"/>
                  </w:pPr>
                  <w:r>
                    <w:rPr>
                      <w:rFonts w:ascii="宋体" w:hAnsi="宋体" w:cs="宋体" w:eastAsia="宋体"/>
                      <w:sz w:val="21"/>
                    </w:rPr>
                    <w:t>11.发行系统数据交互系统:完成对交易数据的整理、打包工作，实现发行方与清分方之间的数据交互，包括省内交易数据交互接口、省内记账数据交互接口、省内清分数据交互接口、省内争议数据交互接口、省内一二级路交易数据交互接口、省内一二级路非现金确认数据交互接口、省内一二级路日清分数据交互接口。</w:t>
                  </w:r>
                </w:p>
                <w:p>
                  <w:pPr>
                    <w:pStyle w:val="null3"/>
                    <w:jc w:val="left"/>
                  </w:pPr>
                  <w:r>
                    <w:rPr>
                      <w:rFonts w:ascii="宋体" w:hAnsi="宋体" w:cs="宋体" w:eastAsia="宋体"/>
                      <w:sz w:val="21"/>
                    </w:rPr>
                    <w:t>12.部省数据交互系统:部省数据交互系统是省联网中心与部级系统进行信息传输的数据汇集交互系统，主要完成省联网中心业务数据向部级系统的数据传输、从部级系统下载省联网中心业务数据。包括：基础数据管理业务接口、通行交易数据管理业务接口、ETC交易清分结算业务接口、多省其他交易省域拆分结算业务接口、退费补交结算业务接口、全网费率管理业务接口、数据验证业务接口、通行记录采集业务接口、特情处理业务接口、多省通行现金计费业务接口。</w:t>
                  </w:r>
                </w:p>
                <w:p>
                  <w:pPr>
                    <w:pStyle w:val="null3"/>
                    <w:jc w:val="left"/>
                  </w:pPr>
                  <w:r>
                    <w:rPr>
                      <w:rFonts w:ascii="宋体" w:hAnsi="宋体" w:cs="宋体" w:eastAsia="宋体"/>
                      <w:sz w:val="21"/>
                    </w:rPr>
                    <w:t>13.数据传输系统：完成ETC交易流水（或通行凭证）、所有车辆图像流水记录、车牌信息等信息的数据传输。分为数据采集和数据下发。</w:t>
                  </w:r>
                </w:p>
                <w:p>
                  <w:pPr>
                    <w:pStyle w:val="null3"/>
                    <w:jc w:val="left"/>
                  </w:pPr>
                  <w:r>
                    <w:rPr>
                      <w:rFonts w:ascii="宋体" w:hAnsi="宋体" w:cs="宋体" w:eastAsia="宋体"/>
                      <w:sz w:val="21"/>
                    </w:rPr>
                    <w:t>（</w:t>
                  </w:r>
                  <w:r>
                    <w:rPr>
                      <w:rFonts w:ascii="宋体" w:hAnsi="宋体" w:cs="宋体" w:eastAsia="宋体"/>
                      <w:sz w:val="21"/>
                    </w:rPr>
                    <w:t>1）数据采集</w:t>
                  </w:r>
                </w:p>
                <w:p>
                  <w:pPr>
                    <w:pStyle w:val="null3"/>
                    <w:jc w:val="left"/>
                  </w:pPr>
                  <w:r>
                    <w:rPr>
                      <w:rFonts w:ascii="宋体" w:hAnsi="宋体" w:cs="宋体" w:eastAsia="宋体"/>
                      <w:sz w:val="21"/>
                    </w:rPr>
                    <w:t>省收费中心通过数据传输系统，将各下级节点的数据采集到中心进行汇聚。主要包含：</w:t>
                  </w:r>
                  <w:r>
                    <w:rPr>
                      <w:rFonts w:ascii="宋体" w:hAnsi="宋体" w:cs="宋体" w:eastAsia="宋体"/>
                      <w:sz w:val="21"/>
                    </w:rPr>
                    <w:t>ETC门架系统的ETC车辆交易流水数据、门架过车车牌信息；收费车道的MTC/ETC入口流水数据、MTC/ETC的出口流水数据；收费站的CPC卡管理数据、数据核对信息；路段分中心的稽查数据；ETC门架和收费车道的系统运行状态监测数据；</w:t>
                  </w:r>
                </w:p>
                <w:p>
                  <w:pPr>
                    <w:pStyle w:val="null3"/>
                    <w:jc w:val="left"/>
                  </w:pPr>
                  <w:r>
                    <w:rPr>
                      <w:rFonts w:ascii="宋体" w:hAnsi="宋体" w:cs="宋体" w:eastAsia="宋体"/>
                      <w:sz w:val="21"/>
                    </w:rPr>
                    <w:t>（</w:t>
                  </w:r>
                  <w:r>
                    <w:rPr>
                      <w:rFonts w:ascii="宋体" w:hAnsi="宋体" w:cs="宋体" w:eastAsia="宋体"/>
                      <w:sz w:val="21"/>
                    </w:rPr>
                    <w:t>2）数据下发</w:t>
                  </w:r>
                </w:p>
                <w:p>
                  <w:pPr>
                    <w:pStyle w:val="null3"/>
                    <w:jc w:val="left"/>
                  </w:pPr>
                  <w:r>
                    <w:rPr>
                      <w:rFonts w:ascii="宋体" w:hAnsi="宋体" w:cs="宋体" w:eastAsia="宋体"/>
                      <w:sz w:val="21"/>
                    </w:rPr>
                    <w:t>省收费中心通过数据传输系统向各下级节点发布或推送数据，主要包含：系统用户信息；机构基础信息；用户状态名单数据；收费费率数据；稽查数据。</w:t>
                  </w:r>
                </w:p>
                <w:p>
                  <w:pPr>
                    <w:pStyle w:val="null3"/>
                    <w:jc w:val="left"/>
                  </w:pPr>
                  <w:r>
                    <w:rPr>
                      <w:rFonts w:ascii="宋体" w:hAnsi="宋体" w:cs="宋体" w:eastAsia="宋体"/>
                      <w:sz w:val="21"/>
                    </w:rPr>
                    <w:t>14.综合信息平台:综合业务处理平台是涵盖全网的统一业务处理平台，为省收费中心级、分中心级、收费站级用户提供收费数据确认、退费管理、交易管理、争议处理、清分管理和记账管理等综合信息管理服务。</w:t>
                  </w:r>
                </w:p>
                <w:p>
                  <w:pPr>
                    <w:pStyle w:val="null3"/>
                    <w:jc w:val="left"/>
                  </w:pPr>
                  <w:r>
                    <w:rPr>
                      <w:rFonts w:ascii="宋体" w:hAnsi="宋体" w:cs="宋体" w:eastAsia="宋体"/>
                      <w:sz w:val="21"/>
                    </w:rPr>
                    <w:t>15.省级对账交易系统：通过对车辆门架数据，入出口车道数据，资金拆分数据的综合分析处理，整理出经过我省从省外出口驶出车辆的“ETC通行出口交易逾期上传”、“ETC通行争议交易不记账”两大类追偿数据。提取的数据利用数据交互接口与部级对账系统实时数据交换，实现由于外省的原因导致我省通行费漏收的追偿。</w:t>
                  </w:r>
                </w:p>
                <w:p>
                  <w:pPr>
                    <w:pStyle w:val="null3"/>
                    <w:jc w:val="left"/>
                  </w:pPr>
                  <w:r>
                    <w:rPr>
                      <w:rFonts w:ascii="宋体" w:hAnsi="宋体" w:cs="宋体" w:eastAsia="宋体"/>
                      <w:sz w:val="21"/>
                    </w:rPr>
                    <w:t>16.省级门架应用加速节点系统：加速节点系统由一台主控服务器和两台集群互备的业务服务器构成，共同承担全省门架系统的应用的升级和部署业务的加速功能。其加速业务异常将直接影响全省ETC门架系统的正常使用。为保证系统正常运行，需对加速节点系统定期进行检测，清理和优化存储空间，出现物理故障时配合设备厂家完成加速软件系统的恢复等工作。</w:t>
                  </w:r>
                </w:p>
                <w:p>
                  <w:pPr>
                    <w:pStyle w:val="null3"/>
                    <w:jc w:val="left"/>
                  </w:pPr>
                  <w:r>
                    <w:rPr>
                      <w:rFonts w:ascii="宋体" w:hAnsi="宋体" w:cs="宋体" w:eastAsia="宋体"/>
                      <w:sz w:val="21"/>
                    </w:rPr>
                    <w:t>17.车道软件升级。根据部省相关政策要求，结合收费公路运营实际及存在问题，按需开展车道软件功能完善及升级。对软件进行根本性修改或所提出需求超出原功能设计较大范围时，将另行签定开发合同。</w:t>
                  </w:r>
                </w:p>
                <w:p>
                  <w:pPr>
                    <w:pStyle w:val="null3"/>
                    <w:jc w:val="left"/>
                  </w:pPr>
                  <w:r>
                    <w:rPr>
                      <w:rFonts w:ascii="宋体" w:hAnsi="宋体" w:cs="宋体" w:eastAsia="宋体"/>
                      <w:sz w:val="21"/>
                    </w:rPr>
                    <w:t>（二）费率编制服务</w:t>
                  </w:r>
                </w:p>
                <w:p>
                  <w:pPr>
                    <w:pStyle w:val="null3"/>
                    <w:jc w:val="left"/>
                  </w:pPr>
                  <w:r>
                    <w:rPr>
                      <w:rFonts w:ascii="宋体" w:hAnsi="宋体" w:cs="宋体" w:eastAsia="宋体"/>
                      <w:sz w:val="21"/>
                    </w:rPr>
                    <w:t>1.费率库升级</w:t>
                  </w:r>
                </w:p>
                <w:p>
                  <w:pPr>
                    <w:pStyle w:val="null3"/>
                    <w:jc w:val="left"/>
                  </w:pPr>
                  <w:r>
                    <w:rPr>
                      <w:rFonts w:ascii="宋体" w:hAnsi="宋体" w:cs="宋体" w:eastAsia="宋体"/>
                      <w:sz w:val="21"/>
                    </w:rPr>
                    <w:t>(1)生成计费参数</w:t>
                  </w:r>
                </w:p>
                <w:p>
                  <w:pPr>
                    <w:pStyle w:val="null3"/>
                    <w:jc w:val="left"/>
                  </w:pPr>
                  <w:r>
                    <w:rPr>
                      <w:rFonts w:ascii="宋体" w:hAnsi="宋体" w:cs="宋体" w:eastAsia="宋体"/>
                      <w:sz w:val="21"/>
                    </w:rPr>
                    <w:t>根据省中心提供的路径参数数据，对不同的收费车型、单元里程、路段基价、桥隧加收以及特情条件，计算生成全省所有的计费参数。</w:t>
                  </w:r>
                </w:p>
                <w:p>
                  <w:pPr>
                    <w:pStyle w:val="null3"/>
                    <w:jc w:val="left"/>
                  </w:pPr>
                  <w:r>
                    <w:rPr>
                      <w:rFonts w:ascii="宋体" w:hAnsi="宋体" w:cs="宋体" w:eastAsia="宋体"/>
                      <w:sz w:val="21"/>
                    </w:rPr>
                    <w:t>(2)生成计费模块</w:t>
                  </w:r>
                </w:p>
                <w:p>
                  <w:pPr>
                    <w:pStyle w:val="null3"/>
                    <w:jc w:val="left"/>
                  </w:pPr>
                  <w:r>
                    <w:rPr>
                      <w:rFonts w:ascii="宋体" w:hAnsi="宋体" w:cs="宋体" w:eastAsia="宋体"/>
                      <w:sz w:val="21"/>
                    </w:rPr>
                    <w:t>按照新的路径参数和计费参数，遵照和兼容部级和省级相关计费原则，生成本省计费模块。计费模块能满足部级平台的性能和规格要求，同时满足本省对路径拟合、特情处理、优惠政策、包缴业务等收费业务需求。</w:t>
                  </w:r>
                </w:p>
                <w:p>
                  <w:pPr>
                    <w:pStyle w:val="null3"/>
                    <w:jc w:val="left"/>
                  </w:pPr>
                  <w:r>
                    <w:rPr>
                      <w:rFonts w:ascii="宋体" w:hAnsi="宋体" w:cs="宋体" w:eastAsia="宋体"/>
                      <w:sz w:val="21"/>
                    </w:rPr>
                    <w:t>(3)上传费率数据到部级费率平台并完成验证</w:t>
                  </w:r>
                </w:p>
                <w:p>
                  <w:pPr>
                    <w:pStyle w:val="null3"/>
                    <w:jc w:val="left"/>
                  </w:pPr>
                  <w:r>
                    <w:rPr>
                      <w:rFonts w:ascii="宋体" w:hAnsi="宋体" w:cs="宋体" w:eastAsia="宋体"/>
                      <w:sz w:val="21"/>
                    </w:rPr>
                    <w:t>在部级费率系统要求的时间期限内，对计费参数和计费模块进行审核测试后，上传到部级费率平台，通过部级平台的业务审核验证。</w:t>
                  </w:r>
                </w:p>
                <w:p>
                  <w:pPr>
                    <w:pStyle w:val="null3"/>
                    <w:jc w:val="left"/>
                  </w:pPr>
                  <w:r>
                    <w:rPr>
                      <w:rFonts w:ascii="宋体" w:hAnsi="宋体" w:cs="宋体" w:eastAsia="宋体"/>
                      <w:sz w:val="21"/>
                    </w:rPr>
                    <w:t>(4)下载启用全网入出口可达路径最小费额库</w:t>
                  </w:r>
                </w:p>
                <w:p>
                  <w:pPr>
                    <w:pStyle w:val="null3"/>
                    <w:jc w:val="left"/>
                  </w:pPr>
                  <w:r>
                    <w:rPr>
                      <w:rFonts w:ascii="宋体" w:hAnsi="宋体" w:cs="宋体" w:eastAsia="宋体"/>
                      <w:sz w:val="21"/>
                    </w:rPr>
                    <w:t>部级费率系统生成新的全网入出口可达路径最小费额库后，及时下载相关数据文件，并对该数据合并整理成本省收费规格，及时下发到所有收费车道，并在规定时间内完成启用。整理导入省中心数据库，支撑省级清分系统的应用需求。</w:t>
                  </w:r>
                </w:p>
                <w:p>
                  <w:pPr>
                    <w:pStyle w:val="null3"/>
                    <w:jc w:val="left"/>
                  </w:pPr>
                  <w:r>
                    <w:rPr>
                      <w:rFonts w:ascii="宋体" w:hAnsi="宋体" w:cs="宋体" w:eastAsia="宋体"/>
                      <w:sz w:val="21"/>
                    </w:rPr>
                    <w:t>(5)单独全网最小费率升级服务</w:t>
                  </w:r>
                </w:p>
                <w:p>
                  <w:pPr>
                    <w:pStyle w:val="null3"/>
                    <w:jc w:val="left"/>
                  </w:pPr>
                  <w:r>
                    <w:rPr>
                      <w:rFonts w:ascii="宋体" w:hAnsi="宋体" w:cs="宋体" w:eastAsia="宋体"/>
                      <w:sz w:val="21"/>
                    </w:rPr>
                    <w:t>单独的全网最小费率升级服务，一般仅包括全网入出口可达路径最小费额库的下载分发工作，工作内容同上。</w:t>
                  </w:r>
                </w:p>
                <w:p>
                  <w:pPr>
                    <w:pStyle w:val="null3"/>
                    <w:jc w:val="left"/>
                  </w:pPr>
                  <w:r>
                    <w:rPr>
                      <w:rFonts w:ascii="宋体" w:hAnsi="宋体" w:cs="宋体" w:eastAsia="宋体"/>
                      <w:sz w:val="21"/>
                    </w:rPr>
                    <w:t>2.省内最小费额阈值优化调整</w:t>
                  </w:r>
                </w:p>
                <w:p>
                  <w:pPr>
                    <w:pStyle w:val="null3"/>
                    <w:jc w:val="left"/>
                  </w:pPr>
                  <w:r>
                    <w:rPr>
                      <w:rFonts w:ascii="宋体" w:hAnsi="宋体" w:cs="宋体" w:eastAsia="宋体"/>
                      <w:sz w:val="21"/>
                    </w:rPr>
                    <w:t>满足计费合理化需求，对省内最小费额设置的阈值进行调查、分析、论证，进而优化调整。</w:t>
                  </w:r>
                </w:p>
                <w:p>
                  <w:pPr>
                    <w:pStyle w:val="null3"/>
                    <w:jc w:val="left"/>
                  </w:pPr>
                  <w:r>
                    <w:rPr>
                      <w:rFonts w:ascii="宋体" w:hAnsi="宋体" w:cs="宋体" w:eastAsia="宋体"/>
                      <w:sz w:val="21"/>
                    </w:rPr>
                    <w:t>（三）国密省收费中心系统及</w:t>
                  </w:r>
                  <w:r>
                    <w:rPr>
                      <w:rFonts w:ascii="宋体" w:hAnsi="宋体" w:cs="宋体" w:eastAsia="宋体"/>
                      <w:sz w:val="21"/>
                    </w:rPr>
                    <w:t>CPC卡发行系统软件维护</w:t>
                  </w:r>
                </w:p>
                <w:p>
                  <w:pPr>
                    <w:pStyle w:val="null3"/>
                    <w:jc w:val="left"/>
                  </w:pPr>
                  <w:r>
                    <w:rPr>
                      <w:rFonts w:ascii="宋体" w:hAnsi="宋体" w:cs="宋体" w:eastAsia="宋体"/>
                      <w:sz w:val="21"/>
                    </w:rPr>
                    <w:t>为保障国密省收费中心系统（承担着为全省门架、车道授权、签到等重要工作任务）及</w:t>
                  </w:r>
                  <w:r>
                    <w:rPr>
                      <w:rFonts w:ascii="宋体" w:hAnsi="宋体" w:cs="宋体" w:eastAsia="宋体"/>
                      <w:sz w:val="21"/>
                    </w:rPr>
                    <w:t>CPC卡发行系统（CPC卡是通行高速公路的主要通行介质，因此CPC卡的初始化发行是CPC卡可在高速公路使用的第一个步骤。作为收费公路联网收费车辆通行凭证，以保障联网收费工作正常运行）稳定、安全、不间断运行，确保软件系统在突发问题时可及时得到维修和技术支持，并快速解决故障。</w:t>
                  </w:r>
                </w:p>
              </w:tc>
            </w:tr>
            <w:tr>
              <w:tc>
                <w:tcPr>
                  <w:tcW w:type="dxa" w:w="2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b/>
                    </w:rPr>
                    <w:t>技术支持服务</w:t>
                  </w:r>
                </w:p>
                <w:p>
                  <w:pPr>
                    <w:pStyle w:val="null3"/>
                    <w:jc w:val="left"/>
                  </w:pPr>
                  <w:r>
                    <w:rPr>
                      <w:rFonts w:ascii="宋体" w:hAnsi="宋体" w:cs="宋体" w:eastAsia="宋体"/>
                      <w:sz w:val="21"/>
                    </w:rPr>
                    <w:t>（</w:t>
                  </w:r>
                  <w:r>
                    <w:rPr>
                      <w:rFonts w:ascii="宋体" w:hAnsi="宋体" w:cs="宋体" w:eastAsia="宋体"/>
                      <w:sz w:val="21"/>
                    </w:rPr>
                    <w:t>1）合同期内对维护范围内的业务系统进行日常巡查或通过远程进行维护。按照部路网中心关于已有业务系统的技术调整，及时完成相应系统调整。</w:t>
                  </w:r>
                </w:p>
                <w:p>
                  <w:pPr>
                    <w:pStyle w:val="null3"/>
                    <w:jc w:val="left"/>
                  </w:pPr>
                  <w:r>
                    <w:rPr>
                      <w:rFonts w:ascii="宋体" w:hAnsi="宋体" w:cs="宋体" w:eastAsia="宋体"/>
                      <w:sz w:val="21"/>
                    </w:rPr>
                    <w:t>（</w:t>
                  </w:r>
                  <w:r>
                    <w:rPr>
                      <w:rFonts w:ascii="宋体" w:hAnsi="宋体" w:cs="宋体" w:eastAsia="宋体"/>
                      <w:sz w:val="21"/>
                    </w:rPr>
                    <w:t>2）合同期内配合省收费中心完善新通车路段入并网相关系统调试工作，承担陕西省高速公路新通车路段接入省收费中心的技术支持、调试、系统调整等工作。</w:t>
                  </w:r>
                </w:p>
                <w:p>
                  <w:pPr>
                    <w:pStyle w:val="null3"/>
                    <w:jc w:val="left"/>
                  </w:pPr>
                  <w:r>
                    <w:rPr>
                      <w:rFonts w:ascii="宋体" w:hAnsi="宋体" w:cs="宋体" w:eastAsia="宋体"/>
                      <w:sz w:val="21"/>
                    </w:rPr>
                    <w:t>（</w:t>
                  </w:r>
                  <w:r>
                    <w:rPr>
                      <w:rFonts w:ascii="宋体" w:hAnsi="宋体" w:cs="宋体" w:eastAsia="宋体"/>
                      <w:sz w:val="21"/>
                    </w:rPr>
                    <w:t>3）收到新收费标准及对应的路径参数信息后5个工作日内生成全省计费参数和计费模块，及时上传部费率平台并完成费率核验。部费率平台生成全国最小费额表后，按照费率调整工作要求及费率发布周期要求更新至全省的收费车道、省中心费率库，保障新的收费标准费率调整按期实施。若政策和路径参数等信息发生改变，工作周期按上述流程重新计算。</w:t>
                  </w:r>
                </w:p>
                <w:p>
                  <w:pPr>
                    <w:pStyle w:val="null3"/>
                    <w:jc w:val="left"/>
                  </w:pPr>
                  <w:r>
                    <w:rPr>
                      <w:rFonts w:ascii="宋体" w:hAnsi="宋体" w:cs="宋体" w:eastAsia="宋体"/>
                      <w:sz w:val="21"/>
                    </w:rPr>
                    <w:t>（</w:t>
                  </w:r>
                  <w:r>
                    <w:rPr>
                      <w:rFonts w:ascii="宋体" w:hAnsi="宋体" w:cs="宋体" w:eastAsia="宋体"/>
                      <w:sz w:val="21"/>
                    </w:rPr>
                    <w:t>4）做好重要节假日（春节、清明节、劳动节、国庆节）应用系统切换及维护工作；配合省收费中心做好操作系统漏洞升级工作；提前告知省收费中心并经省收费中心书面确认后，方可开展车道软件各类调整。</w:t>
                  </w:r>
                </w:p>
                <w:p>
                  <w:pPr>
                    <w:pStyle w:val="null3"/>
                    <w:jc w:val="left"/>
                  </w:pPr>
                  <w:r>
                    <w:rPr>
                      <w:rFonts w:ascii="宋体" w:hAnsi="宋体" w:cs="宋体" w:eastAsia="宋体"/>
                      <w:sz w:val="21"/>
                    </w:rPr>
                    <w:t>（</w:t>
                  </w:r>
                  <w:r>
                    <w:rPr>
                      <w:rFonts w:ascii="宋体" w:hAnsi="宋体" w:cs="宋体" w:eastAsia="宋体"/>
                      <w:sz w:val="21"/>
                    </w:rPr>
                    <w:t>5）合同期内对业务系统出现的异常问题（如争议数据协查，发票未正常上传、退费补缴异常）进行解决和处理，处理情况及时向省收费中心进行汇报。</w:t>
                  </w:r>
                </w:p>
                <w:p>
                  <w:pPr>
                    <w:pStyle w:val="null3"/>
                    <w:jc w:val="left"/>
                  </w:pPr>
                  <w:r>
                    <w:rPr>
                      <w:rFonts w:ascii="宋体" w:hAnsi="宋体" w:cs="宋体" w:eastAsia="宋体"/>
                      <w:sz w:val="21"/>
                    </w:rPr>
                    <w:t>（</w:t>
                  </w:r>
                  <w:r>
                    <w:rPr>
                      <w:rFonts w:ascii="宋体" w:hAnsi="宋体" w:cs="宋体" w:eastAsia="宋体"/>
                      <w:sz w:val="21"/>
                    </w:rPr>
                    <w:t>6）针对维护范围内的业务系统出现的各类故障及问题，应及时应答和解决，确保收费系统日常关键性工作顺利完成。硬件设备运行正常的情况下，软件业务系统恢复正常响应详见下列表：</w:t>
                  </w:r>
                </w:p>
                <w:tbl>
                  <w:tblPr>
                    <w:tblInd w:type="dxa" w:w="15"/>
                    <w:tblBorders>
                      <w:top w:val="none" w:color="000000" w:sz="4"/>
                      <w:left w:val="none" w:color="000000" w:sz="4"/>
                      <w:bottom w:val="none" w:color="000000" w:sz="4"/>
                      <w:right w:val="none" w:color="000000" w:sz="4"/>
                      <w:insideH w:val="none"/>
                      <w:insideV w:val="none"/>
                    </w:tblBorders>
                  </w:tblPr>
                  <w:tblGrid>
                    <w:gridCol w:w="994"/>
                    <w:gridCol w:w="362"/>
                    <w:gridCol w:w="678"/>
                  </w:tblGrid>
                  <w:tr>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系统类型</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响应时间</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故障处理完成时间</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用户状态名单管理系统</w:t>
                        </w:r>
                      </w:p>
                      <w:p>
                        <w:pPr>
                          <w:pStyle w:val="null3"/>
                          <w:jc w:val="left"/>
                        </w:pPr>
                        <w:r>
                          <w:rPr>
                            <w:rFonts w:ascii="宋体" w:hAnsi="宋体" w:cs="宋体" w:eastAsia="宋体"/>
                            <w:sz w:val="21"/>
                          </w:rPr>
                          <w:t>数据传输系统</w:t>
                        </w:r>
                      </w:p>
                      <w:p>
                        <w:pPr>
                          <w:pStyle w:val="null3"/>
                          <w:jc w:val="left"/>
                        </w:pPr>
                        <w:r>
                          <w:rPr>
                            <w:rFonts w:ascii="宋体" w:hAnsi="宋体" w:cs="宋体" w:eastAsia="宋体"/>
                            <w:sz w:val="21"/>
                          </w:rPr>
                          <w:t>发行系统数据交互系统</w:t>
                        </w:r>
                      </w:p>
                      <w:p>
                        <w:pPr>
                          <w:pStyle w:val="null3"/>
                          <w:jc w:val="left"/>
                        </w:pPr>
                        <w:r>
                          <w:rPr>
                            <w:rFonts w:ascii="宋体" w:hAnsi="宋体" w:cs="宋体" w:eastAsia="宋体"/>
                            <w:sz w:val="21"/>
                          </w:rPr>
                          <w:t>数据汇聚系统</w:t>
                        </w:r>
                      </w:p>
                      <w:p>
                        <w:pPr>
                          <w:pStyle w:val="null3"/>
                          <w:jc w:val="left"/>
                        </w:pPr>
                        <w:r>
                          <w:rPr>
                            <w:rFonts w:ascii="宋体" w:hAnsi="宋体" w:cs="宋体" w:eastAsia="宋体"/>
                            <w:sz w:val="21"/>
                          </w:rPr>
                          <w:t>清分系统数据汇聚系统</w:t>
                        </w:r>
                      </w:p>
                      <w:p>
                        <w:pPr>
                          <w:pStyle w:val="null3"/>
                          <w:jc w:val="left"/>
                        </w:pPr>
                        <w:r>
                          <w:rPr>
                            <w:rFonts w:ascii="宋体" w:hAnsi="宋体" w:cs="宋体" w:eastAsia="宋体"/>
                            <w:sz w:val="21"/>
                          </w:rPr>
                          <w:t>部省数据交互系统</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1小时</w:t>
                        </w:r>
                      </w:p>
                      <w:p>
                        <w:pPr>
                          <w:pStyle w:val="null3"/>
                          <w:jc w:val="left"/>
                        </w:p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2小时内解决</w:t>
                        </w:r>
                      </w:p>
                      <w:p>
                        <w:pPr>
                          <w:pStyle w:val="null3"/>
                          <w:jc w:val="left"/>
                        </w:pP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基础信息管理系统</w:t>
                        </w:r>
                      </w:p>
                      <w:p>
                        <w:pPr>
                          <w:pStyle w:val="null3"/>
                          <w:jc w:val="left"/>
                        </w:pPr>
                        <w:r>
                          <w:rPr>
                            <w:rFonts w:ascii="宋体" w:hAnsi="宋体" w:cs="宋体" w:eastAsia="宋体"/>
                            <w:sz w:val="21"/>
                          </w:rPr>
                          <w:t>对账及结算系统</w:t>
                        </w:r>
                      </w:p>
                      <w:p>
                        <w:pPr>
                          <w:pStyle w:val="null3"/>
                          <w:jc w:val="left"/>
                        </w:pPr>
                        <w:r>
                          <w:rPr>
                            <w:rFonts w:ascii="宋体" w:hAnsi="宋体" w:cs="宋体" w:eastAsia="宋体"/>
                            <w:sz w:val="21"/>
                          </w:rPr>
                          <w:t>记账与争议处理系统</w:t>
                        </w:r>
                      </w:p>
                      <w:p>
                        <w:pPr>
                          <w:pStyle w:val="null3"/>
                          <w:jc w:val="left"/>
                        </w:pPr>
                        <w:r>
                          <w:rPr>
                            <w:rFonts w:ascii="宋体" w:hAnsi="宋体" w:cs="宋体" w:eastAsia="宋体"/>
                            <w:sz w:val="21"/>
                          </w:rPr>
                          <w:t>省级计费服务系统</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1小时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3小时内解决</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省级收费公路营改增发票业务系统</w:t>
                        </w:r>
                      </w:p>
                      <w:p>
                        <w:pPr>
                          <w:pStyle w:val="null3"/>
                          <w:jc w:val="left"/>
                        </w:pPr>
                        <w:r>
                          <w:rPr>
                            <w:rFonts w:ascii="宋体" w:hAnsi="宋体" w:cs="宋体" w:eastAsia="宋体"/>
                            <w:sz w:val="21"/>
                          </w:rPr>
                          <w:t>省级对账交易系统</w:t>
                        </w:r>
                      </w:p>
                      <w:p>
                        <w:pPr>
                          <w:pStyle w:val="null3"/>
                          <w:jc w:val="left"/>
                        </w:pPr>
                        <w:r>
                          <w:rPr>
                            <w:rFonts w:ascii="宋体" w:hAnsi="宋体" w:cs="宋体" w:eastAsia="宋体"/>
                            <w:sz w:val="21"/>
                          </w:rPr>
                          <w:t>退费补交系统</w:t>
                        </w:r>
                      </w:p>
                      <w:p>
                        <w:pPr>
                          <w:pStyle w:val="null3"/>
                          <w:jc w:val="left"/>
                        </w:pPr>
                        <w:r>
                          <w:rPr>
                            <w:rFonts w:ascii="宋体" w:hAnsi="宋体" w:cs="宋体" w:eastAsia="宋体"/>
                            <w:sz w:val="21"/>
                          </w:rPr>
                          <w:t>统计报表系统</w:t>
                        </w:r>
                      </w:p>
                      <w:p>
                        <w:pPr>
                          <w:pStyle w:val="null3"/>
                          <w:jc w:val="left"/>
                        </w:pPr>
                        <w:r>
                          <w:rPr>
                            <w:rFonts w:ascii="宋体" w:hAnsi="宋体" w:cs="宋体" w:eastAsia="宋体"/>
                            <w:sz w:val="21"/>
                          </w:rPr>
                          <w:t>综合信息平台</w:t>
                        </w:r>
                      </w:p>
                      <w:p>
                        <w:pPr>
                          <w:pStyle w:val="null3"/>
                          <w:jc w:val="left"/>
                        </w:pPr>
                        <w:r>
                          <w:rPr>
                            <w:rFonts w:ascii="宋体" w:hAnsi="宋体" w:cs="宋体" w:eastAsia="宋体"/>
                            <w:sz w:val="21"/>
                          </w:rPr>
                          <w:t>省级门架应用加速节点系统</w:t>
                        </w:r>
                      </w:p>
                      <w:p>
                        <w:pPr>
                          <w:pStyle w:val="null3"/>
                          <w:jc w:val="left"/>
                        </w:pPr>
                        <w:r>
                          <w:rPr>
                            <w:rFonts w:ascii="宋体" w:hAnsi="宋体" w:cs="宋体" w:eastAsia="宋体"/>
                            <w:sz w:val="21"/>
                          </w:rPr>
                          <w:t>国密省收费中心系统及</w:t>
                        </w:r>
                        <w:r>
                          <w:rPr>
                            <w:rFonts w:ascii="宋体" w:hAnsi="宋体" w:cs="宋体" w:eastAsia="宋体"/>
                            <w:sz w:val="21"/>
                          </w:rPr>
                          <w:t>CPC卡发行系统</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1小时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4小时内解决</w:t>
                        </w:r>
                      </w:p>
                      <w:p>
                        <w:pPr>
                          <w:pStyle w:val="null3"/>
                          <w:jc w:val="left"/>
                        </w:pPr>
                        <w:r>
                          <w:rPr>
                            <w:rFonts w:ascii="宋体" w:hAnsi="宋体" w:cs="宋体" w:eastAsia="宋体"/>
                            <w:sz w:val="21"/>
                          </w:rPr>
                          <w:t>（综合信息平台的部分业务需要路段人员向中心相关人员提供情况说明，待中心确认后才能处理，解决时间需要视具体情况而定。）</w:t>
                        </w:r>
                      </w:p>
                    </w:tc>
                  </w:tr>
                </w:tbl>
                <w:p>
                  <w:pPr>
                    <w:pStyle w:val="null3"/>
                    <w:jc w:val="left"/>
                  </w:pPr>
                  <w:r>
                    <w:rPr>
                      <w:rFonts w:ascii="宋体" w:hAnsi="宋体" w:cs="宋体" w:eastAsia="宋体"/>
                      <w:sz w:val="21"/>
                    </w:rPr>
                    <w:t>（</w:t>
                  </w:r>
                  <w:r>
                    <w:rPr>
                      <w:rFonts w:ascii="宋体" w:hAnsi="宋体" w:cs="宋体" w:eastAsia="宋体"/>
                      <w:sz w:val="21"/>
                    </w:rPr>
                    <w:t>7）根据部中心相关运营规则要求，部中心状态名单对接系统正常的情况下，确保省收费中心30分钟内（省收费中心请求，部中心能提供数据时刻开始计时。该时间包括从部系统下载用户状态文件到省收费中心服务器以及省收费中心整理名单时间）从部级中心下载状态名单。省收费中心系统应保证ETC交易记录1天以内上传至部中心或发行方。根据部中心运营规则调整，按照新规则时限要求执行。</w:t>
                  </w:r>
                </w:p>
                <w:p>
                  <w:pPr>
                    <w:pStyle w:val="null3"/>
                    <w:jc w:val="left"/>
                  </w:pPr>
                  <w:r>
                    <w:rPr>
                      <w:rFonts w:ascii="宋体" w:hAnsi="宋体" w:cs="宋体" w:eastAsia="宋体"/>
                      <w:sz w:val="21"/>
                    </w:rPr>
                    <w:t>（</w:t>
                  </w:r>
                  <w:r>
                    <w:rPr>
                      <w:rFonts w:ascii="宋体" w:hAnsi="宋体" w:cs="宋体" w:eastAsia="宋体"/>
                      <w:sz w:val="21"/>
                    </w:rPr>
                    <w:t>8）加速节点系统，每月中旬检查一次系统状态。进行系统检测，清理和优化存储空间等工作。</w:t>
                  </w:r>
                </w:p>
              </w:tc>
            </w:tr>
          </w:tbl>
          <w:p/>
        </w:tc>
      </w:tr>
    </w:tbl>
    <w:p>
      <w:pPr>
        <w:pStyle w:val="null3"/>
        <w:outlineLvl w:val="2"/>
      </w:pPr>
      <w:r>
        <w:rPr>
          <w:sz w:val="28"/>
          <w:b/>
        </w:rPr>
        <w:t>3.2.3人员配置要求</w:t>
      </w:r>
    </w:p>
    <w:p>
      <w:pPr>
        <w:pStyle w:val="null3"/>
      </w:pPr>
      <w:r>
        <w:rPr/>
        <w:t>采购包1：</w:t>
      </w:r>
    </w:p>
    <w:p>
      <w:pPr>
        <w:pStyle w:val="null3"/>
      </w:pPr>
      <w:r>
        <w:rPr/>
        <w:t>1.系统维护人员需具备计算机或相关专业;具有一定的计算机软、硬件知识，能够独立分析、诊断、排除常规IT及网络环境问题;具有良好沟通和协调能力，具备很强的服务意识和耐心，善于倾听;具有极强的责任心，工作积极主动。 2.维护人员需有相关从业经验，熟悉收费系统软件操作流程，能够及时解答各业务部门在使用过程中的技术咨询、系统性能及各类应用系统的安装部署、应用软件升级、应用软件分析和软件需求收集。</w:t>
      </w:r>
    </w:p>
    <w:p>
      <w:pPr>
        <w:pStyle w:val="null3"/>
        <w:outlineLvl w:val="2"/>
      </w:pPr>
      <w:r>
        <w:rPr>
          <w:sz w:val="28"/>
          <w:b/>
        </w:rPr>
        <w:t>3.2.4设施设备要求</w:t>
      </w:r>
    </w:p>
    <w:p>
      <w:pPr>
        <w:pStyle w:val="null3"/>
      </w:pPr>
      <w:r>
        <w:rPr/>
        <w:t>采购包1：</w:t>
      </w:r>
    </w:p>
    <w:p>
      <w:pPr>
        <w:pStyle w:val="null3"/>
      </w:pPr>
      <w:r>
        <w:rPr/>
        <w:t>详见“技术参数与性能指标”。</w:t>
      </w:r>
    </w:p>
    <w:p>
      <w:pPr>
        <w:pStyle w:val="null3"/>
        <w:outlineLvl w:val="2"/>
      </w:pPr>
      <w:r>
        <w:rPr>
          <w:sz w:val="28"/>
          <w:b/>
        </w:rPr>
        <w:t>3.2.5其他要求</w:t>
      </w:r>
    </w:p>
    <w:p>
      <w:pPr>
        <w:pStyle w:val="null3"/>
      </w:pPr>
      <w:r>
        <w:rPr/>
        <w:t>采购包1：</w:t>
      </w:r>
    </w:p>
    <w:p>
      <w:pPr>
        <w:pStyle w:val="null3"/>
      </w:pPr>
      <w:r>
        <w:rPr/>
        <w:t>1.分项价格要求 该项目预算为125.00万元，由联网收费系统应用软件维护（预算：74万元）、费率库升级服务（预算46.00万元）、国密省收费中心系统及CPC卡发行系统软件维护（预算：5万元）三部分内容组成。 磋商总报价限价：￥1,250,000.00元 单项限价： （1）联网收费系统应用软件维护最高限价：740,000.00元 （2）费率库升级服务最高限价：460,000.00元 （3）国密省收费中心系统及CPC卡发行系统软件维护最高限价：50,000.00元 供应商磋商总报价不得超过磋商总报价限价，单项报价不得超过单项限价，凡报价超过限价的将按不实质性响应采购文件处理。 2.网络安全要求 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 3.保密要求 项目实施过程中所收集、产生的所有与本项目相关的文档、资料，包括文字、图片、表格、数字、数据等各种形式所属权均归属省收费中心，服务商必须对获悉的保密信息附有完全和严格的保密义务，服务商及服务人员应按照要求签署保密协议。未经省收费中心事先书面同意，服务商不得传输、复制、转让、泄露信息至非交易所属单位。</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(1)省收费中心联网收费系统应用软件维护:2024年7月17日至2025年6月16日。 (2)费率 库升级服务时间:2024年10月1日至2025年9月30日。 (3)国密省收费中心系统及CPC卡发行系统软件维护:2024年8月17 日至2025年6月16日。</w:t>
      </w:r>
    </w:p>
    <w:p>
      <w:pPr>
        <w:pStyle w:val="null3"/>
        <w:outlineLvl w:val="3"/>
      </w:pPr>
      <w:r>
        <w:rPr>
          <w:sz w:val="24"/>
          <w:b/>
        </w:rPr>
        <w:t>3.3.2服务地点</w:t>
      </w:r>
    </w:p>
    <w:p>
      <w:pPr>
        <w:pStyle w:val="null3"/>
      </w:pPr>
      <w:r>
        <w:rPr/>
        <w:t>采购包1：</w:t>
      </w:r>
    </w:p>
    <w:p>
      <w:pPr>
        <w:pStyle w:val="null3"/>
      </w:pPr>
      <w:r>
        <w:rPr/>
        <w:t>陕西省高速公路收费中心</w:t>
      </w:r>
    </w:p>
    <w:p>
      <w:pPr>
        <w:pStyle w:val="null3"/>
        <w:outlineLvl w:val="3"/>
      </w:pPr>
      <w:r>
        <w:rPr>
          <w:sz w:val="24"/>
          <w:b/>
        </w:rPr>
        <w:t>3.3.3考核（验收）标准和方法</w:t>
      </w:r>
    </w:p>
    <w:p>
      <w:pPr>
        <w:pStyle w:val="null3"/>
      </w:pPr>
      <w:r>
        <w:rPr/>
        <w:t>采购包1：</w:t>
      </w:r>
    </w:p>
    <w:p>
      <w:pPr>
        <w:pStyle w:val="null3"/>
      </w:pPr>
      <w:r>
        <w:rPr/>
        <w:t>乙方所提供服务应遵循中华人民共和国及地方的有关法律规范，达到采购人使用要求，由采购人组织验收。验收依据：（1）竞争性磋商文件；（2）磋商响应文件；（3）合同文本；（4）国家有关的验收标准及规范。 验收标准： 1.按日维护，并做好维护记录。每月提交应用软件日常巡检记录及维护确认单。 2.季度结束时维护单位应提供本季度日常巡检记录、维护确认单及季度维护报告。 3.最后一个月结束后5个工作日，由维护单位整理合同期内的维护材料后提交申请验收，省收费中心成立验收小组对年度维护情况进行验收。</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付款条件说明: 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36.80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41.08</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2.00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2.00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2.00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2.00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2.00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2.00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2.00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2.00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2.00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2.00</w:t>
      </w:r>
      <w:r>
        <w:rPr/>
        <w:t>%。</w:t>
      </w:r>
    </w:p>
    <w:p>
      <w:pPr>
        <w:pStyle w:val="null3"/>
      </w:pPr>
      <w:r>
        <w:rPr/>
        <w:t>采购包1：</w:t>
      </w:r>
      <w:r>
        <w:rPr/>
        <w:t xml:space="preserve"> 付款条件说明： </w:t>
      </w:r>
      <w:r>
        <w:rPr/>
        <w:t>费率库升级1次或省内最小费额阈值调整1次,支付该项单项报价总额的20%;合同期内费率 库升级及省内最小费额阈值调整次数超过5次,按5次计算,支付该项单项报价总额。 其余项的维护费用合同签订并生效后15 个工作日内支付总价款的65%;剩余总价款的35%,在每月提交相应维护报告后15个工作日内支付当月服务费;最后1个月 的服务费,在服务期满并验收合格后15个工作日内进行支付</w:t>
      </w:r>
      <w:r>
        <w:rPr/>
        <w:t xml:space="preserve"> ，达到付款条件起 </w:t>
      </w:r>
      <w:r>
        <w:rPr/>
        <w:t>15</w:t>
      </w:r>
      <w:r>
        <w:rPr/>
        <w:t xml:space="preserve"> 日内，支付合同总金额的 </w:t>
      </w:r>
      <w:r>
        <w:rPr/>
        <w:t>2.12</w:t>
      </w:r>
      <w:r>
        <w:rPr/>
        <w:t>%。</w:t>
      </w:r>
    </w:p>
    <w:p>
      <w:pPr>
        <w:pStyle w:val="null3"/>
        <w:outlineLvl w:val="3"/>
      </w:pPr>
      <w:r>
        <w:rPr>
          <w:sz w:val="24"/>
          <w:b/>
        </w:rPr>
        <w:t>3.3.6违约责任及解决争议的方法</w:t>
      </w:r>
    </w:p>
    <w:p>
      <w:pPr>
        <w:pStyle w:val="null3"/>
      </w:pPr>
      <w:r>
        <w:rPr/>
        <w:t>采购包1：</w:t>
      </w:r>
    </w:p>
    <w:p>
      <w:pPr>
        <w:pStyle w:val="null3"/>
      </w:pPr>
      <w:r>
        <w:rPr/>
        <w:t>违约责任与解决争议的方法:1.全量用户状态名单下发不及时(硬件设备性能或网络传输性能造成的不及时投标 人不承担相应责任,如切换备用链路,设备老旧等),造成运营单位实际产生损失的,每发生一次延时下发,从当期维护服务 费中扣除500元。 2.影响清分结算业务,每延误一天,从当期维护服务费中扣除1000元。 3.处理系统故障超时的,每次计 2000元,从当期维护服务费中扣除。 4.出现下列情况,每次扣除维护服务费5000元,从当期维护服务费中扣除。 (1)数据 丢失,由于其他原因(数据库异常,网络异常,硬件设备异常,收费车道产生了不满足给部中心传输要求的数据、收费站交易 数据上传延迟等)造成的数据丢失除外; (2)数据逾期,由于其他原因(数据库异常,网络异常,硬件设备异常,收费车道 数据质量不合格达不到部中心传输要求、收费站交易数据上传延迟等)造成的数据逾期除外; (3)应用系统出现弱口令,发 现1个弱口令; (4)费率编制错误。</w:t>
      </w:r>
    </w:p>
    <w:p>
      <w:pPr>
        <w:pStyle w:val="null3"/>
        <w:outlineLvl w:val="2"/>
      </w:pPr>
      <w:r>
        <w:rPr>
          <w:sz w:val="28"/>
          <w:b/>
        </w:rPr>
        <w:t>3.4其他要求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1）提供2022年度或2023年度的财务审计报告；（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形式的证明资料提供任何一种即可。（事业法人仅提供部门决算报告即可）</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供应商不得在“信用中国” 网站被列入失信被执行人名单、重大税收违法案件当事人名单和不得在“中国政府采购网”被列入政府采购严重违法失信行为记录名单</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法定代表人委托授权书\身份证明</w:t>
            </w:r>
          </w:p>
        </w:tc>
        <w:tc>
          <w:tcPr>
            <w:tcW w:type="dxa" w:w="3322"/>
          </w:tcPr>
          <w:p>
            <w:pPr>
              <w:pStyle w:val="null3"/>
            </w:pPr>
            <w:r>
              <w:rPr/>
              <w:t>供应商应授权合法的人员参加磋商全过程，其中法定代表人直接参加磋商的，须出具法定代表人身份证明，并与营业执照上信息一致。法定代表人授权代表参加磋商的，须出具法定代表人授权委托书。（其他组织或自然人参照执行）</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有效的主体资格证明</w:t>
            </w:r>
          </w:p>
        </w:tc>
        <w:tc>
          <w:tcPr>
            <w:tcW w:type="dxa" w:w="3322"/>
          </w:tcPr>
          <w:p>
            <w:pPr>
              <w:pStyle w:val="null3"/>
            </w:pPr>
            <w:r>
              <w:rPr/>
              <w:t>提供合格有效的法人或者其他组织的营业执照等证明文件或自然人的身份证明。</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财务状况报告</w:t>
            </w:r>
          </w:p>
        </w:tc>
        <w:tc>
          <w:tcPr>
            <w:tcW w:type="dxa" w:w="3322"/>
          </w:tcPr>
          <w:p>
            <w:pPr>
              <w:pStyle w:val="null3"/>
            </w:pPr>
            <w:r>
              <w:rPr/>
              <w:t>（1）提供2022年度或2023年度的财务审计报告；（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形式的证明资料提供任何一种即可。（事业法人仅提供部门决算报告即可）</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提供递交响应文件截止日期前十二个月（递交响应文件截止时间当月不计入）内已缴存的至少一个月的纳税证明或完税证明，依法免税的单位应提供相关证明材料。</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社会保障资金缴纳证明</w:t>
            </w:r>
          </w:p>
        </w:tc>
        <w:tc>
          <w:tcPr>
            <w:tcW w:type="dxa" w:w="3322"/>
          </w:tcPr>
          <w:p>
            <w:pPr>
              <w:pStyle w:val="null3"/>
            </w:pPr>
            <w:r>
              <w:rPr/>
              <w:t>提供递交响应文件截止日期前十二个月内（递交响应文件截止时间当月不计入）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无重大违法记录声明</w:t>
            </w:r>
          </w:p>
        </w:tc>
        <w:tc>
          <w:tcPr>
            <w:tcW w:type="dxa" w:w="3322"/>
          </w:tcPr>
          <w:p>
            <w:pPr>
              <w:pStyle w:val="null3"/>
            </w:pPr>
            <w:r>
              <w:rPr/>
              <w:t>近3年内在经营活动中没有重大违法记录的书面声明。</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具有履行合同所必需的设备和专业技术能力</w:t>
            </w:r>
          </w:p>
        </w:tc>
        <w:tc>
          <w:tcPr>
            <w:tcW w:type="dxa" w:w="3322"/>
          </w:tcPr>
          <w:p>
            <w:pPr>
              <w:pStyle w:val="null3"/>
            </w:pPr>
            <w:r>
              <w:rPr/>
              <w:t>提交履行合同所必需的设备和专业技术能力的书面声明。</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本项目不接受联合体响应</w:t>
            </w:r>
          </w:p>
        </w:tc>
        <w:tc>
          <w:tcPr>
            <w:tcW w:type="dxa" w:w="3322"/>
          </w:tcPr>
          <w:p>
            <w:pPr>
              <w:pStyle w:val="null3"/>
            </w:pPr>
            <w:r>
              <w:rPr/>
              <w:t>非联合体投标承诺书。</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报价明细表 标的清单 报价表</w:t>
            </w:r>
          </w:p>
        </w:tc>
      </w:tr>
      <w:tr>
        <w:tc>
          <w:tcPr>
            <w:tcW w:type="dxa" w:w="831"/>
          </w:tcPr>
          <w:p>
            <w:pPr>
              <w:pStyle w:val="null3"/>
            </w:pPr>
            <w:r>
              <w:rPr/>
              <w:t>2</w:t>
            </w:r>
          </w:p>
        </w:tc>
        <w:tc>
          <w:tcPr>
            <w:tcW w:type="dxa" w:w="2492"/>
          </w:tcPr>
          <w:p>
            <w:pPr>
              <w:pStyle w:val="null3"/>
            </w:pPr>
            <w:r>
              <w:rPr/>
              <w:t>供应商名称</w:t>
            </w:r>
          </w:p>
        </w:tc>
        <w:tc>
          <w:tcPr>
            <w:tcW w:type="dxa" w:w="3322"/>
          </w:tcPr>
          <w:p>
            <w:pPr>
              <w:pStyle w:val="null3"/>
            </w:pPr>
            <w:r>
              <w:rPr/>
              <w:t>供应商名称和公章、营业执照一致</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残疾人福利性单位声明函 报价明细表 服务方案 标的清单 响应函 主要人员简历表 监狱企业的证明文件</w:t>
            </w:r>
          </w:p>
        </w:tc>
      </w:tr>
      <w:tr>
        <w:tc>
          <w:tcPr>
            <w:tcW w:type="dxa" w:w="831"/>
          </w:tcPr>
          <w:p>
            <w:pPr>
              <w:pStyle w:val="null3"/>
            </w:pPr>
            <w:r>
              <w:rPr/>
              <w:t>3</w:t>
            </w:r>
          </w:p>
        </w:tc>
        <w:tc>
          <w:tcPr>
            <w:tcW w:type="dxa" w:w="2492"/>
          </w:tcPr>
          <w:p>
            <w:pPr>
              <w:pStyle w:val="null3"/>
            </w:pPr>
            <w:r>
              <w:rPr/>
              <w:t>磋商报价</w:t>
            </w:r>
          </w:p>
        </w:tc>
        <w:tc>
          <w:tcPr>
            <w:tcW w:type="dxa" w:w="3322"/>
          </w:tcPr>
          <w:p>
            <w:pPr>
              <w:pStyle w:val="null3"/>
            </w:pPr>
            <w:r>
              <w:rPr/>
              <w:t>未超过项目最高限价，无选择性报价</w:t>
            </w:r>
          </w:p>
        </w:tc>
        <w:tc>
          <w:tcPr>
            <w:tcW w:type="dxa" w:w="1661"/>
          </w:tcPr>
          <w:p>
            <w:pPr>
              <w:pStyle w:val="null3"/>
            </w:pPr>
            <w:r>
              <w:rPr/>
              <w:t>报价明细表 标的清单 报价表</w:t>
            </w:r>
          </w:p>
        </w:tc>
      </w:tr>
      <w:tr>
        <w:tc>
          <w:tcPr>
            <w:tcW w:type="dxa" w:w="831"/>
          </w:tcPr>
          <w:p>
            <w:pPr>
              <w:pStyle w:val="null3"/>
            </w:pPr>
            <w:r>
              <w:rPr/>
              <w:t>4</w:t>
            </w:r>
          </w:p>
        </w:tc>
        <w:tc>
          <w:tcPr>
            <w:tcW w:type="dxa" w:w="2492"/>
          </w:tcPr>
          <w:p>
            <w:pPr>
              <w:pStyle w:val="null3"/>
            </w:pPr>
            <w:r>
              <w:rPr/>
              <w:t>磋商有效期</w:t>
            </w:r>
          </w:p>
        </w:tc>
        <w:tc>
          <w:tcPr>
            <w:tcW w:type="dxa" w:w="3322"/>
          </w:tcPr>
          <w:p>
            <w:pPr>
              <w:pStyle w:val="null3"/>
            </w:pPr>
            <w:r>
              <w:rPr/>
              <w:t>自磋商响应文件递交截止之日起90个日历日</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磋商响应文件签署、盖章有效性</w:t>
            </w:r>
          </w:p>
        </w:tc>
        <w:tc>
          <w:tcPr>
            <w:tcW w:type="dxa" w:w="3322"/>
          </w:tcPr>
          <w:p>
            <w:pPr>
              <w:pStyle w:val="null3"/>
            </w:pPr>
            <w:r>
              <w:rPr/>
              <w:t>磋商响应文件的签署、盖章符合竞争性磋商文件要求</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残疾人福利性单位声明函 报价明细表 服务方案 标的清单 响应函 主要人员简历表 监狱企业的证明文件</w:t>
            </w:r>
          </w:p>
        </w:tc>
      </w:tr>
      <w:tr>
        <w:tc>
          <w:tcPr>
            <w:tcW w:type="dxa" w:w="831"/>
          </w:tcPr>
          <w:p>
            <w:pPr>
              <w:pStyle w:val="null3"/>
            </w:pPr>
            <w:r>
              <w:rPr/>
              <w:t>6</w:t>
            </w:r>
          </w:p>
        </w:tc>
        <w:tc>
          <w:tcPr>
            <w:tcW w:type="dxa" w:w="2492"/>
          </w:tcPr>
          <w:p>
            <w:pPr>
              <w:pStyle w:val="null3"/>
            </w:pPr>
            <w:r>
              <w:rPr/>
              <w:t>服务期</w:t>
            </w:r>
          </w:p>
        </w:tc>
        <w:tc>
          <w:tcPr>
            <w:tcW w:type="dxa" w:w="3322"/>
          </w:tcPr>
          <w:p>
            <w:pPr>
              <w:pStyle w:val="null3"/>
            </w:pPr>
            <w:r>
              <w:rPr/>
              <w:t>符合竞争性磋商文件要求</w:t>
            </w:r>
          </w:p>
        </w:tc>
        <w:tc>
          <w:tcPr>
            <w:tcW w:type="dxa" w:w="1661"/>
          </w:tcPr>
          <w:p>
            <w:pPr>
              <w:pStyle w:val="null3"/>
            </w:pPr>
            <w:r>
              <w:rPr/>
              <w:t>商务响应偏离表 标的清单 报价表</w:t>
            </w:r>
          </w:p>
        </w:tc>
      </w:tr>
      <w:tr>
        <w:tc>
          <w:tcPr>
            <w:tcW w:type="dxa" w:w="831"/>
          </w:tcPr>
          <w:p>
            <w:pPr>
              <w:pStyle w:val="null3"/>
            </w:pPr>
            <w:r>
              <w:rPr/>
              <w:t>7</w:t>
            </w:r>
          </w:p>
        </w:tc>
        <w:tc>
          <w:tcPr>
            <w:tcW w:type="dxa" w:w="2492"/>
          </w:tcPr>
          <w:p>
            <w:pPr>
              <w:pStyle w:val="null3"/>
            </w:pPr>
            <w:r>
              <w:rPr/>
              <w:t>对磋商文件响应程度</w:t>
            </w:r>
          </w:p>
        </w:tc>
        <w:tc>
          <w:tcPr>
            <w:tcW w:type="dxa" w:w="3322"/>
          </w:tcPr>
          <w:p>
            <w:pPr>
              <w:pStyle w:val="null3"/>
            </w:pPr>
            <w:r>
              <w:rPr/>
              <w:t>要求实质性条款完全响应，不能有采购人不能接受的附加条件</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残疾人福利性单位声明函 报价明细表 服务方案 标的清单 响应函 主要人员简历表 监狱企业的证明文件</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磋商保证金缴纳凭证</w:t>
            </w:r>
          </w:p>
        </w:tc>
        <w:tc>
          <w:tcPr>
            <w:tcW w:type="dxa" w:w="1661"/>
          </w:tcPr>
          <w:p>
            <w:pPr>
              <w:pStyle w:val="null3"/>
            </w:pPr>
            <w:r>
              <w:rPr/>
              <w:t>投标保证金汇款凭证及基本账户信息</w:t>
            </w:r>
          </w:p>
        </w:tc>
      </w:tr>
      <w:tr>
        <w:tc>
          <w:tcPr>
            <w:tcW w:type="dxa" w:w="831"/>
          </w:tcPr>
          <w:p>
            <w:pPr>
              <w:pStyle w:val="null3"/>
            </w:pPr>
            <w:r>
              <w:rPr/>
              <w:t>9</w:t>
            </w:r>
          </w:p>
        </w:tc>
        <w:tc>
          <w:tcPr>
            <w:tcW w:type="dxa" w:w="2492"/>
          </w:tcPr>
          <w:p>
            <w:pPr>
              <w:pStyle w:val="null3"/>
            </w:pPr>
            <w:r>
              <w:rPr/>
              <w:t>其他</w:t>
            </w:r>
          </w:p>
        </w:tc>
        <w:tc>
          <w:tcPr>
            <w:tcW w:type="dxa" w:w="3322"/>
          </w:tcPr>
          <w:p>
            <w:pPr>
              <w:pStyle w:val="null3"/>
            </w:pPr>
            <w:r>
              <w:rPr/>
              <w:t>不存在法律、法规和磋商文件规定的其他无效情况</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残疾人福利性单位声明函 报价明细表 服务方案 标的清单 响应函 主要人员简历表 监狱企业的证明文件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详细评审80.0000分</w:t>
            </w:r>
          </w:p>
          <w:p>
            <w:pPr>
              <w:pStyle w:val="null3"/>
            </w:pPr>
            <w:r>
              <w:rPr/>
              <w:t>报价得分20.0000分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项目需求分析</w:t>
            </w:r>
          </w:p>
        </w:tc>
        <w:tc>
          <w:tcPr>
            <w:tcW w:type="dxa" w:w="2492"/>
          </w:tcPr>
          <w:p>
            <w:pPr>
              <w:pStyle w:val="null3"/>
            </w:pPr>
            <w:r>
              <w:rPr/>
              <w:t>根据供应商针对本项目具体内容、软硬件资源、运行情况和系统环境的理解掌握程度，能否保证高速公路联网收费系统应用软件日常维护管理的正常开展响应情况进行打分。需求分析全面、透彻得(10-15]分；相对全面、合理得(5-10]分；一般全面、合理，得(0-5]分；未提供得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整体服务方案</w:t>
            </w:r>
          </w:p>
        </w:tc>
        <w:tc>
          <w:tcPr>
            <w:tcW w:type="dxa" w:w="2492"/>
          </w:tcPr>
          <w:p>
            <w:pPr>
              <w:pStyle w:val="null3"/>
            </w:pPr>
            <w:r>
              <w:rPr/>
              <w:t>供应商需提供科学、完整、合理、规范的服务方案，包括项目总体服务方案设计、标准依据。方案内容完整，分析全面。总体服务方案设计科学合理、描述条理清晰，可行性、安全性强，完全满足采购需求得(10-15]分；方案内容较完整，分析较全面，可行性较强，满足采购需求得(5-10]分；方案内容一般，可行性一般，基本满足采购需求得(0-5]分；未提供得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人员配置方案</w:t>
            </w:r>
          </w:p>
        </w:tc>
        <w:tc>
          <w:tcPr>
            <w:tcW w:type="dxa" w:w="2492"/>
          </w:tcPr>
          <w:p>
            <w:pPr>
              <w:pStyle w:val="null3"/>
            </w:pPr>
            <w:r>
              <w:rPr/>
              <w:t>供应商应提供详细、完善的项目管理方案，有详细的人员配置方案、健全的组织机构及工作安排，岗位分工明确，专业性强，同类项目经验丰富，得(10-15]分；有详细的人员配置方案、组织机构及工作安排基本完善、合理，岗位分工明确，具有较丰富的同类项目经验，得(5-10]分；有详细的人员配置方案，组织机构及工作安排合理性一般，岗位分工不清晰，缺少同类项目经验，得(0-5]分；未提供得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p>
            <w:pPr>
              <w:pStyle w:val="null3"/>
            </w:pPr>
            <w:r>
              <w:rPr/>
              <w:t>主要人员简历表</w:t>
            </w:r>
          </w:p>
        </w:tc>
      </w:tr>
      <w:tr>
        <w:tc>
          <w:tcPr>
            <w:tcW w:type="dxa" w:w="831"/>
            <w:vMerge/>
          </w:tcPr>
          <w:p/>
        </w:tc>
        <w:tc>
          <w:tcPr>
            <w:tcW w:type="dxa" w:w="1661"/>
          </w:tcPr>
          <w:p>
            <w:pPr>
              <w:pStyle w:val="null3"/>
            </w:pPr>
            <w:r>
              <w:rPr/>
              <w:t>质量保证措施</w:t>
            </w:r>
          </w:p>
        </w:tc>
        <w:tc>
          <w:tcPr>
            <w:tcW w:type="dxa" w:w="2492"/>
          </w:tcPr>
          <w:p>
            <w:pPr>
              <w:pStyle w:val="null3"/>
            </w:pPr>
            <w:r>
              <w:rPr/>
              <w:t>质量保证措施内容总体思路清晰合理、可行性强得（7—10]分；质量保证措施总体思路较清晰合理，可行性较强得（4—7]分；质量保证措施总体思路基本清晰合理，可行性一般得（0-4]分；未提供得0分。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应急预案</w:t>
            </w:r>
          </w:p>
        </w:tc>
        <w:tc>
          <w:tcPr>
            <w:tcW w:type="dxa" w:w="2492"/>
          </w:tcPr>
          <w:p>
            <w:pPr>
              <w:pStyle w:val="null3"/>
            </w:pPr>
            <w:r>
              <w:rPr/>
              <w:t>针对本项目提供有效、可行的业务连续性（应急方案）方案，应急预案内容完善、合理可行、针对性强的得（7—10]分；应急预案内容较完善、较合理可行、针对性较强的得（4—7]分；应急预案内容基本完善、合理、针对性一般的得（0-4]分；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售后服务</w:t>
            </w:r>
          </w:p>
        </w:tc>
        <w:tc>
          <w:tcPr>
            <w:tcW w:type="dxa" w:w="2492"/>
          </w:tcPr>
          <w:p>
            <w:pPr>
              <w:pStyle w:val="null3"/>
            </w:pPr>
            <w:r>
              <w:rPr/>
              <w:t>针对本项目及采购人实际需求提供详细具体可行的售后服务措施承诺进行赋分。售后服务方案全面、合理，得（7—10]分；售后服务方案相对全面、合理，得（4—7]分；售后服务方案一般全面、合理，得(0-4]分；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业绩</w:t>
            </w:r>
          </w:p>
        </w:tc>
        <w:tc>
          <w:tcPr>
            <w:tcW w:type="dxa" w:w="2492"/>
          </w:tcPr>
          <w:p>
            <w:pPr>
              <w:pStyle w:val="null3"/>
            </w:pPr>
            <w:r>
              <w:rPr/>
              <w:t>供应商须提供2021年至今三个类似项目业绩证明（不满足得0分，满足得2分），此外每增加1个有效业绩证明得1分，最高得5分。（满分5分）提供加盖公章的合同、协议书复印件。</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类似项目业绩</w:t>
            </w:r>
          </w:p>
        </w:tc>
      </w:tr>
      <w:tr>
        <w:tc>
          <w:tcPr>
            <w:tcW w:type="dxa" w:w="831"/>
          </w:tcPr>
          <w:p>
            <w:pPr>
              <w:pStyle w:val="null3"/>
            </w:pPr>
            <w:r>
              <w:rPr/>
              <w:t>价格分</w:t>
            </w:r>
          </w:p>
        </w:tc>
        <w:tc>
          <w:tcPr>
            <w:tcW w:type="dxa" w:w="1661"/>
          </w:tcPr>
          <w:p>
            <w:pPr>
              <w:pStyle w:val="null3"/>
            </w:pPr>
            <w:r>
              <w:rPr/>
              <w:t>投标价格得分</w:t>
            </w:r>
          </w:p>
        </w:tc>
        <w:tc>
          <w:tcPr>
            <w:tcW w:type="dxa" w:w="2492"/>
          </w:tcPr>
          <w:p>
            <w:pPr>
              <w:pStyle w:val="null3"/>
            </w:pPr>
            <w:r>
              <w:rPr/>
              <w:t>1、满足磋商文件要求且最终报价最低的供应商的价格为磋商基准价，其价格分为满分20分。 2、磋商报价得分=（磋商基准价/最终磋商报价） ×20（因落实政府采购政策进行价格调整的，以调整后的价格计算磋商基准价和磋商报价得分，详见磋商文件政府采购政策评分标准）。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详见附件：报价明细表</w:t>
      </w:r>
    </w:p>
    <w:p>
      <w:pPr>
        <w:pStyle w:val="null3"/>
        <w:ind w:firstLine="960"/>
      </w:pPr>
      <w:r>
        <w:rPr/>
        <w:t>详见附件：商务响应偏离表</w:t>
      </w:r>
    </w:p>
    <w:p>
      <w:pPr>
        <w:pStyle w:val="null3"/>
        <w:ind w:firstLine="960"/>
      </w:pPr>
      <w:r>
        <w:rPr/>
        <w:t>详见附件：服务方案</w:t>
      </w:r>
    </w:p>
    <w:p>
      <w:pPr>
        <w:pStyle w:val="null3"/>
        <w:ind w:firstLine="960"/>
      </w:pPr>
      <w:r>
        <w:rPr/>
        <w:t>详见附件：资格证明文件</w:t>
      </w:r>
    </w:p>
    <w:p>
      <w:pPr>
        <w:pStyle w:val="null3"/>
        <w:ind w:firstLine="960"/>
      </w:pPr>
      <w:r>
        <w:rPr/>
        <w:t>详见附件：投标保证金汇款凭证及基本账户信息</w:t>
      </w:r>
    </w:p>
    <w:p>
      <w:pPr>
        <w:pStyle w:val="null3"/>
        <w:ind w:firstLine="960"/>
      </w:pPr>
      <w:r>
        <w:rPr/>
        <w:t>详见附件：主要人员简历表</w:t>
      </w:r>
    </w:p>
    <w:p>
      <w:pPr>
        <w:pStyle w:val="null3"/>
        <w:ind w:firstLine="960"/>
      </w:pPr>
      <w:r>
        <w:rPr/>
        <w:t>详见附件：类似项目业绩</w:t>
      </w:r>
    </w:p>
    <w:p>
      <w:pPr>
        <w:pStyle w:val="null3"/>
        <w:ind w:firstLine="960"/>
      </w:pPr>
      <w:r>
        <w:rPr/>
        <w:t>详见附件：供应商认为需要提供的其他资料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详见附件：《高速公路联网收费系统应用软件运维》合同参考格式及主要条款.docx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