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商务条款偏离表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  <w:bookmarkStart w:id="0" w:name="_GoBack"/>
      <w:bookmarkEnd w:id="0"/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5包  </w:t>
      </w:r>
    </w:p>
    <w:p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>
      <w:pPr>
        <w:pStyle w:val="11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>
      <w:pPr>
        <w:pStyle w:val="11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1、本表只填写投标文件中与招标文件有偏离（正偏离）的内容，投标文件中商务响应与招标文件要求完全一致的，不用在此表中列出，但必须提交空白表。</w:t>
      </w:r>
    </w:p>
    <w:p>
      <w:pPr>
        <w:pStyle w:val="11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2、供应商必须据实填写，不得虚假响应，否则将取消其投标或中标资格，并按有关规定进行处罚。</w:t>
      </w:r>
    </w:p>
    <w:p>
      <w:pPr>
        <w:pStyle w:val="11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1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>
      <w:pPr>
        <w:spacing w:line="48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EF650C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BD64D3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79061D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4A30AB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387C96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1317D4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222</Words>
  <Characters>244</Characters>
  <TotalTime>18</TotalTime>
  <ScaleCrop>false</ScaleCrop>
  <LinksUpToDate>false</LinksUpToDate>
  <CharactersWithSpaces>299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