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2024年馆藏数字化档案数据清洗项目(二次)</w:t>
      </w:r>
    </w:p>
    <w:p>
      <w:pPr>
        <w:pStyle w:val="null3"/>
        <w:jc w:val="center"/>
        <w:outlineLvl w:val="2"/>
      </w:pPr>
      <w:r>
        <w:rPr>
          <w:b/>
          <w:sz w:val="28"/>
        </w:rPr>
        <w:t>采购项目编号：</w:t>
      </w:r>
      <w:r>
        <w:rPr>
          <w:b/>
          <w:sz w:val="28"/>
        </w:rPr>
        <w:t>ZDGC-ZC-2403107.1B1</w:t>
      </w:r>
      <w:r>
        <w:br/>
      </w:r>
      <w:r>
        <w:br/>
      </w:r>
      <w:r>
        <w:br/>
      </w:r>
    </w:p>
    <w:p>
      <w:pPr>
        <w:pStyle w:val="null3"/>
        <w:jc w:val="center"/>
        <w:outlineLvl w:val="2"/>
      </w:pPr>
      <w:r>
        <w:rPr>
          <w:b/>
          <w:sz w:val="28"/>
        </w:rPr>
        <w:t>陕西省档案馆</w:t>
      </w:r>
    </w:p>
    <w:p>
      <w:pPr>
        <w:pStyle w:val="null3"/>
        <w:jc w:val="center"/>
        <w:outlineLvl w:val="2"/>
      </w:pPr>
      <w:r>
        <w:rPr>
          <w:b/>
          <w:sz w:val="28"/>
        </w:rPr>
        <w:t>陕西中达国创项目管理有限公司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陕西中达国创项目管理有限公司</w:t>
      </w:r>
      <w:r>
        <w:rPr/>
        <w:t>（以下简称“代理机构”）受</w:t>
      </w:r>
      <w:r>
        <w:rPr/>
        <w:t>陕西省档案馆</w:t>
      </w:r>
      <w:r>
        <w:rPr/>
        <w:t>委托，拟对</w:t>
      </w:r>
      <w:r>
        <w:rPr/>
        <w:t>2024年馆藏数字化档案数据清洗项目(二次)</w:t>
      </w:r>
      <w:r>
        <w:rPr/>
        <w:t>采用竞争性磋商采购方式进行采购，兹邀请供应商参加本项目的竞争性磋商。</w:t>
      </w:r>
    </w:p>
    <w:p>
      <w:pPr>
        <w:pStyle w:val="null3"/>
        <w:outlineLvl w:val="2"/>
      </w:pPr>
      <w:r>
        <w:rPr>
          <w:b/>
          <w:sz w:val="28"/>
        </w:rPr>
        <w:t>一、项目编号：</w:t>
      </w:r>
      <w:r>
        <w:rPr>
          <w:b/>
          <w:sz w:val="28"/>
        </w:rPr>
        <w:t>ZDGC-ZC-2403107.1B1</w:t>
      </w:r>
    </w:p>
    <w:p>
      <w:pPr>
        <w:pStyle w:val="null3"/>
        <w:outlineLvl w:val="2"/>
      </w:pPr>
      <w:r>
        <w:rPr>
          <w:b/>
          <w:sz w:val="28"/>
        </w:rPr>
        <w:t>二、项目名称：</w:t>
      </w:r>
      <w:r>
        <w:rPr>
          <w:b/>
          <w:sz w:val="28"/>
        </w:rPr>
        <w:t>2024年馆藏数字化档案数据清洗项目(二次)</w:t>
      </w:r>
    </w:p>
    <w:p>
      <w:pPr>
        <w:pStyle w:val="null3"/>
        <w:outlineLvl w:val="2"/>
      </w:pPr>
      <w:r>
        <w:rPr>
          <w:b/>
          <w:sz w:val="28"/>
        </w:rPr>
        <w:t>三、磋商项目简介</w:t>
      </w:r>
    </w:p>
    <w:p>
      <w:pPr>
        <w:pStyle w:val="null3"/>
        <w:ind w:firstLine="480"/>
      </w:pPr>
      <w:r>
        <w:rPr/>
        <w:t>数据清洗是发现并纠正数据文件中可识别的错误的最后一道程序，包括检查数据一致性，处理无效值和缺失值等，以确保数字化档案的准确性与可用性。预计完成馆藏数字化档案目录数据清洗约264万条，及目录数据对应原文的检查修正。主要对2019年之前加工的数字化目录数据和原文进行审核并修改完善，强化档案馆数字资源体系建设，提高现代化管理水平，为档案社会化服务创造良好条件。包括： （1）民国档案 （2）革命历史档案 （3）建国后档案。</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t>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3、税收缴纳证明：供应商提供开标前六个月内任意一个月的税收缴纳凭证或完税证明；依法免税单位的应提供相关文件证明；</w:t>
      </w:r>
    </w:p>
    <w:p>
      <w:pPr>
        <w:pStyle w:val="null3"/>
      </w:pPr>
      <w:r>
        <w:rPr/>
        <w:t>4、社会保障资金缴纳证明：供应商提供开标前六个月内任意一个月已缴纳的社会保障资金缴存单据或社保机构开具的社会保险参保缴费情况证明；依法不需要缴纳社会保障资金的应提供相关文件证明；</w:t>
      </w:r>
    </w:p>
    <w:p>
      <w:pPr>
        <w:pStyle w:val="null3"/>
      </w:pPr>
      <w:r>
        <w:rPr/>
        <w:t>5、信用记录：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p>
      <w:pPr>
        <w:pStyle w:val="null3"/>
      </w:pPr>
      <w:r>
        <w:rPr/>
        <w:t>6、控股管理关系：提供直接控股和管理关系清单。若与其他供应商存在单位负责人为同一人或者存在直接控股、管理关系的，则响应无效；</w:t>
      </w:r>
    </w:p>
    <w:p>
      <w:pPr>
        <w:pStyle w:val="null3"/>
      </w:pPr>
      <w:r>
        <w:rPr/>
        <w:t>7、书面声明：提供书面声明，包括声明具有履行合同所必需的设备和专业技术能力；未为本项目提供整体设计、规范编制或者项目管理、监理、检测等服务；</w:t>
      </w:r>
    </w:p>
    <w:p>
      <w:pPr>
        <w:pStyle w:val="null3"/>
      </w:pPr>
      <w:r>
        <w:rPr/>
        <w:t>8、法定代表人授权委托书：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t>9、企业资质：供应商具备国家保密局颁发的国家秘密载体印刷资质&lt;资质类别为涉密档案数字化加工&gt;（甲级）。</w:t>
      </w:r>
    </w:p>
    <w:p>
      <w:pPr>
        <w:pStyle w:val="null3"/>
      </w:pPr>
      <w:r>
        <w:rPr/>
        <w:t>10、非联合体不分包投标声明：本项目不接受联合体响应，不允许分包。供应商提供《非联合体不分包投标声明》，视为独立响应，不分包。</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陕西省档案馆</w:t>
      </w:r>
    </w:p>
    <w:p>
      <w:pPr>
        <w:pStyle w:val="null3"/>
      </w:pPr>
      <w:r>
        <w:rPr/>
        <w:t xml:space="preserve"> 地址： </w:t>
      </w:r>
      <w:r>
        <w:rPr/>
        <w:t>西安市长安区子午大道与学府大街十字东北角</w:t>
      </w:r>
    </w:p>
    <w:p>
      <w:pPr>
        <w:pStyle w:val="null3"/>
      </w:pPr>
      <w:r>
        <w:rPr/>
        <w:t xml:space="preserve"> 邮编： </w:t>
      </w:r>
      <w:r>
        <w:rPr/>
        <w:t>710100</w:t>
      </w:r>
    </w:p>
    <w:p>
      <w:pPr>
        <w:pStyle w:val="null3"/>
      </w:pPr>
      <w:r>
        <w:rPr/>
        <w:t xml:space="preserve"> 联系人： </w:t>
      </w:r>
      <w:r>
        <w:rPr/>
        <w:t>陕西省档案馆经办</w:t>
      </w:r>
    </w:p>
    <w:p>
      <w:pPr>
        <w:pStyle w:val="null3"/>
      </w:pPr>
      <w:r>
        <w:rPr/>
        <w:t xml:space="preserve"> 联系电话： </w:t>
      </w:r>
      <w:r>
        <w:rPr/>
        <w:t>13399188728</w:t>
      </w:r>
    </w:p>
    <w:p>
      <w:pPr>
        <w:pStyle w:val="null3"/>
        <w:outlineLvl w:val="3"/>
      </w:pPr>
      <w:r>
        <w:rPr>
          <w:b/>
          <w:sz w:val="24"/>
        </w:rPr>
        <w:t>代理机构：</w:t>
      </w:r>
      <w:r>
        <w:rPr>
          <w:b/>
          <w:sz w:val="24"/>
        </w:rPr>
        <w:t>陕西中达国创项目管理有限公司</w:t>
      </w:r>
    </w:p>
    <w:p>
      <w:pPr>
        <w:pStyle w:val="null3"/>
      </w:pPr>
      <w:r>
        <w:rPr/>
        <w:t xml:space="preserve"> 地址： </w:t>
      </w:r>
      <w:r>
        <w:rPr/>
        <w:t>陕西省西安市雁塔区朱雀大街南段15号明德盛荟2号楼616室</w:t>
      </w:r>
    </w:p>
    <w:p>
      <w:pPr>
        <w:pStyle w:val="null3"/>
      </w:pPr>
      <w:r>
        <w:rPr/>
        <w:t xml:space="preserve"> 邮编： </w:t>
      </w:r>
      <w:r>
        <w:rPr/>
        <w:t>710000</w:t>
      </w:r>
    </w:p>
    <w:p>
      <w:pPr>
        <w:pStyle w:val="null3"/>
      </w:pPr>
      <w:r>
        <w:rPr/>
        <w:t xml:space="preserve"> 联系人： </w:t>
      </w:r>
      <w:r>
        <w:rPr/>
        <w:t>孟明、王凯</w:t>
      </w:r>
    </w:p>
    <w:p>
      <w:pPr>
        <w:pStyle w:val="null3"/>
      </w:pPr>
      <w:r>
        <w:rPr/>
        <w:t xml:space="preserve"> 联系电话： </w:t>
      </w:r>
      <w:r>
        <w:rPr/>
        <w:t>029-88661828、17792067075</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陕西省档案馆</w:t>
      </w:r>
      <w:r>
        <w:rPr/>
        <w:t>和</w:t>
      </w:r>
      <w:r>
        <w:rPr/>
        <w:t>陕西中达国创项目管理有限公司</w:t>
      </w:r>
      <w:r>
        <w:rPr/>
        <w:t>享有。对磋商文件中供应商参加本次政府采购活动应当具备的条件，磋商项目技术、服务、商务及其他要求，评审细则及标准由</w:t>
      </w:r>
      <w:r>
        <w:rPr/>
        <w:t>陕西省档案馆</w:t>
      </w:r>
      <w:r>
        <w:rPr/>
        <w:t>负责解释。除上述磋商文件内容，其他内容由</w:t>
      </w:r>
      <w:r>
        <w:rPr/>
        <w:t>陕西中达国创项目管理有限公司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陕西省档案馆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陕西中达国创项目管理有限公司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能够采用计算机自动检验的项目应采用计算机自动检验的方式进行100%检验，检验合格率应为100%。对于无法用计算机自动检验的项目，进行人工抽检，合格率应大于95%，对于数据库条目与数字图像内容对应的准确性，合格率应为100%。 1.目录数据库与图像文件挂接错误，或目录数据库、图像文件之一出现不完整、不清晰、有错误等质量问题时，抽检标记为“不合格”。 2.对乙方提交的合格数据，甲方质检人员进行抽检，合格率不得低于95%（含95%），否则需整批次退回乙方，重新审验提交；如二次出现合格率不达标情况，甲方有权要求乙方支付一定金额的违约金（合同总额的0.5%-10%）。</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陕西中达国创项目管理有限公司</w:t>
      </w:r>
      <w:r>
        <w:rPr/>
        <w:t xml:space="preserve"> 负责答复；供应商对除采购需求外的采购文件的询问、质疑由</w:t>
      </w:r>
      <w:r>
        <w:rPr/>
        <w:t>陕西中达国创项目管理有限公司</w:t>
      </w:r>
      <w:r>
        <w:rPr/>
        <w:t xml:space="preserve"> 负责答复；供应商对采购过程、采购结果的询问、质疑由 </w:t>
      </w:r>
      <w:r>
        <w:rPr/>
        <w:t>陕西中达国创项目管理有限公司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联系人：孟明、王凯</w:t>
      </w:r>
    </w:p>
    <w:p>
      <w:pPr>
        <w:pStyle w:val="null3"/>
      </w:pPr>
      <w:r>
        <w:rPr/>
        <w:t>联系电话：029-88661828</w:t>
      </w:r>
    </w:p>
    <w:p>
      <w:pPr>
        <w:pStyle w:val="null3"/>
      </w:pPr>
      <w:r>
        <w:rPr/>
        <w:t>地址：陕西省西安市雁塔区朱雀大街南段15号明德盛荟2号楼616室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数据清洗是发现并纠正数据文件中可识别的错误的最后一道程序，包括检查数据一致性，处理无效值和缺失值等，以确保数字化档案的准确性与可用性。预计完成馆藏数字化档案目录数据清洗约264万条，及目录数据对应原文的检查修正。主要对2019年之前加工的数字化目录数据和原文进行审核并修改完善，强化档案馆数字资源体系建设，提高现代化管理水平，为档案社会化服务创造良好条件。包括： （1）民国档案 （2）革命历史档案 （3）建国后档案</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1,320,000.00</w:t>
      </w:r>
    </w:p>
    <w:p>
      <w:pPr>
        <w:pStyle w:val="null3"/>
      </w:pPr>
      <w:r>
        <w:rPr/>
        <w:t>采购包最高限价（元）: 1,320,000.00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馆藏数字化档案目录数据清洗</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标的名称：馆藏数字化档案目录数据清洗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仿宋_gb2312" w:hAnsi="仿宋_gb2312" w:cs="仿宋_gb2312" w:eastAsia="仿宋_gb2312"/>
                <w:sz w:val="22"/>
              </w:rPr>
              <w:t>（一）基本环节</w:t>
            </w:r>
          </w:p>
          <w:p>
            <w:pPr>
              <w:pStyle w:val="null3"/>
              <w:jc w:val="both"/>
            </w:pPr>
            <w:r>
              <w:rPr>
                <w:rFonts w:ascii="仿宋_gb2312" w:hAnsi="仿宋_gb2312" w:cs="仿宋_gb2312" w:eastAsia="仿宋_gb2312"/>
                <w:sz w:val="22"/>
              </w:rPr>
              <w:t>馆藏数字化档案数据清洗的基本环节主要包括：任务分配、目录清洗、原文清洗、挂接审核、质量检查、数据验收（数据清洗成果验收）、项目文件移交等。</w:t>
            </w:r>
          </w:p>
        </w:tc>
      </w:tr>
      <w:tr>
        <w:tc>
          <w:tcPr>
            <w:tcW w:type="dxa" w:w="2769"/>
          </w:tcPr>
          <w:p/>
        </w:tc>
        <w:tc>
          <w:tcPr>
            <w:tcW w:type="dxa" w:w="2769"/>
          </w:tcPr>
          <w:p>
            <w:pPr>
              <w:pStyle w:val="null3"/>
            </w:pPr>
            <w:r>
              <w:rPr/>
              <w:t>2</w:t>
            </w:r>
          </w:p>
        </w:tc>
        <w:tc>
          <w:tcPr>
            <w:tcW w:type="dxa" w:w="2769"/>
          </w:tcPr>
          <w:p>
            <w:pPr>
              <w:pStyle w:val="null3"/>
              <w:ind w:left="-15" w:firstLine="640"/>
              <w:jc w:val="both"/>
            </w:pPr>
            <w:r>
              <w:rPr>
                <w:rFonts w:ascii="仿宋_gb2312" w:hAnsi="仿宋_gb2312" w:cs="仿宋_gb2312" w:eastAsia="仿宋_gb2312"/>
                <w:sz w:val="22"/>
              </w:rPr>
              <w:t>（二）过程管理</w:t>
            </w:r>
          </w:p>
          <w:p>
            <w:pPr>
              <w:pStyle w:val="null3"/>
              <w:ind w:left="-15" w:firstLine="640"/>
              <w:jc w:val="both"/>
            </w:pPr>
            <w:r>
              <w:rPr>
                <w:rFonts w:ascii="仿宋_gb2312" w:hAnsi="仿宋_gb2312" w:cs="仿宋_gb2312" w:eastAsia="仿宋_gb2312"/>
                <w:sz w:val="22"/>
              </w:rPr>
              <w:t>1.应做好项目培训，确保所有工作人员明确数据清洗的要求，熟知常见错误及修改方法；确保所有工作人员知悉并遵循采购方档案数字化加工场地、数据、人员、设备、档案等管理制度。</w:t>
            </w:r>
          </w:p>
          <w:p>
            <w:pPr>
              <w:pStyle w:val="null3"/>
              <w:ind w:left="-15" w:firstLine="640"/>
              <w:jc w:val="both"/>
            </w:pPr>
            <w:r>
              <w:rPr>
                <w:rFonts w:ascii="仿宋_gb2312" w:hAnsi="仿宋_gb2312" w:cs="仿宋_gb2312" w:eastAsia="仿宋_gb2312"/>
                <w:sz w:val="22"/>
              </w:rPr>
              <w:t>2.应加强数字化档案数据清洗各环节的安全保密管理机制，确保档案原件和数字化成果数据的安全。</w:t>
            </w:r>
          </w:p>
          <w:p>
            <w:pPr>
              <w:pStyle w:val="null3"/>
              <w:ind w:firstLine="640"/>
              <w:jc w:val="both"/>
            </w:pPr>
            <w:r>
              <w:rPr>
                <w:rFonts w:ascii="仿宋_gb2312" w:hAnsi="仿宋_gb2312" w:cs="仿宋_gb2312" w:eastAsia="仿宋_gb2312"/>
                <w:sz w:val="22"/>
              </w:rPr>
              <w:t>3.数据清洗过程中各环节应进行详细的登记，并及时整理、汇总，在工作完成的同时建立起完整、规范的记录。</w:t>
            </w:r>
          </w:p>
          <w:p>
            <w:pPr>
              <w:pStyle w:val="null3"/>
              <w:jc w:val="both"/>
            </w:pPr>
            <w:r>
              <w:rPr>
                <w:rFonts w:ascii="仿宋_gb2312" w:hAnsi="仿宋_gb2312" w:cs="仿宋_gb2312" w:eastAsia="仿宋_gb2312"/>
                <w:sz w:val="22"/>
              </w:rPr>
              <w:t xml:space="preserve">         4.应合理分配工作量，每人完成一个批次后再分配下一批次，中标方按规定汇总数据，馆方定期审核抽检。</w:t>
            </w:r>
          </w:p>
        </w:tc>
      </w:tr>
      <w:tr>
        <w:tc>
          <w:tcPr>
            <w:tcW w:type="dxa" w:w="2769"/>
          </w:tcPr>
          <w:p/>
        </w:tc>
        <w:tc>
          <w:tcPr>
            <w:tcW w:type="dxa" w:w="2769"/>
          </w:tcPr>
          <w:p>
            <w:pPr>
              <w:pStyle w:val="null3"/>
            </w:pPr>
            <w:r>
              <w:rPr/>
              <w:t>3</w:t>
            </w:r>
          </w:p>
        </w:tc>
        <w:tc>
          <w:tcPr>
            <w:tcW w:type="dxa" w:w="2769"/>
          </w:tcPr>
          <w:p>
            <w:pPr>
              <w:pStyle w:val="null3"/>
              <w:ind w:firstLine="640"/>
              <w:jc w:val="both"/>
            </w:pPr>
            <w:r>
              <w:rPr>
                <w:rFonts w:ascii="仿宋_gb2312" w:hAnsi="仿宋_gb2312" w:cs="仿宋_gb2312" w:eastAsia="仿宋_gb2312"/>
                <w:sz w:val="22"/>
              </w:rPr>
              <w:t>（三）数据清洗</w:t>
            </w:r>
          </w:p>
          <w:p>
            <w:pPr>
              <w:pStyle w:val="null3"/>
              <w:ind w:firstLine="640"/>
              <w:jc w:val="both"/>
            </w:pPr>
            <w:r>
              <w:rPr>
                <w:rFonts w:ascii="仿宋_gb2312" w:hAnsi="仿宋_gb2312" w:cs="仿宋_gb2312" w:eastAsia="仿宋_gb2312"/>
                <w:sz w:val="22"/>
              </w:rPr>
              <w:t>1.目录清洗</w:t>
            </w:r>
          </w:p>
          <w:p>
            <w:pPr>
              <w:pStyle w:val="null3"/>
              <w:ind w:firstLine="640"/>
            </w:pPr>
            <w:r>
              <w:rPr>
                <w:rFonts w:ascii="仿宋_gb2312" w:hAnsi="仿宋_gb2312" w:cs="仿宋_gb2312" w:eastAsia="仿宋_gb2312"/>
                <w:sz w:val="22"/>
              </w:rPr>
              <w:t>按照《档案著录规则》</w:t>
            </w:r>
            <w:r>
              <w:rPr>
                <w:rFonts w:ascii="仿宋_gb2312" w:hAnsi="仿宋_gb2312" w:cs="仿宋_gb2312" w:eastAsia="仿宋_gb2312"/>
                <w:sz w:val="22"/>
              </w:rPr>
              <w:t>(DA/T</w:t>
            </w:r>
            <w:r>
              <w:rPr/>
              <w:t xml:space="preserve"> </w:t>
            </w:r>
            <w:r>
              <w:rPr>
                <w:rFonts w:ascii="仿宋_gb2312" w:hAnsi="仿宋_gb2312" w:cs="仿宋_gb2312" w:eastAsia="仿宋_gb2312"/>
                <w:sz w:val="22"/>
              </w:rPr>
              <w:t>18-1999和DA/T</w:t>
            </w:r>
            <w:r>
              <w:rPr/>
              <w:t xml:space="preserve"> </w:t>
            </w:r>
            <w:r>
              <w:rPr>
                <w:rFonts w:ascii="仿宋_gb2312" w:hAnsi="仿宋_gb2312" w:cs="仿宋_gb2312" w:eastAsia="仿宋_gb2312"/>
                <w:sz w:val="22"/>
              </w:rPr>
              <w:t>18-2022)、《革命历史档案著录细则》(DA/T</w:t>
            </w:r>
            <w:r>
              <w:rPr/>
              <w:t xml:space="preserve"> </w:t>
            </w:r>
            <w:r>
              <w:rPr>
                <w:rFonts w:ascii="仿宋_gb2312" w:hAnsi="仿宋_gb2312" w:cs="仿宋_gb2312" w:eastAsia="仿宋_gb2312"/>
                <w:sz w:val="22"/>
              </w:rPr>
              <w:t>17.1-95)、《革命历史资料著录细则》（DA/T 17.2-95）、《民国档案目录中心数据采集标准 民国档案著录细则》（DA/T 20.1-1999）以及国家档案局、中央档案馆、陕西省档案馆制定的标准和要求，规范审核档案的著录内容，并修改完善。</w:t>
            </w:r>
          </w:p>
          <w:p>
            <w:pPr>
              <w:pStyle w:val="null3"/>
              <w:ind w:firstLine="640"/>
              <w:jc w:val="both"/>
            </w:pPr>
            <w:r>
              <w:rPr>
                <w:rFonts w:ascii="仿宋_gb2312" w:hAnsi="仿宋_gb2312" w:cs="仿宋_gb2312" w:eastAsia="仿宋_gb2312"/>
                <w:sz w:val="22"/>
              </w:rPr>
              <w:t>档案案卷级著录项目有档案定位符、档号、全宗号、目录号、案卷号、题名、保管期限、起止时间、件数、页数等，档案文件级著录项目有档号、全宗号、目录号、案卷号、件号、起页号、页数、题名、时间、文号、责任者、密级、机构或问题、控制开放、关键词、备注等。如有错误或不规范的文件题名、责任者、起止页号和页数等，应进行修改。卷内文件无题名的，需严格按照著录标准拟写题名。如题名不准确的，需重新拟写题名。文件内容中涉及到的人名（干部任免、调配、定级、招干、招工等具有查询意义的人名）要求一并著录出来，如果人名太多可著录到</w:t>
            </w:r>
            <w:r>
              <w:rPr>
                <w:rFonts w:ascii="仿宋_gb2312" w:hAnsi="仿宋_gb2312" w:cs="仿宋_gb2312" w:eastAsia="仿宋_gb2312"/>
                <w:sz w:val="22"/>
              </w:rPr>
              <w:t>“关键词”字段中（三个人名以内著录到题名中，超过三个著录到关键词中）。</w:t>
            </w:r>
          </w:p>
          <w:p>
            <w:pPr>
              <w:pStyle w:val="null3"/>
              <w:ind w:firstLine="640"/>
              <w:jc w:val="both"/>
            </w:pPr>
            <w:r>
              <w:rPr>
                <w:rFonts w:ascii="仿宋_gb2312" w:hAnsi="仿宋_gb2312" w:cs="仿宋_gb2312" w:eastAsia="仿宋_gb2312"/>
                <w:sz w:val="22"/>
              </w:rPr>
              <w:t>2.原文清洗</w:t>
            </w:r>
          </w:p>
          <w:p>
            <w:pPr>
              <w:pStyle w:val="null3"/>
              <w:ind w:firstLine="640"/>
              <w:jc w:val="both"/>
            </w:pPr>
            <w:r>
              <w:rPr>
                <w:rFonts w:ascii="仿宋_gb2312" w:hAnsi="仿宋_gb2312" w:cs="仿宋_gb2312" w:eastAsia="仿宋_gb2312"/>
                <w:sz w:val="22"/>
              </w:rPr>
              <w:t>对原文图像一一检查，发现图片不符合要求需要进行修正并做好详细记录，如需补扫按流程调归卷进行扫描，扫描后重新上传挂接。</w:t>
            </w:r>
          </w:p>
          <w:p>
            <w:pPr>
              <w:pStyle w:val="null3"/>
              <w:ind w:firstLine="640"/>
              <w:jc w:val="both"/>
            </w:pPr>
            <w:r>
              <w:rPr>
                <w:rFonts w:ascii="仿宋_gb2312" w:hAnsi="仿宋_gb2312" w:cs="仿宋_gb2312" w:eastAsia="仿宋_gb2312"/>
                <w:sz w:val="22"/>
              </w:rPr>
              <w:t>2.1图像数据质量检验</w:t>
            </w:r>
          </w:p>
          <w:p>
            <w:pPr>
              <w:pStyle w:val="null3"/>
              <w:ind w:firstLine="640"/>
              <w:jc w:val="both"/>
            </w:pPr>
            <w:r>
              <w:rPr>
                <w:rFonts w:ascii="仿宋_gb2312" w:hAnsi="仿宋_gb2312" w:cs="仿宋_gb2312" w:eastAsia="仿宋_gb2312"/>
                <w:sz w:val="22"/>
              </w:rPr>
              <w:t>（</w:t>
            </w:r>
            <w:r>
              <w:rPr>
                <w:rFonts w:ascii="仿宋_gb2312" w:hAnsi="仿宋_gb2312" w:cs="仿宋_gb2312" w:eastAsia="仿宋_gb2312"/>
                <w:sz w:val="22"/>
              </w:rPr>
              <w:t>1）数字图像不完整、无法清晰识别或图像失真度较大时，应重新扫描。</w:t>
            </w:r>
          </w:p>
          <w:p>
            <w:pPr>
              <w:pStyle w:val="null3"/>
              <w:ind w:firstLine="640"/>
              <w:jc w:val="both"/>
            </w:pPr>
            <w:r>
              <w:rPr>
                <w:rFonts w:ascii="仿宋_gb2312" w:hAnsi="仿宋_gb2312" w:cs="仿宋_gb2312" w:eastAsia="仿宋_gb2312"/>
                <w:sz w:val="22"/>
              </w:rPr>
              <w:t>（</w:t>
            </w:r>
            <w:r>
              <w:rPr>
                <w:rFonts w:ascii="仿宋_gb2312" w:hAnsi="仿宋_gb2312" w:cs="仿宋_gb2312" w:eastAsia="仿宋_gb2312"/>
                <w:sz w:val="22"/>
              </w:rPr>
              <w:t>2）对图像重复、图像漏页等情况，应进行改正。</w:t>
            </w:r>
          </w:p>
          <w:p>
            <w:pPr>
              <w:pStyle w:val="null3"/>
              <w:ind w:firstLine="640"/>
              <w:jc w:val="both"/>
            </w:pPr>
            <w:r>
              <w:rPr>
                <w:rFonts w:ascii="仿宋_gb2312" w:hAnsi="仿宋_gb2312" w:cs="仿宋_gb2312" w:eastAsia="仿宋_gb2312"/>
                <w:sz w:val="22"/>
              </w:rPr>
              <w:t>（</w:t>
            </w:r>
            <w:r>
              <w:rPr>
                <w:rFonts w:ascii="仿宋_gb2312" w:hAnsi="仿宋_gb2312" w:cs="仿宋_gb2312" w:eastAsia="仿宋_gb2312"/>
                <w:sz w:val="22"/>
              </w:rPr>
              <w:t>3）数字图像的排列顺序不正确时，应进行调整。</w:t>
            </w:r>
          </w:p>
          <w:p>
            <w:pPr>
              <w:pStyle w:val="null3"/>
              <w:ind w:firstLine="640"/>
              <w:jc w:val="both"/>
            </w:pPr>
            <w:r>
              <w:rPr>
                <w:rFonts w:ascii="仿宋_gb2312" w:hAnsi="仿宋_gb2312" w:cs="仿宋_gb2312" w:eastAsia="仿宋_gb2312"/>
                <w:sz w:val="22"/>
              </w:rPr>
              <w:t>（</w:t>
            </w:r>
            <w:r>
              <w:rPr>
                <w:rFonts w:ascii="仿宋_gb2312" w:hAnsi="仿宋_gb2312" w:cs="仿宋_gb2312" w:eastAsia="仿宋_gb2312"/>
                <w:sz w:val="22"/>
              </w:rPr>
              <w:t>4）对数字图像拼接、旋转及纠偏、裁边、去污、折角、切字、裁掉页码等情况进行检查，发现不符合图像质量要求时，应进行图像处理。</w:t>
            </w:r>
          </w:p>
          <w:p>
            <w:pPr>
              <w:pStyle w:val="null3"/>
              <w:ind w:firstLine="640"/>
              <w:jc w:val="both"/>
            </w:pPr>
            <w:r>
              <w:rPr>
                <w:rFonts w:ascii="仿宋_gb2312" w:hAnsi="仿宋_gb2312" w:cs="仿宋_gb2312" w:eastAsia="仿宋_gb2312"/>
                <w:sz w:val="22"/>
              </w:rPr>
              <w:t>（</w:t>
            </w:r>
            <w:r>
              <w:rPr>
                <w:rFonts w:ascii="仿宋_gb2312" w:hAnsi="仿宋_gb2312" w:cs="仿宋_gb2312" w:eastAsia="仿宋_gb2312"/>
                <w:sz w:val="22"/>
              </w:rPr>
              <w:t>5）认真记录检查结果和处理意见，如需补扫按流程调归卷进行补扫，扫描后重新上传挂接。</w:t>
            </w:r>
          </w:p>
          <w:p>
            <w:pPr>
              <w:pStyle w:val="null3"/>
              <w:ind w:right="240" w:firstLine="640"/>
              <w:jc w:val="both"/>
            </w:pPr>
            <w:r>
              <w:rPr>
                <w:rFonts w:ascii="仿宋_gb2312" w:hAnsi="仿宋_gb2312" w:cs="仿宋_gb2312" w:eastAsia="仿宋_gb2312"/>
                <w:sz w:val="22"/>
              </w:rPr>
              <w:t>2.2经检查发现错误，需对图像进行补扫</w:t>
            </w:r>
          </w:p>
          <w:p>
            <w:pPr>
              <w:pStyle w:val="null3"/>
              <w:ind w:right="240" w:firstLine="640"/>
              <w:jc w:val="both"/>
            </w:pPr>
            <w:r>
              <w:rPr>
                <w:rFonts w:ascii="仿宋_gb2312" w:hAnsi="仿宋_gb2312" w:cs="仿宋_gb2312" w:eastAsia="仿宋_gb2312"/>
                <w:sz w:val="22"/>
              </w:rPr>
              <w:t>2.2.1</w:t>
            </w:r>
            <w:r>
              <w:rPr/>
              <w:t xml:space="preserve"> </w:t>
            </w:r>
            <w:r>
              <w:rPr>
                <w:rFonts w:ascii="仿宋_gb2312" w:hAnsi="仿宋_gb2312" w:cs="仿宋_gb2312" w:eastAsia="仿宋_gb2312"/>
                <w:sz w:val="22"/>
              </w:rPr>
              <w:t>扫描方式</w:t>
            </w:r>
          </w:p>
          <w:p>
            <w:pPr>
              <w:pStyle w:val="null3"/>
              <w:ind w:right="240"/>
              <w:jc w:val="both"/>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根据档案、资料幅面的大小(A4、A3、A0等)选择相应规格的扫描仪或专业扫描仪(如工程图纸可采用0号图纸扫描仪)进行扫描；大幅面档案、资料可采用大幅面数码平台，或者缩微拍摄后的胶片数字化转换设备等进行扫描，也可以采用小幅面扫描后的图像拼接方式处理。</w:t>
            </w:r>
          </w:p>
          <w:p>
            <w:pPr>
              <w:pStyle w:val="null3"/>
              <w:ind w:right="240"/>
              <w:jc w:val="both"/>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2）纸张状况较差，以及过薄、过软或超厚的档案，应采用平板扫描方式；纸张状况好的档案可采用高速扫描方式以提高工作效率；不适合拆卷的档案、资料可采用零边距扫描仪。</w:t>
            </w:r>
          </w:p>
          <w:p>
            <w:pPr>
              <w:pStyle w:val="null3"/>
              <w:ind w:right="240" w:firstLine="640"/>
              <w:jc w:val="both"/>
            </w:pPr>
            <w:r>
              <w:rPr>
                <w:rFonts w:ascii="仿宋_gb2312" w:hAnsi="仿宋_gb2312" w:cs="仿宋_gb2312" w:eastAsia="仿宋_gb2312"/>
                <w:sz w:val="22"/>
              </w:rPr>
              <w:t>2.2.2</w:t>
            </w:r>
            <w:r>
              <w:rPr/>
              <w:t xml:space="preserve"> </w:t>
            </w:r>
            <w:r>
              <w:rPr>
                <w:rFonts w:ascii="仿宋_gb2312" w:hAnsi="仿宋_gb2312" w:cs="仿宋_gb2312" w:eastAsia="仿宋_gb2312"/>
                <w:sz w:val="22"/>
              </w:rPr>
              <w:t>扫描色彩模式</w:t>
            </w:r>
          </w:p>
          <w:p>
            <w:pPr>
              <w:pStyle w:val="null3"/>
              <w:ind w:right="240" w:firstLine="640"/>
              <w:jc w:val="both"/>
            </w:pPr>
            <w:r>
              <w:rPr>
                <w:rFonts w:ascii="仿宋_gb2312" w:hAnsi="仿宋_gb2312" w:cs="仿宋_gb2312" w:eastAsia="仿宋_gb2312"/>
                <w:sz w:val="22"/>
              </w:rPr>
              <w:t>采用彩色模式进行扫描。</w:t>
            </w:r>
          </w:p>
          <w:p>
            <w:pPr>
              <w:pStyle w:val="null3"/>
              <w:ind w:right="240" w:firstLine="640"/>
              <w:jc w:val="both"/>
            </w:pPr>
            <w:r>
              <w:rPr>
                <w:rFonts w:ascii="仿宋_gb2312" w:hAnsi="仿宋_gb2312" w:cs="仿宋_gb2312" w:eastAsia="仿宋_gb2312"/>
                <w:sz w:val="22"/>
              </w:rPr>
              <w:t>2.2.3 扫描分辨率</w:t>
            </w:r>
          </w:p>
          <w:p>
            <w:pPr>
              <w:pStyle w:val="null3"/>
              <w:ind w:right="240"/>
              <w:jc w:val="both"/>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1）扫描分辨率参数大小的选择，原则上以扫描后的图像清晰、完整、不影响图像的利用效果为准。</w:t>
            </w:r>
          </w:p>
          <w:p>
            <w:pPr>
              <w:pStyle w:val="null3"/>
              <w:ind w:right="240"/>
              <w:jc w:val="both"/>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2）分辨率≥300dpi。特殊情况下，如文字偏小、密集、清晰度较差，表格、图纸等，可适当提高分辨率，如需要出版分辨率提高到600dpi。</w:t>
            </w:r>
          </w:p>
          <w:p>
            <w:pPr>
              <w:pStyle w:val="null3"/>
              <w:ind w:right="240" w:firstLine="640"/>
              <w:jc w:val="both"/>
            </w:pPr>
            <w:r>
              <w:rPr>
                <w:rFonts w:ascii="仿宋_gb2312" w:hAnsi="仿宋_gb2312" w:cs="仿宋_gb2312" w:eastAsia="仿宋_gb2312"/>
                <w:sz w:val="22"/>
              </w:rPr>
              <w:t>（</w:t>
            </w:r>
            <w:r>
              <w:rPr>
                <w:rFonts w:ascii="仿宋_gb2312" w:hAnsi="仿宋_gb2312" w:cs="仿宋_gb2312" w:eastAsia="仿宋_gb2312"/>
                <w:sz w:val="22"/>
              </w:rPr>
              <w:t>3）照片档案数字化应采用彩色扫描方式进行。</w:t>
            </w:r>
          </w:p>
          <w:p>
            <w:pPr>
              <w:pStyle w:val="null3"/>
              <w:ind w:right="240" w:firstLine="640"/>
              <w:jc w:val="both"/>
            </w:pPr>
            <w:r>
              <w:rPr>
                <w:rFonts w:ascii="仿宋_gb2312" w:hAnsi="仿宋_gb2312" w:cs="仿宋_gb2312" w:eastAsia="仿宋_gb2312"/>
                <w:sz w:val="22"/>
              </w:rPr>
              <w:t>2.2.4 图像拼接</w:t>
            </w:r>
          </w:p>
          <w:p>
            <w:pPr>
              <w:pStyle w:val="null3"/>
              <w:ind w:right="240" w:firstLine="640"/>
              <w:jc w:val="both"/>
            </w:pPr>
            <w:r>
              <w:rPr>
                <w:rFonts w:ascii="仿宋_gb2312" w:hAnsi="仿宋_gb2312" w:cs="仿宋_gb2312" w:eastAsia="仿宋_gb2312"/>
                <w:sz w:val="22"/>
              </w:rPr>
              <w:t>对大幅面档案进行分区扫描形成的多幅数字图像，应进行拼接处理，合并为一个完整的图像，以保证纸质档案数字图像的整体性。拼接时应确保拼接处平滑地融合，拼接后整幅图像无明显拼接痕迹。</w:t>
            </w:r>
          </w:p>
          <w:p>
            <w:pPr>
              <w:pStyle w:val="null3"/>
              <w:ind w:right="240" w:firstLine="640"/>
              <w:jc w:val="both"/>
            </w:pPr>
            <w:r>
              <w:rPr>
                <w:rFonts w:ascii="仿宋_gb2312" w:hAnsi="仿宋_gb2312" w:cs="仿宋_gb2312" w:eastAsia="仿宋_gb2312"/>
                <w:sz w:val="22"/>
              </w:rPr>
              <w:t>2.2.5 图像旋转及纠偏</w:t>
            </w:r>
          </w:p>
          <w:p>
            <w:pPr>
              <w:pStyle w:val="null3"/>
              <w:ind w:right="240" w:firstLine="640"/>
              <w:jc w:val="both"/>
            </w:pPr>
            <w:r>
              <w:rPr>
                <w:rFonts w:ascii="仿宋_gb2312" w:hAnsi="仿宋_gb2312" w:cs="仿宋_gb2312" w:eastAsia="仿宋_gb2312"/>
                <w:sz w:val="22"/>
              </w:rPr>
              <w:t>对不符合阅读方向的数字图像应进行旋转还原。对出现偏斜的图像应进行纠偏处理，以达到视觉上基本不感觉偏斜为准。</w:t>
            </w:r>
          </w:p>
          <w:p>
            <w:pPr>
              <w:pStyle w:val="null3"/>
              <w:ind w:right="240" w:firstLine="640"/>
              <w:jc w:val="both"/>
            </w:pPr>
            <w:r>
              <w:rPr>
                <w:rFonts w:ascii="仿宋_gb2312" w:hAnsi="仿宋_gb2312" w:cs="仿宋_gb2312" w:eastAsia="仿宋_gb2312"/>
                <w:sz w:val="22"/>
              </w:rPr>
              <w:t>2.2.6 图像裁边</w:t>
            </w:r>
          </w:p>
          <w:p>
            <w:pPr>
              <w:pStyle w:val="null3"/>
              <w:ind w:right="240" w:firstLine="640"/>
              <w:jc w:val="both"/>
            </w:pPr>
            <w:r>
              <w:rPr>
                <w:rFonts w:ascii="仿宋_gb2312" w:hAnsi="仿宋_gb2312" w:cs="仿宋_gb2312" w:eastAsia="仿宋_gb2312"/>
                <w:sz w:val="22"/>
              </w:rPr>
              <w:t>对数字图像应进行裁边处理，应在距页边最外延至少</w:t>
            </w:r>
            <w:r>
              <w:rPr>
                <w:rFonts w:ascii="仿宋_gb2312" w:hAnsi="仿宋_gb2312" w:cs="仿宋_gb2312" w:eastAsia="仿宋_gb2312"/>
                <w:sz w:val="22"/>
              </w:rPr>
              <w:t>2mm-3mm处裁剪图像。</w:t>
            </w:r>
          </w:p>
          <w:p>
            <w:pPr>
              <w:pStyle w:val="null3"/>
              <w:ind w:right="240" w:firstLine="640"/>
              <w:jc w:val="both"/>
            </w:pPr>
            <w:r>
              <w:rPr>
                <w:rFonts w:ascii="仿宋_gb2312" w:hAnsi="仿宋_gb2312" w:cs="仿宋_gb2312" w:eastAsia="仿宋_gb2312"/>
                <w:sz w:val="22"/>
              </w:rPr>
              <w:t>2.2.7 去污</w:t>
            </w:r>
          </w:p>
          <w:p>
            <w:pPr>
              <w:pStyle w:val="null3"/>
              <w:ind w:right="240" w:firstLine="640"/>
              <w:jc w:val="both"/>
            </w:pPr>
            <w:r>
              <w:rPr>
                <w:rFonts w:ascii="仿宋_gb2312" w:hAnsi="仿宋_gb2312" w:cs="仿宋_gb2312" w:eastAsia="仿宋_gb2312"/>
                <w:sz w:val="22"/>
              </w:rPr>
              <w:t>对数字图像应进行去污处理，以去除在扫描过程中产生的污点、污线、黑边等影响图像质量的杂质，应遵循展现档案原貌的原则，处理过程中不得去除档案页面原有的纸张褪变斑点、水渍、污点、装订孔等痕迹。</w:t>
            </w:r>
          </w:p>
          <w:p>
            <w:pPr>
              <w:pStyle w:val="null3"/>
              <w:ind w:right="240" w:firstLine="640"/>
              <w:jc w:val="both"/>
            </w:pPr>
            <w:r>
              <w:rPr>
                <w:rFonts w:ascii="仿宋_gb2312" w:hAnsi="仿宋_gb2312" w:cs="仿宋_gb2312" w:eastAsia="仿宋_gb2312"/>
                <w:sz w:val="22"/>
              </w:rPr>
              <w:t>2.2.8 补扫图像存储</w:t>
            </w:r>
          </w:p>
          <w:p>
            <w:pPr>
              <w:pStyle w:val="null3"/>
              <w:ind w:right="240" w:firstLine="640"/>
              <w:jc w:val="both"/>
            </w:pPr>
            <w:r>
              <w:rPr>
                <w:rFonts w:ascii="仿宋_gb2312" w:hAnsi="仿宋_gb2312" w:cs="仿宋_gb2312" w:eastAsia="仿宋_gb2312"/>
                <w:sz w:val="22"/>
              </w:rPr>
              <w:t>（</w:t>
            </w:r>
            <w:r>
              <w:rPr>
                <w:rFonts w:ascii="仿宋_gb2312" w:hAnsi="仿宋_gb2312" w:cs="仿宋_gb2312" w:eastAsia="仿宋_gb2312"/>
                <w:sz w:val="22"/>
              </w:rPr>
              <w:t>1）数字图像应保存为JPG格式。</w:t>
            </w:r>
          </w:p>
          <w:p>
            <w:pPr>
              <w:pStyle w:val="null3"/>
              <w:ind w:right="240" w:firstLine="640"/>
              <w:jc w:val="both"/>
            </w:pPr>
            <w:r>
              <w:rPr>
                <w:rFonts w:ascii="仿宋_gb2312" w:hAnsi="仿宋_gb2312" w:cs="仿宋_gb2312" w:eastAsia="仿宋_gb2312"/>
                <w:sz w:val="22"/>
              </w:rPr>
              <w:t>（</w:t>
            </w:r>
            <w:r>
              <w:rPr>
                <w:rFonts w:ascii="仿宋_gb2312" w:hAnsi="仿宋_gb2312" w:cs="仿宋_gb2312" w:eastAsia="仿宋_gb2312"/>
                <w:sz w:val="22"/>
              </w:rPr>
              <w:t>2）补扫的图片以4位页码命名，如“0001.jpg”、“0002.jpg”；卷皮以汉字命名，如“卷皮.jpg”；目录和备考表命名为“目录01.jpg”、“目录02.jpg”、“备考表01.jpg”、“备考表02.jpg”等，统一存储在以档案定位符命名的文件夹内。</w:t>
            </w:r>
          </w:p>
          <w:p>
            <w:pPr>
              <w:pStyle w:val="null3"/>
              <w:ind w:right="240" w:firstLine="640"/>
              <w:jc w:val="both"/>
            </w:pPr>
            <w:r>
              <w:rPr>
                <w:rFonts w:ascii="仿宋_gb2312" w:hAnsi="仿宋_gb2312" w:cs="仿宋_gb2312" w:eastAsia="仿宋_gb2312"/>
                <w:sz w:val="22"/>
              </w:rPr>
              <w:t>2.2.9 补扫登记</w:t>
            </w:r>
          </w:p>
          <w:p>
            <w:pPr>
              <w:pStyle w:val="null3"/>
              <w:ind w:right="240" w:firstLine="640"/>
              <w:jc w:val="both"/>
            </w:pPr>
            <w:r>
              <w:rPr>
                <w:rFonts w:ascii="仿宋_gb2312" w:hAnsi="仿宋_gb2312" w:cs="仿宋_gb2312" w:eastAsia="仿宋_gb2312"/>
                <w:sz w:val="22"/>
              </w:rPr>
              <w:t>详细记录补扫图像的错误类型、数量等。</w:t>
            </w:r>
          </w:p>
          <w:p>
            <w:pPr>
              <w:pStyle w:val="null3"/>
              <w:ind w:right="240" w:firstLine="640"/>
              <w:jc w:val="both"/>
            </w:pPr>
            <w:r>
              <w:rPr>
                <w:rFonts w:ascii="仿宋_gb2312" w:hAnsi="仿宋_gb2312" w:cs="仿宋_gb2312" w:eastAsia="仿宋_gb2312"/>
                <w:sz w:val="22"/>
              </w:rPr>
              <w:t>3.挂接审核</w:t>
            </w:r>
          </w:p>
          <w:p>
            <w:pPr>
              <w:pStyle w:val="null3"/>
              <w:ind w:right="240" w:firstLine="640"/>
              <w:jc w:val="left"/>
            </w:pPr>
            <w:r>
              <w:rPr>
                <w:rFonts w:ascii="仿宋_gb2312" w:hAnsi="仿宋_gb2312" w:cs="仿宋_gb2312" w:eastAsia="仿宋_gb2312"/>
                <w:sz w:val="22"/>
              </w:rPr>
              <w:t>（</w:t>
            </w:r>
            <w:r>
              <w:rPr>
                <w:rFonts w:ascii="仿宋_gb2312" w:hAnsi="仿宋_gb2312" w:cs="仿宋_gb2312" w:eastAsia="仿宋_gb2312"/>
                <w:sz w:val="22"/>
              </w:rPr>
              <w:t>1）逐条对挂接结果进行检查，包括目录数据与纸质档案、资料数字图像对应的准确性、已挂接数字图像与实际扫描数量的一致性、数字图像是否能正常打开等，发现错误及时进行纠正。</w:t>
            </w:r>
          </w:p>
          <w:p>
            <w:pPr>
              <w:pStyle w:val="null3"/>
              <w:ind w:right="240" w:firstLine="640"/>
              <w:jc w:val="left"/>
            </w:pPr>
            <w:r>
              <w:rPr>
                <w:rFonts w:ascii="仿宋_gb2312" w:hAnsi="仿宋_gb2312" w:cs="仿宋_gb2312" w:eastAsia="仿宋_gb2312"/>
                <w:sz w:val="22"/>
              </w:rPr>
              <w:t>（</w:t>
            </w:r>
            <w:r>
              <w:rPr>
                <w:rFonts w:ascii="仿宋_gb2312" w:hAnsi="仿宋_gb2312" w:cs="仿宋_gb2312" w:eastAsia="仿宋_gb2312"/>
                <w:sz w:val="22"/>
              </w:rPr>
              <w:t>2）核对每一份文件关联后的页数与档案资料整理、扫描时填写的页数是否一致，不一致时应在“备注”字段中注明，如为磁带、纸张粘连未修复等。</w:t>
            </w:r>
          </w:p>
          <w:p>
            <w:pPr>
              <w:pStyle w:val="null3"/>
              <w:ind w:right="240" w:firstLine="640"/>
              <w:jc w:val="both"/>
            </w:pPr>
            <w:r>
              <w:rPr>
                <w:rFonts w:ascii="仿宋_gb2312" w:hAnsi="仿宋_gb2312" w:cs="仿宋_gb2312" w:eastAsia="仿宋_gb2312"/>
                <w:sz w:val="22"/>
              </w:rPr>
              <w:t>4.质量检查</w:t>
            </w:r>
          </w:p>
          <w:p>
            <w:pPr>
              <w:pStyle w:val="null3"/>
              <w:ind w:right="240" w:firstLine="640"/>
              <w:jc w:val="both"/>
            </w:pPr>
            <w:r>
              <w:rPr>
                <w:rFonts w:ascii="仿宋_gb2312" w:hAnsi="仿宋_gb2312" w:cs="仿宋_gb2312" w:eastAsia="仿宋_gb2312"/>
                <w:sz w:val="22"/>
              </w:rPr>
              <w:t>对清洗过的目录和图像进行检查，确保数据准确性。</w:t>
            </w:r>
          </w:p>
          <w:p>
            <w:pPr>
              <w:pStyle w:val="null3"/>
              <w:jc w:val="both"/>
            </w:pPr>
            <w:r>
              <w:rPr>
                <w:rFonts w:ascii="仿宋_gb2312" w:hAnsi="仿宋_gb2312" w:cs="仿宋_gb2312" w:eastAsia="仿宋_gb2312"/>
                <w:sz w:val="22"/>
              </w:rPr>
              <w:t>常见错误类型：题名、责任者、文号、关键词中出现错字、漏字、多字；时间错误；自拟题名语句不通顺；文种错误；题名未著录完整（三要素不全、来复文不完整等）、未加附件（题名</w:t>
            </w:r>
            <w:r>
              <w:rPr>
                <w:rFonts w:ascii="仿宋_gb2312" w:hAnsi="仿宋_gb2312" w:cs="仿宋_gb2312" w:eastAsia="仿宋_gb2312"/>
                <w:sz w:val="22"/>
              </w:rPr>
              <w:t>+附XXX）；案卷总页数、起始页错误；密级错误；件号错误；分件错误；编页时漏编页码、页码重复；图像顺序放错、图像重复、图像漏页；图像未旋转；图像未修图、折角、切字、裁掉页码等。</w:t>
            </w:r>
          </w:p>
        </w:tc>
      </w:tr>
    </w:tbl>
    <w:p>
      <w:pPr>
        <w:pStyle w:val="null3"/>
        <w:outlineLvl w:val="2"/>
      </w:pPr>
      <w:r>
        <w:rPr>
          <w:b/>
          <w:sz w:val="28"/>
        </w:rPr>
        <w:t>3.2.3人员配置要求</w:t>
      </w:r>
    </w:p>
    <w:p>
      <w:pPr>
        <w:pStyle w:val="null3"/>
      </w:pPr>
      <w:r>
        <w:rPr/>
        <w:t>采购包1：</w:t>
      </w:r>
    </w:p>
    <w:p>
      <w:pPr>
        <w:pStyle w:val="null3"/>
      </w:pPr>
      <w:r>
        <w:rPr/>
        <w:t>项目组组成： 1、指定具有三年以上档案部门档案数字化项目管理经验的人员为项目经理，未经采购方同意不得随意更换项目经理。 2、投标人应保证在项目运行期间工作人员队伍稳定，至少配备40人以上的团队，尤其是项目业务骨干的变动不得超过50%。 3、业务骨干占比不得低于40%，要求必须有一年以上的档案数字化著录岗工作经验。 4、设置专门的质检小组，质检人员要求有两年以上档案数字化著录岗工作经验。 5、目录清洗、质检岗位工作人员要求具有中文、历史、档案、图书馆学等相关文科专业大专以上学历，有一定的文字功底。</w:t>
      </w:r>
    </w:p>
    <w:p>
      <w:pPr>
        <w:pStyle w:val="null3"/>
        <w:outlineLvl w:val="2"/>
      </w:pPr>
      <w:r>
        <w:rPr>
          <w:b/>
          <w:sz w:val="28"/>
        </w:rPr>
        <w:t>3.2.4设施设备要求</w:t>
      </w:r>
    </w:p>
    <w:p>
      <w:pPr>
        <w:pStyle w:val="null3"/>
      </w:pPr>
      <w:r>
        <w:rPr/>
        <w:t>采购包1：</w:t>
      </w:r>
    </w:p>
    <w:p>
      <w:pPr>
        <w:pStyle w:val="null3"/>
      </w:pPr>
      <w:r>
        <w:rPr/>
        <w:t>1、加工场地由采购方提供，所需设备由中标方自行准备。 2、中标方需自备能满足工作需要的计算机、扫描仪、打印机及其他相关设备等，并向采购方备案硬盘序列号，离场时硬盘无偿移交给采购方。中标方需自备数据清洗所需的软件系统，如安全管理软件、图像处理软件等，所使用的软件须为正版软件。</w:t>
      </w:r>
    </w:p>
    <w:p>
      <w:pPr>
        <w:pStyle w:val="null3"/>
        <w:outlineLvl w:val="2"/>
      </w:pPr>
      <w:r>
        <w:rPr>
          <w:b/>
          <w:sz w:val="28"/>
        </w:rPr>
        <w:t>3.2.5其他要求</w:t>
      </w:r>
    </w:p>
    <w:p>
      <w:pPr>
        <w:pStyle w:val="null3"/>
      </w:pPr>
      <w:r>
        <w:rPr/>
        <w:t>采购包1：</w:t>
      </w:r>
    </w:p>
    <w:p>
      <w:pPr>
        <w:pStyle w:val="null3"/>
      </w:pPr>
      <w:r>
        <w:rPr/>
        <w:t>1、三年来未发生档案安全事故、泄密事件，无非法获取、非法持有国家秘密载体等保密违法行为记录。 2、中标方人员必须接受采购方组织的档案保密安全教育，并自觉学习保密知识，中标方须加强对工作人员的保密教育。严格遵守《档案法》《保密法》及其他有关法规，严防泄密现象发生，在采购方组织检查中发现问题应立即纠正并接受相应经济处罚。中标方应定期开展业务培训，包括《档案著录规则》《纸质档案数字化规范》等相关标准规范、数据清洗常见错误等。 3、中标方提交的数据格式须符合采购方相关标准要求。 4、中标方对提交的数据质量终身负责。 5、日常工作中进入加工场地不得携带有存储、照相、摄像功能的设备。 6、中标方工作人员在计算机上升级、安装软件时需要携带存储设备进场的需经采购方工作人员批准，并在采购方工作人员陪同下完成软件的升级、安装工作。 7、中标方须有档案安全制度、保密管理制度、加工场所管理制度、人员管理制度等。 8、中标方人员必须保持工作场所的整洁有序，工作场所内不能饮食，场所外饮食后产生的垃圾要立即清走。 9、中标方未按项目进度执行完毕，省财政厅收回项目资金，造成的后果由中标方承担。</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自合同签订之日起至2024年11月12日止，含培训期。</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（一）数据抽检 甲方以抽检的方式检查乙方提交的所有数据，包括目录数据、图像文件及数据挂接的总体质量。 （二）验收指标 能够采用计算机自动检验的项目应采用计算机自动检验的方式进行100%检验，检验合格率应为100%。对于无法用计算机自动检验的项目，进行人工抽检，合格率应大于95%，对于数据库条目与数字图像内容对应的准确性，合格率应为100%。 1.目录数据库与图像文件挂接错误，或目录数据库、图像文件之一出现不完整、不清晰、有错误等质量问题时，抽检标记为“不合格”。 2.对乙方提交的合格数据，甲方质检人员进行抽检，合格率不得低于95%（含95%），否则需整批次退回乙方，重新审验提交；如二次出现合格率不达标情况，甲方有权要求乙方支付一定金额的违约金（合同总额的0.5%-10%）。 （三）验收审核 乙方验收“合格”的结论，必须经甲方验收人员审核、签字后方有效。 （四）验收登记 乙方应认真填写验收登记表单，在项目完成时交甲方留存。</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 xml:space="preserve">合同生效后，同时乙方向甲方提供与付款金额相等的增值税普通发票 </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乙方完成经甲方验收合格的总工作量60%，同时乙方向甲方提供与付款金额相等的增值税普通发票</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项目所有内容分完工并经甲方验收合格后，同时乙方向甲方提供与付款金额相等的增值税普通发票</w:t>
      </w:r>
      <w:r>
        <w:rPr/>
        <w:t xml:space="preserve"> ，达到付款条件起 </w:t>
      </w:r>
      <w:r>
        <w:rPr/>
        <w:t>15</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一、违约责任 1.依据《中华人民共和国民法典》《中华人民共和国政府采购法》的相关条款和本合同约定，乙方未全面履行合同义务或者发生违约，甲方有权单方面解除合同，且乙方应承担相应的违约责任，并赔偿由此给甲方造成的全部经济损失（包括直接损失及间接损失）。除本合同另有约定外，乙方承担违约责任的金额为本合同总金额的20%。 2.甲乙双方必须遵守本合同并执行合同中的各项规定，保证本合同的正常履行。任何一方均不得无故擅自单方解除合同，否则，违约方应向守约方赔偿合同总金额20%的违约金。 3.如因乙方未适当履行本合同义务，或乙方/其工作人员在履行职务过程中的疏忽、失职、过错等故意或者过失原因给甲方造成损失或侵害，包括但不限于甲方本身的任何损失、由此而导致的甲方对任何第三方的法律责任等，乙方对此均应承担全部的赔偿责任。 4.甲方保留因乙方对本次加工的数据泄露、丢失、损坏造成损失追究其民事、行政及刑事责任的权利；同时乙方不得以任何方式把本次加工的数据信息做其它用途，否则，由此给甲方造成的后果及全部损失由乙方负责并予以赔偿。 5.因乙方原因未能在本合同约定工作期限内完成服务项目，则乙方应自逾期之日起每周按合同总价款的百分之零点五（0.5%）支付延期赔偿金，如乙方累计逾期达30日，甲方有权单方解除合同，并要求乙方支付合同总价款20%的违约金，同时乙方向甲方支付延期赔偿金的责任不予免除。 6.乙方擅自将本项目转包、分包给任意第三人，甲方有权单方解除合同，并有权要求乙方支付合同总金额30%的违约金，同时乙方应当向甲方赔偿由此所造成的全部损失。 7.乙方在签订合同时应成立项目组，按投标书人员配备部分的承诺指定项目经理及技术骨干，乙方在项目实施期间不得擅自撤出工作设备、更换现场工作人员，乙方发生上述行为如无法提出合理解释或拒不改正，甲方有权单方解除合同，并有权要求乙方按照合同总价款的20%向甲方支付违约金。（若确需人员调整，须甲、乙双方协商并经甲方书面认可后，乙方方可更换人员。） 8.本合同提前解除或终止的，双方按照甲方验收合格的实际工作量依据第一条约定的核算方式进行结算，多退少补。多出部分合同款项乙方应在双方完成结算确认后3个工作日内一次性退还，如逾期退还的，按照全国银行间同业拆借中心公布的一年前贷款市场报价利率的四倍支付利息。 二、 合同争议的解决 合同执行中发生争议的，双方应协商解决，协商达不成一致时，任何一方可向西安仲裁委员会提请仲裁。</w:t>
      </w:r>
    </w:p>
    <w:p>
      <w:pPr>
        <w:pStyle w:val="null3"/>
        <w:outlineLvl w:val="2"/>
      </w:pPr>
      <w:r>
        <w:rPr>
          <w:b/>
          <w:sz w:val="28"/>
        </w:rPr>
        <w:t>3.4其他要求</w:t>
      </w:r>
    </w:p>
    <w:p>
      <w:pPr>
        <w:pStyle w:val="null3"/>
      </w:pPr>
      <w:r>
        <w:rPr/>
        <w:t>一、加工单价及计价方法 1、加工单价： 目录清洗单价（元/条）： 限价≦0.5（元/条） 注：（1）按目录清洗条数计算，原文清洗和挂接审核不单独计算单价，合并在目录单价中。 （2）本报价已包含管理费及税金。 2、计价方法：根据实际清洗的目录数量乘以单价计算实际服务费用，总价不超过132万元。 3、数据清洗的目录数量按照审核数量计算，非必须修改目录。 二、项目文件移交（一式两套） 中标方对数据清洗工作过程中形成的材料进行规范整理并检查，形成归档文件清单，与数据清洗结果一并提交验收。 三、工作流程 1.任务分配：根据数据清洗计划及进度填写任务分配单，从信息技术处调取需要清洗的数据内容。 2.目录清洗：档案目录分为案卷级和文件级，按照著录规则仔细审核目录，发现错误进行修改并做好详细记录。 3.原文清洗：对原文图像一一检查，发现图片不符合要求需要进行修正并做好详细记录，如需补扫按流程调归卷进行扫描，扫描后重新上传挂接。 4.挂接审核：对挂接好的目录和图像进行检查，仔细检查目录与原文是否匹配，确保数据准确性，对无原文的目录详细记录，如需补扫按流程调归卷，扫描后正确挂接。 5.质量检查：对清洗过的目录和图像进行检查，确保数据准确性。 6.项目文件移交：数据验收完成后，移交全过程项目文件材料。 四、技术标准及规范性文件 1.DA/T 18 《档案著录规则》 2.DA/T 17.1-95 《革命历史档案著录细则》 3.DA/T 17.2-95 《革命历史资料著录细则》 4.DA/T 20.1-1999 《民国档案目录中心数据采集标准 民国档案著录细则》 5.DA/T 31-2017 《纸质档案数字化规范》 6.DA/T 68.2-2020 《档案服务外包工作规范 第2部分：档案数字化服务》 7.《档案数字化外包安全管理规范》（档办发〔2014〕7 号） 8.《陕西省文书档案目录数据交换格式与著录项目细则的暂行规定》（陕档联发[2004]5号） 9.《陕西省档案馆档案数字化操作办法》 10.陕档局发［2022］29号（陕西省档案局关于印发《纸质档案数字化加工需要注意的事项》的通知）。</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供应商提供开标前六个月内任意一个月的税收缴纳凭证或完税证明；依法免税单位的应提供相关文件证明；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供应商提供开标前六个月内任意一个月已缴纳的社会保障资金缴存单据或社保机构开具的社会保险参保缴费情况证明；依法不需要缴纳社会保障资金的应提供相关文件证明；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企业资质</w:t>
            </w:r>
          </w:p>
        </w:tc>
        <w:tc>
          <w:tcPr>
            <w:tcW w:type="dxa" w:w="3322"/>
          </w:tcPr>
          <w:p>
            <w:pPr>
              <w:pStyle w:val="null3"/>
            </w:pPr>
            <w:r>
              <w:rPr/>
              <w:t>供应商具备国家保密局颁发的国家秘密载体印刷资质&lt;资质类别为涉密档案数字化加工&gt;（甲级）。</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非联合体不分包投标声明</w:t>
            </w:r>
          </w:p>
        </w:tc>
        <w:tc>
          <w:tcPr>
            <w:tcW w:type="dxa" w:w="3322"/>
          </w:tcPr>
          <w:p>
            <w:pPr>
              <w:pStyle w:val="null3"/>
            </w:pPr>
            <w:r>
              <w:rPr/>
              <w:t>本项目不接受联合体响应，不允许分包。供应商提供《非联合体不分包投标声明》，视为独立响应，不分包。</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详细报价单 报价表</w:t>
            </w:r>
          </w:p>
        </w:tc>
      </w:tr>
      <w:tr>
        <w:tc>
          <w:tcPr>
            <w:tcW w:type="dxa" w:w="831"/>
          </w:tcPr>
          <w:p>
            <w:pPr>
              <w:pStyle w:val="null3"/>
            </w:pPr>
            <w:r>
              <w:rPr/>
              <w:t>2</w:t>
            </w:r>
          </w:p>
        </w:tc>
        <w:tc>
          <w:tcPr>
            <w:tcW w:type="dxa" w:w="2492"/>
          </w:tcPr>
          <w:p>
            <w:pPr>
              <w:pStyle w:val="null3"/>
            </w:pPr>
            <w:r>
              <w:rPr/>
              <w:t>磋商响应文件签署盖章</w:t>
            </w:r>
          </w:p>
        </w:tc>
        <w:tc>
          <w:tcPr>
            <w:tcW w:type="dxa" w:w="3322"/>
          </w:tcPr>
          <w:p>
            <w:pPr>
              <w:pStyle w:val="null3"/>
            </w:pPr>
            <w:r>
              <w:rPr/>
              <w:t>签字、盖章有效，字迹是否清晰可辨，编写格式符合竞争性磋商文件要求；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详细报价单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同时满足以下条款： （1）磋商报价符合唯一性要求； （2）首次磋商报价表填写符合要求； （3）报价货币符合竞争性磋商文件要求； （4）未超出采购预算或竞争性磋商文件规定的最高限价；</w:t>
            </w:r>
          </w:p>
        </w:tc>
        <w:tc>
          <w:tcPr>
            <w:tcW w:type="dxa" w:w="1661"/>
          </w:tcPr>
          <w:p>
            <w:pPr>
              <w:pStyle w:val="null3"/>
            </w:pPr>
            <w:r>
              <w:rPr/>
              <w:t>标的清单 报价表 详细报价单</w:t>
            </w:r>
          </w:p>
        </w:tc>
      </w:tr>
      <w:tr>
        <w:tc>
          <w:tcPr>
            <w:tcW w:type="dxa" w:w="831"/>
          </w:tcPr>
          <w:p>
            <w:pPr>
              <w:pStyle w:val="null3"/>
            </w:pPr>
            <w:r>
              <w:rPr/>
              <w:t>4</w:t>
            </w:r>
          </w:p>
        </w:tc>
        <w:tc>
          <w:tcPr>
            <w:tcW w:type="dxa" w:w="2492"/>
          </w:tcPr>
          <w:p>
            <w:pPr>
              <w:pStyle w:val="null3"/>
            </w:pPr>
            <w:r>
              <w:rPr/>
              <w:t>磋商响应文件有效期</w:t>
            </w:r>
          </w:p>
        </w:tc>
        <w:tc>
          <w:tcPr>
            <w:tcW w:type="dxa" w:w="3322"/>
          </w:tcPr>
          <w:p>
            <w:pPr>
              <w:pStyle w:val="null3"/>
            </w:pPr>
            <w:r>
              <w:rPr/>
              <w:t>磋商有效期满足竞争性磋商文件的要求；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付款条款</w:t>
            </w:r>
          </w:p>
        </w:tc>
        <w:tc>
          <w:tcPr>
            <w:tcW w:type="dxa" w:w="3322"/>
          </w:tcPr>
          <w:p>
            <w:pPr>
              <w:pStyle w:val="null3"/>
            </w:pPr>
            <w:r>
              <w:rPr/>
              <w:t>完全理解并接受竞争性磋商文件付款条款的要求。</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供应商提供的项目实施方案、工作流程（包含但不限于任务分配、目录清洗、原文清洗、挂接审核、质量检查、数据验收、项目文件移交等）的全面性、完整性、科学性，以及对馆藏数字化档案数据清洗重点、难点分析、处置办法、针对本项目的合理化建议等方面，由评委进行综合评定。 实施方案全面，合理化建议切实可行，符合项目实际需求，可行性性强，得(10-15]分； 实施方案和合理化建议一般，基本符合项目实际需求，可行性一般，得(5-10]分； 实施方案较差，得[0-5]分。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结合采购需求及要求，供应商结合自身情况提供详尽、周密的安全保密措施，根据方案对档案实体、电子数据、人员管理、现场管理的保密措施的全面性、有效性、可靠性和切实可行性等方面由评委进行综合评定。 保密措施详尽、周密、可行性较强，得(2-5]分； 保密措施可行性一般，得[0-2]分。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设备情况</w:t>
            </w:r>
          </w:p>
        </w:tc>
        <w:tc>
          <w:tcPr>
            <w:tcW w:type="dxa" w:w="2492"/>
          </w:tcPr>
          <w:p>
            <w:pPr>
              <w:pStyle w:val="null3"/>
            </w:pPr>
            <w:r>
              <w:rPr/>
              <w:t>供应商提供的馆藏数字化档案数据清洗专业软硬件设备设施（提供包含设备品牌、型号、功能等内容的设备清单），由评委进行综合评定。 设备先进，性能稳定，满足项目实际需求，得(2-4]分； 基本符合项目实际需求，得[0-2]分。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一、（4分） 供应商拟派本项目的项目经理具有专科及以上学历，且具有3年及以上档案部门档案数字化管理工作经验，提供学历、工作经历等证明文件，同时具备国家综合档案馆档案数字化管理工作经验的最高得3分，具有其它档案部门档案数字化管理工作经验的最高得2分，由评委进行综合评定得0-3分。 具有相应的服务项目管理证书或具有助理馆员及以上证书的得1分。 注：提供加盖公章的相关证明资料复印件（包括但不限于业绩合同等），无证明资料不得分。且需提供与拟派人员名字一致的供应商社保缴纳证明，否则不得分。 二、（15分） 1、供应商固定在职人员，有专科或以上学历，且具有档案部门从事过1年以上（含1年）数字化加工工作经验，提供学历、工作经历等证明文件。 同时具备国家综合档案馆数字化加工工作经验的，按“1分/10人”的标准进行打分，具有其它档案部门数字化加工工作经验的，按“0.5分/10人”的标准进行打分，本项最高5分。 2、供应商拟派本项目的技术骨干，具有中文、历史、档案、图书馆学等相关文科专业大专以上学历，且具有档案部门从事过1年以上（含1年）档案数字化著录岗工作经验，提供学历、工作经历等证明文件。 同时具备国家综合档案馆档案数字化著录岗工作经验的，按“0.5分/1人”的标准进行打分，具有其它档案部门档案数字化著录岗工作经验的，按“0.25分/1人”的标准进行打分，本项最高8分。 3、供应商拟派本项目的质检人员，具有中文、历史、档案、图书馆学等相关文科专业大专以上学历，且具有档案部门从事过2年以上（含2年）档案数字化著录岗工作经验，提供学历、工作经历等证明文件。 同时具备国家综合档案馆档案数字化著录岗工作经验的，按“0.5分/1人”的标准进行打分，具有其它档案部门档案数字化著录岗工作经验的，按“0.25分/1人”的标准进行打分，本项最高2分。 注：提供以上人员加盖公章的相关证明资料复印件（包括但不限于学历、执业、技术、职称等证书及业绩合同等），无证明资料不得分。且需提供与拟派人员名字一致的供应商社保缴纳证明，否则不得分。</w:t>
            </w:r>
          </w:p>
        </w:tc>
        <w:tc>
          <w:tcPr>
            <w:tcW w:type="dxa" w:w="831"/>
          </w:tcPr>
          <w:p>
            <w:pPr>
              <w:pStyle w:val="null3"/>
              <w:jc w:val="right"/>
            </w:pPr>
            <w:r>
              <w:rPr/>
              <w:t>19.00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进度安排</w:t>
            </w:r>
          </w:p>
        </w:tc>
        <w:tc>
          <w:tcPr>
            <w:tcW w:type="dxa" w:w="2492"/>
          </w:tcPr>
          <w:p>
            <w:pPr>
              <w:pStyle w:val="null3"/>
            </w:pPr>
            <w:r>
              <w:rPr/>
              <w:t>根据供应商对本项目进度安排的合理性、可行性、保障进度问题的控制措施（包括项目进度滞后违约责任承诺及具体经济赔偿方案等具体内容）等方面由评委进行综合评定。 方案可行，符合项目实际及需求，得(3-6]分； 方案基本可行，基本符合项目实际需求，得[0-3]分。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根据供应商对本项目制定的培训方案的合理性、可行性（包括项目培训人员、培训次数、培训内容、对数字化档案数据清洗的理解等内容）等方面由评委进行综合评定。 方案合理、可行，符合项目实际及需求，得(3-6]分； 方案基本合理、可行，基本符合项目实际需求，得[0-3]分。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1.供应商提供的技术方案中包含切实可行的全过程质量控制体系及措施(包括针对本项目所提出的质量违约责任承诺及具体经济赔偿方案等具体内容)。在馆藏数字化档案数据清洗全过程采取有效的管理措施和技术手段来保障任务分配、目录清洗、原文清洗、挂接审核、数据质检、数据验收（数据清洗成果验收）、项目文件移交等环节的质量和效率，由评委进行综合评定。 方案内容完整科学，措施完整合理，违约责任及赔偿方案清晰可行，项目难点监控、组织协调符合项目实际及需求，可操作性强，得(5-10]分； 方案内容措施完整，违约责任及赔偿方案一般，基本符合项目实际需求，得[0-5]分。 2. 供应商具备ISO 9001质量管理体系认证证书、ISO 27001信息安全管理体系认证证书、ISO 20000信息技术服务管理体系认证证书等，适用范围包括数据处理或数字化服务，提供1项得1分，最高得3分。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根据供应商针对本项目实施过程中可能出现的问题提供的应急预案及措施等内容，由评委进行综合评定。 具有完善的相关措施，完全能够保证项目的顺利实施，得(3-4]分； 具有较为完善相关措施，能够保证项目的实施，得(1-3]分； 没有或相关措施不完善不能保证项目实施，得[0-1]分。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同类业绩</w:t>
            </w:r>
          </w:p>
        </w:tc>
        <w:tc>
          <w:tcPr>
            <w:tcW w:type="dxa" w:w="2492"/>
          </w:tcPr>
          <w:p>
            <w:pPr>
              <w:pStyle w:val="null3"/>
            </w:pPr>
            <w:r>
              <w:rPr/>
              <w:t>提供2021年3月至开标前档案数字化加工同类项目业绩： 省级及以上国家综合档案馆的同类业绩一份得2分；省级以下国家综合档案馆的同类业绩一份得1分；图书馆及其他档案部门的同类业绩一份得0.5分，最高得8分。 注：须提供合同或中标通知书加盖公章的复印件证明资料附于投标文件中，否则不得分。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1.供应商从服务内容、服务质量、服务响应方式及响应时间等方面提供详细完整的服务承诺，由评委进行综合评定。 服务承诺内容完整科学，符合项目实际及需求，得(2-5]分； 服务承诺内容完整，基本符合项目实际需求，得[0-2]分。 2.供应商提供详细的售后服务方案（在项目所在地有售后服务能力，能满足采购人后续售后服务需求的人员和技术支持，在质保期内对于所需处理的问题及其他可能发生的状况有技术和人员保障），由评委进行综合评定。 售后服务方案科学完整，服务措施到位，符合项目实际和需求，得(1-3]分； 售后服务方案内容完整，服务措施一般，基本符合项目实际需求，得[0-1]分。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售后服务能力</w:t>
            </w:r>
          </w:p>
        </w:tc>
        <w:tc>
          <w:tcPr>
            <w:tcW w:type="dxa" w:w="2492"/>
          </w:tcPr>
          <w:p>
            <w:pPr>
              <w:pStyle w:val="null3"/>
            </w:pPr>
            <w:r>
              <w:rPr/>
              <w:t>供应商通过《商品售后服务评价体系》（GB/T 27922-2011）认证，认证范围包含数据录入、档案数字化加工、数据核对（质检、校对）等，具备五星级售后服务的得2分；具备四星级售后服务的得1分；具备三星级和达标级售后服务的得0.5分；评价为不合格的或者未评价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评分方法：P=10×Pmin/Pn 其中：Pmin：合格投标人投标报价（目录清洗单价）中的最低价。 Pn：第n个投标人的投标报价（目录清洗单价）。 计算分数时四舍五入取小数点后两位。 符合招标文件规定的小微企业给予10％的价格扣除，监狱企业、福利性单位视同小微企业，用扣除后的价格参与评审。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详细报价单</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详见附件：详细报价单</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