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95" w:rsidRDefault="00915795" w:rsidP="00915795">
      <w:pPr>
        <w:pStyle w:val="null3"/>
        <w:jc w:val="center"/>
        <w:outlineLvl w:val="1"/>
        <w:rPr>
          <w:rFonts w:hint="default"/>
        </w:rPr>
      </w:pPr>
      <w:r>
        <w:rPr>
          <w:b/>
          <w:sz w:val="36"/>
        </w:rPr>
        <w:t>招标项目技术、服务、商务及其他要求</w:t>
      </w:r>
    </w:p>
    <w:p w:rsidR="00915795" w:rsidRDefault="00915795" w:rsidP="00915795">
      <w:pPr>
        <w:pStyle w:val="null3"/>
        <w:ind w:firstLine="480"/>
        <w:rPr>
          <w:rFonts w:hint="default"/>
        </w:rPr>
      </w:pPr>
      <w:r>
        <w:t xml:space="preserve"> </w:t>
      </w:r>
    </w:p>
    <w:p w:rsidR="00915795" w:rsidRDefault="00915795" w:rsidP="00915795">
      <w:pPr>
        <w:pStyle w:val="null3"/>
        <w:outlineLvl w:val="2"/>
        <w:rPr>
          <w:rFonts w:hint="default"/>
        </w:rPr>
      </w:pPr>
      <w:r>
        <w:rPr>
          <w:b/>
          <w:sz w:val="28"/>
        </w:rPr>
        <w:t>3.1</w:t>
      </w:r>
      <w:r>
        <w:rPr>
          <w:b/>
          <w:sz w:val="28"/>
        </w:rPr>
        <w:t>采购项目概况</w:t>
      </w:r>
    </w:p>
    <w:p w:rsidR="00915795" w:rsidRDefault="00915795" w:rsidP="00915795">
      <w:pPr>
        <w:pStyle w:val="null3"/>
        <w:ind w:firstLine="480"/>
        <w:rPr>
          <w:rFonts w:hint="default"/>
        </w:rPr>
      </w:pPr>
      <w:r>
        <w:t>本项目通过疏伐</w:t>
      </w:r>
      <w:r>
        <w:t>+</w:t>
      </w:r>
      <w:r>
        <w:t>修枝、透光伐</w:t>
      </w:r>
      <w:r>
        <w:t>+</w:t>
      </w:r>
      <w:r>
        <w:t>割灌除草、修枝</w:t>
      </w:r>
      <w:r>
        <w:t>+</w:t>
      </w:r>
      <w:r>
        <w:t>割灌除草、补植</w:t>
      </w:r>
      <w:r>
        <w:t>+</w:t>
      </w:r>
      <w:r>
        <w:t>割灌除草等综合措施</w:t>
      </w:r>
      <w:r>
        <w:t>,</w:t>
      </w:r>
      <w:r>
        <w:t>开展系统修复</w:t>
      </w:r>
      <w:r>
        <w:t>,</w:t>
      </w:r>
      <w:r>
        <w:t>加快正向演替</w:t>
      </w:r>
      <w:r>
        <w:t>,</w:t>
      </w:r>
      <w:r>
        <w:t>提升森林生态功能。修复面积约</w:t>
      </w:r>
      <w:r>
        <w:t>3100</w:t>
      </w:r>
      <w:r>
        <w:t>亩。</w:t>
      </w:r>
      <w:r>
        <w:t>;</w:t>
      </w:r>
      <w:r>
        <w:t>主要功能或目标</w:t>
      </w:r>
      <w:r>
        <w:t>:</w:t>
      </w:r>
      <w:r>
        <w:t>森林修复</w:t>
      </w:r>
      <w:r>
        <w:t>;</w:t>
      </w:r>
      <w:r>
        <w:t>需满足的要求</w:t>
      </w:r>
      <w:r>
        <w:t>:</w:t>
      </w:r>
      <w:r>
        <w:t>满足采购人需求。</w:t>
      </w:r>
    </w:p>
    <w:p w:rsidR="00915795" w:rsidRDefault="00915795" w:rsidP="00915795">
      <w:pPr>
        <w:pStyle w:val="null3"/>
        <w:outlineLvl w:val="2"/>
        <w:rPr>
          <w:rFonts w:hint="default"/>
        </w:rPr>
      </w:pPr>
      <w:r>
        <w:rPr>
          <w:b/>
          <w:sz w:val="28"/>
        </w:rPr>
        <w:t>3.2</w:t>
      </w:r>
      <w:r>
        <w:rPr>
          <w:b/>
          <w:sz w:val="28"/>
        </w:rPr>
        <w:t>服务内容及服务要求</w:t>
      </w:r>
      <w:bookmarkStart w:id="0" w:name="_GoBack"/>
      <w:bookmarkEnd w:id="0"/>
    </w:p>
    <w:p w:rsidR="00915795" w:rsidRDefault="00915795" w:rsidP="00915795">
      <w:pPr>
        <w:pStyle w:val="null3"/>
        <w:outlineLvl w:val="3"/>
        <w:rPr>
          <w:rFonts w:hint="default"/>
        </w:rPr>
      </w:pPr>
      <w:r>
        <w:rPr>
          <w:b/>
          <w:sz w:val="24"/>
        </w:rPr>
        <w:t>3.2.1</w:t>
      </w:r>
      <w:r>
        <w:rPr>
          <w:b/>
          <w:sz w:val="24"/>
        </w:rPr>
        <w:t>服务内容</w:t>
      </w:r>
    </w:p>
    <w:p w:rsidR="00915795" w:rsidRDefault="00915795" w:rsidP="0091579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915795" w:rsidRDefault="00915795" w:rsidP="00915795">
      <w:pPr>
        <w:pStyle w:val="null3"/>
        <w:rPr>
          <w:rFonts w:hint="default"/>
        </w:rPr>
      </w:pPr>
      <w:r>
        <w:t>采购包预算金额（元）</w:t>
      </w:r>
      <w:r>
        <w:t>: 620,000.00</w:t>
      </w:r>
    </w:p>
    <w:p w:rsidR="00915795" w:rsidRDefault="00915795" w:rsidP="00915795">
      <w:pPr>
        <w:pStyle w:val="null3"/>
        <w:rPr>
          <w:rFonts w:hint="default"/>
        </w:rPr>
      </w:pPr>
      <w:r>
        <w:t>采购包最高限价（元）</w:t>
      </w:r>
      <w:r>
        <w:t>: 620,000.00</w:t>
      </w:r>
    </w:p>
    <w:p w:rsidR="00915795" w:rsidRDefault="00915795" w:rsidP="00915795">
      <w:pPr>
        <w:pStyle w:val="null3"/>
        <w:rPr>
          <w:rFonts w:hint="default"/>
        </w:rPr>
      </w:pPr>
      <w:r>
        <w:t>供应商报价不允许超过标的金额</w:t>
      </w:r>
    </w:p>
    <w:p w:rsidR="00915795" w:rsidRDefault="00915795" w:rsidP="00915795">
      <w:pPr>
        <w:pStyle w:val="null3"/>
        <w:rPr>
          <w:rFonts w:hint="default"/>
        </w:rPr>
      </w:pPr>
      <w:r>
        <w:t>（招单价的）供应商报价不允许超过标的单价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825"/>
        <w:gridCol w:w="824"/>
        <w:gridCol w:w="1128"/>
        <w:gridCol w:w="820"/>
        <w:gridCol w:w="825"/>
        <w:gridCol w:w="820"/>
        <w:gridCol w:w="820"/>
        <w:gridCol w:w="820"/>
        <w:gridCol w:w="820"/>
      </w:tblGrid>
      <w:tr w:rsidR="00915795" w:rsidTr="00EA09AC">
        <w:tc>
          <w:tcPr>
            <w:tcW w:w="831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序号</w:t>
            </w:r>
          </w:p>
        </w:tc>
        <w:tc>
          <w:tcPr>
            <w:tcW w:w="831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标的名称</w:t>
            </w:r>
          </w:p>
        </w:tc>
        <w:tc>
          <w:tcPr>
            <w:tcW w:w="831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数量</w:t>
            </w:r>
          </w:p>
        </w:tc>
        <w:tc>
          <w:tcPr>
            <w:tcW w:w="831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标的金额</w:t>
            </w:r>
            <w:r>
              <w:t xml:space="preserve"> </w:t>
            </w:r>
            <w:r>
              <w:t>（元）</w:t>
            </w:r>
          </w:p>
        </w:tc>
        <w:tc>
          <w:tcPr>
            <w:tcW w:w="831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计量单位</w:t>
            </w:r>
          </w:p>
        </w:tc>
        <w:tc>
          <w:tcPr>
            <w:tcW w:w="831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所属行业</w:t>
            </w:r>
          </w:p>
        </w:tc>
        <w:tc>
          <w:tcPr>
            <w:tcW w:w="831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是否核心产品</w:t>
            </w:r>
          </w:p>
        </w:tc>
        <w:tc>
          <w:tcPr>
            <w:tcW w:w="831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是否允许进口产品</w:t>
            </w:r>
          </w:p>
        </w:tc>
        <w:tc>
          <w:tcPr>
            <w:tcW w:w="831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是否属于节能产品</w:t>
            </w:r>
          </w:p>
        </w:tc>
        <w:tc>
          <w:tcPr>
            <w:tcW w:w="831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是否属于环境标志产品</w:t>
            </w:r>
          </w:p>
        </w:tc>
      </w:tr>
      <w:tr w:rsidR="00915795" w:rsidTr="00EA09AC">
        <w:tc>
          <w:tcPr>
            <w:tcW w:w="831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1</w:t>
            </w:r>
          </w:p>
        </w:tc>
        <w:tc>
          <w:tcPr>
            <w:tcW w:w="831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2024</w:t>
            </w:r>
            <w:r>
              <w:t>年森林修复项目</w:t>
            </w:r>
          </w:p>
        </w:tc>
        <w:tc>
          <w:tcPr>
            <w:tcW w:w="831" w:type="dxa"/>
          </w:tcPr>
          <w:p w:rsidR="00915795" w:rsidRDefault="00915795" w:rsidP="00EA09AC">
            <w:pPr>
              <w:pStyle w:val="null3"/>
              <w:jc w:val="right"/>
              <w:rPr>
                <w:rFonts w:hint="default"/>
              </w:rPr>
            </w:pPr>
            <w:r>
              <w:t>1.00</w:t>
            </w:r>
          </w:p>
        </w:tc>
        <w:tc>
          <w:tcPr>
            <w:tcW w:w="831" w:type="dxa"/>
          </w:tcPr>
          <w:p w:rsidR="00915795" w:rsidRDefault="00915795" w:rsidP="00EA09AC">
            <w:pPr>
              <w:pStyle w:val="null3"/>
              <w:jc w:val="right"/>
              <w:rPr>
                <w:rFonts w:hint="default"/>
              </w:rPr>
            </w:pPr>
            <w:r>
              <w:t>620,000.00</w:t>
            </w:r>
          </w:p>
        </w:tc>
        <w:tc>
          <w:tcPr>
            <w:tcW w:w="831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项</w:t>
            </w:r>
          </w:p>
        </w:tc>
        <w:tc>
          <w:tcPr>
            <w:tcW w:w="831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农、林、牧、渔业</w:t>
            </w:r>
          </w:p>
        </w:tc>
        <w:tc>
          <w:tcPr>
            <w:tcW w:w="831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否</w:t>
            </w:r>
          </w:p>
        </w:tc>
        <w:tc>
          <w:tcPr>
            <w:tcW w:w="831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否</w:t>
            </w:r>
          </w:p>
        </w:tc>
        <w:tc>
          <w:tcPr>
            <w:tcW w:w="831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否</w:t>
            </w:r>
          </w:p>
        </w:tc>
        <w:tc>
          <w:tcPr>
            <w:tcW w:w="831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否</w:t>
            </w:r>
          </w:p>
        </w:tc>
      </w:tr>
    </w:tbl>
    <w:p w:rsidR="00915795" w:rsidRDefault="00915795" w:rsidP="00915795">
      <w:pPr>
        <w:pStyle w:val="null3"/>
        <w:outlineLvl w:val="3"/>
        <w:rPr>
          <w:rFonts w:hint="default"/>
        </w:rPr>
      </w:pPr>
      <w:r>
        <w:rPr>
          <w:b/>
          <w:sz w:val="24"/>
        </w:rPr>
        <w:t>3.2.2</w:t>
      </w:r>
      <w:r>
        <w:rPr>
          <w:b/>
          <w:sz w:val="24"/>
        </w:rPr>
        <w:t>服务要求</w:t>
      </w:r>
    </w:p>
    <w:p w:rsidR="00915795" w:rsidRDefault="00915795" w:rsidP="0091579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915795" w:rsidRDefault="00915795" w:rsidP="00915795">
      <w:pPr>
        <w:pStyle w:val="null3"/>
        <w:rPr>
          <w:rFonts w:hint="default"/>
        </w:rPr>
      </w:pPr>
      <w:r>
        <w:t>供应商报价不允许超过标的金额</w:t>
      </w:r>
    </w:p>
    <w:p w:rsidR="00915795" w:rsidRDefault="00915795" w:rsidP="00915795">
      <w:pPr>
        <w:pStyle w:val="null3"/>
        <w:rPr>
          <w:rFonts w:hint="default"/>
        </w:rPr>
      </w:pPr>
      <w:r>
        <w:t>（招单价的）供应商报价不允许超过标的单价</w:t>
      </w:r>
    </w:p>
    <w:p w:rsidR="00915795" w:rsidRDefault="00915795" w:rsidP="00915795">
      <w:pPr>
        <w:pStyle w:val="null3"/>
        <w:rPr>
          <w:rFonts w:hint="default"/>
        </w:rPr>
      </w:pPr>
      <w:r>
        <w:t>标的名称：</w:t>
      </w:r>
      <w:r>
        <w:t>2024</w:t>
      </w:r>
      <w:r>
        <w:t>年森林修复项目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198"/>
        <w:gridCol w:w="2198"/>
        <w:gridCol w:w="4126"/>
      </w:tblGrid>
      <w:tr w:rsidR="00915795" w:rsidTr="00EA09AC">
        <w:tc>
          <w:tcPr>
            <w:tcW w:w="2769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 xml:space="preserve"> </w:t>
            </w:r>
            <w:r>
              <w:t>参数性质</w:t>
            </w:r>
          </w:p>
        </w:tc>
        <w:tc>
          <w:tcPr>
            <w:tcW w:w="2769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 xml:space="preserve"> </w:t>
            </w:r>
            <w:r>
              <w:t>序号</w:t>
            </w:r>
          </w:p>
        </w:tc>
        <w:tc>
          <w:tcPr>
            <w:tcW w:w="2769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 xml:space="preserve"> </w:t>
            </w:r>
            <w:r>
              <w:t>技术参数与性能指标</w:t>
            </w:r>
          </w:p>
        </w:tc>
      </w:tr>
      <w:tr w:rsidR="00915795" w:rsidTr="00EA09AC">
        <w:tc>
          <w:tcPr>
            <w:tcW w:w="2769" w:type="dxa"/>
          </w:tcPr>
          <w:p w:rsidR="00915795" w:rsidRDefault="00915795" w:rsidP="00EA09AC"/>
        </w:tc>
        <w:tc>
          <w:tcPr>
            <w:tcW w:w="2769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1</w:t>
            </w:r>
          </w:p>
        </w:tc>
        <w:tc>
          <w:tcPr>
            <w:tcW w:w="2769" w:type="dxa"/>
          </w:tcPr>
          <w:p w:rsidR="00915795" w:rsidRDefault="00915795" w:rsidP="00EA09AC">
            <w:pPr>
              <w:pStyle w:val="null3"/>
              <w:rPr>
                <w:rFonts w:hint="default"/>
              </w:rPr>
            </w:pPr>
            <w:r>
              <w:t>根据公益林中等干扰程度以上、难以自然恢复的森林，通过疏伐</w:t>
            </w:r>
            <w:r>
              <w:t>+</w:t>
            </w:r>
            <w:r>
              <w:t>修枝、透光伐</w:t>
            </w:r>
            <w:r>
              <w:t>+</w:t>
            </w:r>
            <w:r>
              <w:t>割灌除草、修枝</w:t>
            </w:r>
            <w:r>
              <w:t>+</w:t>
            </w:r>
            <w:r>
              <w:t>割灌除草、补植</w:t>
            </w:r>
            <w:r>
              <w:t>+</w:t>
            </w:r>
            <w:r>
              <w:t>割灌除草等综合措施，开展系统修复，加快正向演替，提升森林生态功能。</w:t>
            </w:r>
          </w:p>
          <w:tbl>
            <w:tblPr>
              <w:tblW w:w="0" w:type="auto"/>
              <w:tblInd w:w="90" w:type="dxa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930"/>
              <w:gridCol w:w="930"/>
              <w:gridCol w:w="1050"/>
            </w:tblGrid>
            <w:tr w:rsidR="00915795" w:rsidTr="00EA09AC">
              <w:tc>
                <w:tcPr>
                  <w:tcW w:w="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序号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综合措施</w:t>
                  </w:r>
                </w:p>
              </w:tc>
              <w:tc>
                <w:tcPr>
                  <w:tcW w:w="345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面积（亩）</w:t>
                  </w:r>
                </w:p>
              </w:tc>
              <w:tc>
                <w:tcPr>
                  <w:tcW w:w="719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补植树种</w:t>
                  </w:r>
                </w:p>
              </w:tc>
              <w:tc>
                <w:tcPr>
                  <w:tcW w:w="544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规格</w:t>
                  </w:r>
                </w:p>
              </w:tc>
            </w:tr>
            <w:tr w:rsidR="00915795" w:rsidTr="00EA09AC">
              <w:tc>
                <w:tcPr>
                  <w:tcW w:w="261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686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疏伐</w:t>
                  </w:r>
                  <w:r>
                    <w:rPr>
                      <w:rFonts w:ascii="calibri, &quot;sans-serif&quot;" w:eastAsia="calibri, &quot;sans-serif&quot;" w:hAnsi="calibri, &quot;sans-serif&quot;" w:cs="calibri, &quot;sans-serif&quot;"/>
                      <w:color w:val="000000"/>
                      <w:sz w:val="24"/>
                    </w:rPr>
                    <w:t>+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修枝</w:t>
                  </w:r>
                </w:p>
              </w:tc>
              <w:tc>
                <w:tcPr>
                  <w:tcW w:w="3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900</w:t>
                  </w:r>
                </w:p>
              </w:tc>
              <w:tc>
                <w:tcPr>
                  <w:tcW w:w="71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54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/>
              </w:tc>
            </w:tr>
            <w:tr w:rsidR="00915795" w:rsidTr="00EA09AC">
              <w:tc>
                <w:tcPr>
                  <w:tcW w:w="261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686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透光伐</w:t>
                  </w:r>
                  <w:r>
                    <w:rPr>
                      <w:rFonts w:ascii="calibri, &quot;sans-serif&quot;" w:eastAsia="calibri, &quot;sans-serif&quot;" w:hAnsi="calibri, &quot;sans-serif&quot;" w:cs="calibri, &quot;sans-serif&quot;"/>
                      <w:color w:val="000000"/>
                      <w:sz w:val="24"/>
                    </w:rPr>
                    <w:t>+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割灌除草</w:t>
                  </w:r>
                </w:p>
              </w:tc>
              <w:tc>
                <w:tcPr>
                  <w:tcW w:w="3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1200</w:t>
                  </w:r>
                </w:p>
              </w:tc>
              <w:tc>
                <w:tcPr>
                  <w:tcW w:w="71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54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/>
              </w:tc>
            </w:tr>
            <w:tr w:rsidR="00915795" w:rsidTr="00EA09AC">
              <w:tc>
                <w:tcPr>
                  <w:tcW w:w="261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686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修枝</w:t>
                  </w:r>
                  <w:r>
                    <w:rPr>
                      <w:rFonts w:ascii="calibri, &quot;sans-serif&quot;" w:eastAsia="calibri, &quot;sans-serif&quot;" w:hAnsi="calibri, &quot;sans-serif&quot;" w:cs="calibri, &quot;sans-serif&quot;"/>
                      <w:color w:val="000000"/>
                      <w:sz w:val="24"/>
                    </w:rPr>
                    <w:t>+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割灌除草</w:t>
                  </w:r>
                </w:p>
              </w:tc>
              <w:tc>
                <w:tcPr>
                  <w:tcW w:w="3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600</w:t>
                  </w:r>
                </w:p>
              </w:tc>
              <w:tc>
                <w:tcPr>
                  <w:tcW w:w="71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54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/>
              </w:tc>
            </w:tr>
            <w:tr w:rsidR="00915795" w:rsidTr="00EA09AC">
              <w:tc>
                <w:tcPr>
                  <w:tcW w:w="261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686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补植</w:t>
                  </w:r>
                  <w:r>
                    <w:rPr>
                      <w:rFonts w:ascii="calibri, &quot;sans-serif&quot;" w:eastAsia="calibri, &quot;sans-serif&quot;" w:hAnsi="calibri, &quot;sans-serif&quot;" w:cs="calibri, &quot;sans-serif&quot;"/>
                      <w:color w:val="000000"/>
                      <w:sz w:val="24"/>
                    </w:rPr>
                    <w:t>+</w:t>
                  </w: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割灌除草</w:t>
                  </w:r>
                </w:p>
              </w:tc>
              <w:tc>
                <w:tcPr>
                  <w:tcW w:w="3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400</w:t>
                  </w:r>
                </w:p>
              </w:tc>
              <w:tc>
                <w:tcPr>
                  <w:tcW w:w="71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红豆杉（2000棵）</w:t>
                  </w:r>
                </w:p>
              </w:tc>
              <w:tc>
                <w:tcPr>
                  <w:tcW w:w="544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915795" w:rsidRDefault="00915795" w:rsidP="00EA09AC">
                  <w:pPr>
                    <w:pStyle w:val="null3"/>
                    <w:jc w:val="center"/>
                    <w:rPr>
                      <w:rFonts w:hint="default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H1-2M，土球30cm</w:t>
                  </w:r>
                </w:p>
              </w:tc>
            </w:tr>
          </w:tbl>
          <w:p w:rsidR="00915795" w:rsidRDefault="00915795" w:rsidP="00EA09AC"/>
        </w:tc>
      </w:tr>
    </w:tbl>
    <w:p w:rsidR="00915795" w:rsidRDefault="00915795" w:rsidP="00915795">
      <w:pPr>
        <w:pStyle w:val="null3"/>
        <w:outlineLvl w:val="3"/>
        <w:rPr>
          <w:rFonts w:hint="default"/>
        </w:rPr>
      </w:pPr>
      <w:r>
        <w:rPr>
          <w:b/>
          <w:sz w:val="24"/>
        </w:rPr>
        <w:lastRenderedPageBreak/>
        <w:t>3.2.3</w:t>
      </w:r>
      <w:r>
        <w:rPr>
          <w:b/>
          <w:sz w:val="24"/>
        </w:rPr>
        <w:t>人员配置要求</w:t>
      </w:r>
    </w:p>
    <w:p w:rsidR="00915795" w:rsidRDefault="00915795" w:rsidP="0091579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915795" w:rsidRDefault="00915795" w:rsidP="00915795">
      <w:pPr>
        <w:pStyle w:val="null3"/>
        <w:rPr>
          <w:rFonts w:hint="default"/>
        </w:rPr>
      </w:pPr>
      <w:r>
        <w:t>人员配置应满足本项目实施。</w:t>
      </w:r>
    </w:p>
    <w:p w:rsidR="00915795" w:rsidRDefault="00915795" w:rsidP="00915795">
      <w:pPr>
        <w:pStyle w:val="null3"/>
        <w:outlineLvl w:val="3"/>
        <w:rPr>
          <w:rFonts w:hint="default"/>
        </w:rPr>
      </w:pPr>
      <w:r>
        <w:rPr>
          <w:b/>
          <w:sz w:val="24"/>
        </w:rPr>
        <w:t>3.2.4</w:t>
      </w:r>
      <w:r>
        <w:rPr>
          <w:b/>
          <w:sz w:val="24"/>
        </w:rPr>
        <w:t>设施设备配置要求</w:t>
      </w:r>
    </w:p>
    <w:p w:rsidR="00915795" w:rsidRDefault="00915795" w:rsidP="0091579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915795" w:rsidRDefault="00915795" w:rsidP="00915795">
      <w:pPr>
        <w:pStyle w:val="null3"/>
        <w:rPr>
          <w:rFonts w:hint="default"/>
        </w:rPr>
      </w:pPr>
      <w:r>
        <w:t>设施设备配置应满足本项目实施。</w:t>
      </w:r>
    </w:p>
    <w:p w:rsidR="00915795" w:rsidRDefault="00915795" w:rsidP="00915795">
      <w:pPr>
        <w:pStyle w:val="null3"/>
        <w:outlineLvl w:val="3"/>
        <w:rPr>
          <w:rFonts w:hint="default"/>
        </w:rPr>
      </w:pPr>
      <w:r>
        <w:rPr>
          <w:b/>
          <w:sz w:val="24"/>
        </w:rPr>
        <w:t>3.2.5</w:t>
      </w:r>
      <w:r>
        <w:rPr>
          <w:b/>
          <w:sz w:val="24"/>
        </w:rPr>
        <w:t>其他要求</w:t>
      </w:r>
    </w:p>
    <w:p w:rsidR="00915795" w:rsidRDefault="00915795" w:rsidP="0091579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915795" w:rsidRDefault="00915795" w:rsidP="00915795">
      <w:pPr>
        <w:pStyle w:val="null3"/>
        <w:rPr>
          <w:rFonts w:hint="default"/>
        </w:rPr>
      </w:pPr>
      <w:r>
        <w:t>应按照国家、行业规定及采购人要求完成本项目全部工作内容。</w:t>
      </w:r>
    </w:p>
    <w:p w:rsidR="00915795" w:rsidRDefault="00915795" w:rsidP="00915795">
      <w:pPr>
        <w:pStyle w:val="null3"/>
        <w:outlineLvl w:val="2"/>
        <w:rPr>
          <w:rFonts w:hint="default"/>
        </w:rPr>
      </w:pPr>
      <w:r>
        <w:rPr>
          <w:b/>
          <w:sz w:val="28"/>
        </w:rPr>
        <w:t>3.3</w:t>
      </w:r>
      <w:r>
        <w:rPr>
          <w:b/>
          <w:sz w:val="28"/>
        </w:rPr>
        <w:t>商务要求</w:t>
      </w:r>
    </w:p>
    <w:p w:rsidR="00915795" w:rsidRDefault="00915795" w:rsidP="00915795">
      <w:pPr>
        <w:pStyle w:val="null3"/>
        <w:outlineLvl w:val="3"/>
        <w:rPr>
          <w:rFonts w:hint="default"/>
        </w:rPr>
      </w:pPr>
      <w:r>
        <w:rPr>
          <w:b/>
          <w:sz w:val="24"/>
        </w:rPr>
        <w:t>3.3.1</w:t>
      </w:r>
      <w:r>
        <w:rPr>
          <w:b/>
          <w:sz w:val="24"/>
        </w:rPr>
        <w:t>服务期限</w:t>
      </w:r>
    </w:p>
    <w:p w:rsidR="00915795" w:rsidRDefault="00915795" w:rsidP="0091579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915795" w:rsidRDefault="00915795" w:rsidP="00915795">
      <w:pPr>
        <w:pStyle w:val="null3"/>
        <w:rPr>
          <w:rFonts w:hint="default"/>
        </w:rPr>
      </w:pPr>
      <w:r>
        <w:t>服务期：</w:t>
      </w:r>
      <w:r>
        <w:t>60</w:t>
      </w:r>
      <w:r>
        <w:t>天</w:t>
      </w:r>
    </w:p>
    <w:p w:rsidR="00915795" w:rsidRDefault="00915795" w:rsidP="00915795">
      <w:pPr>
        <w:pStyle w:val="null3"/>
        <w:outlineLvl w:val="3"/>
        <w:rPr>
          <w:rFonts w:hint="default"/>
        </w:rPr>
      </w:pPr>
      <w:r>
        <w:rPr>
          <w:b/>
          <w:sz w:val="24"/>
        </w:rPr>
        <w:t>3.3.2</w:t>
      </w:r>
      <w:r>
        <w:rPr>
          <w:b/>
          <w:sz w:val="24"/>
        </w:rPr>
        <w:t>服务地点</w:t>
      </w:r>
    </w:p>
    <w:p w:rsidR="00915795" w:rsidRDefault="00915795" w:rsidP="0091579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915795" w:rsidRDefault="00915795" w:rsidP="00915795">
      <w:pPr>
        <w:pStyle w:val="null3"/>
        <w:rPr>
          <w:rFonts w:hint="default"/>
        </w:rPr>
      </w:pPr>
      <w:r>
        <w:t>采购人指定地点</w:t>
      </w:r>
    </w:p>
    <w:p w:rsidR="00915795" w:rsidRDefault="00915795" w:rsidP="00915795">
      <w:pPr>
        <w:pStyle w:val="null3"/>
        <w:outlineLvl w:val="3"/>
        <w:rPr>
          <w:rFonts w:hint="default"/>
        </w:rPr>
      </w:pPr>
      <w:r>
        <w:rPr>
          <w:b/>
          <w:sz w:val="24"/>
        </w:rPr>
        <w:t>3.3.3</w:t>
      </w:r>
      <w:r>
        <w:rPr>
          <w:b/>
          <w:sz w:val="24"/>
        </w:rPr>
        <w:t>考核（验收）标准和方法</w:t>
      </w:r>
    </w:p>
    <w:p w:rsidR="00915795" w:rsidRDefault="00915795" w:rsidP="0091579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915795" w:rsidRDefault="00915795" w:rsidP="00915795">
      <w:pPr>
        <w:pStyle w:val="null3"/>
        <w:rPr>
          <w:rFonts w:hint="default"/>
        </w:rPr>
      </w:pPr>
      <w:r>
        <w:t>满足采购人需求，由采购人组织验收。</w:t>
      </w:r>
    </w:p>
    <w:p w:rsidR="00915795" w:rsidRDefault="00915795" w:rsidP="00915795">
      <w:pPr>
        <w:pStyle w:val="null3"/>
        <w:outlineLvl w:val="3"/>
        <w:rPr>
          <w:rFonts w:hint="default"/>
        </w:rPr>
      </w:pPr>
      <w:r>
        <w:rPr>
          <w:b/>
          <w:sz w:val="24"/>
        </w:rPr>
        <w:t>3.3.4</w:t>
      </w:r>
      <w:r>
        <w:rPr>
          <w:b/>
          <w:sz w:val="24"/>
        </w:rPr>
        <w:t>支付方式</w:t>
      </w:r>
    </w:p>
    <w:p w:rsidR="00915795" w:rsidRDefault="00915795" w:rsidP="0091579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915795" w:rsidRDefault="00915795" w:rsidP="00915795">
      <w:pPr>
        <w:pStyle w:val="null3"/>
        <w:rPr>
          <w:rFonts w:hint="default"/>
        </w:rPr>
      </w:pPr>
      <w:r>
        <w:lastRenderedPageBreak/>
        <w:t>一次付清</w:t>
      </w:r>
    </w:p>
    <w:p w:rsidR="00915795" w:rsidRDefault="00915795" w:rsidP="00915795">
      <w:pPr>
        <w:pStyle w:val="null3"/>
        <w:outlineLvl w:val="3"/>
        <w:rPr>
          <w:rFonts w:hint="default"/>
        </w:rPr>
      </w:pPr>
      <w:r>
        <w:rPr>
          <w:b/>
          <w:sz w:val="24"/>
        </w:rPr>
        <w:t>3.3.5.</w:t>
      </w:r>
      <w:r>
        <w:rPr>
          <w:b/>
          <w:sz w:val="24"/>
        </w:rPr>
        <w:t>支付约定</w:t>
      </w:r>
    </w:p>
    <w:p w:rsidR="00915795" w:rsidRDefault="00915795" w:rsidP="0091579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  <w:r>
        <w:t xml:space="preserve"> </w:t>
      </w:r>
      <w:r>
        <w:t>付款条件说明：</w:t>
      </w:r>
      <w:r>
        <w:t xml:space="preserve"> </w:t>
      </w:r>
      <w:r>
        <w:t>服务期结束并验收合格后</w:t>
      </w:r>
      <w:r>
        <w:t xml:space="preserve"> </w:t>
      </w:r>
      <w:r>
        <w:t>，达到付款条件起</w:t>
      </w:r>
      <w:r>
        <w:t xml:space="preserve"> 14 </w:t>
      </w:r>
      <w:r>
        <w:t>日内，支付合同总金额的</w:t>
      </w:r>
      <w:r>
        <w:t xml:space="preserve"> 100.00%</w:t>
      </w:r>
      <w:r>
        <w:t>。</w:t>
      </w:r>
    </w:p>
    <w:p w:rsidR="00915795" w:rsidRDefault="00915795" w:rsidP="00915795">
      <w:pPr>
        <w:pStyle w:val="null3"/>
        <w:outlineLvl w:val="3"/>
        <w:rPr>
          <w:rFonts w:hint="default"/>
        </w:rPr>
      </w:pPr>
      <w:r>
        <w:rPr>
          <w:b/>
          <w:sz w:val="24"/>
        </w:rPr>
        <w:t>3.3.6</w:t>
      </w:r>
      <w:r>
        <w:rPr>
          <w:b/>
          <w:sz w:val="24"/>
        </w:rPr>
        <w:t>违约责任与解决争议的方法</w:t>
      </w:r>
    </w:p>
    <w:p w:rsidR="00915795" w:rsidRDefault="00915795" w:rsidP="00915795">
      <w:pPr>
        <w:pStyle w:val="null3"/>
        <w:rPr>
          <w:rFonts w:hint="default"/>
        </w:rPr>
      </w:pPr>
      <w:r>
        <w:t>采购包</w:t>
      </w:r>
      <w:r>
        <w:t>1</w:t>
      </w:r>
      <w:r>
        <w:t>：</w:t>
      </w:r>
    </w:p>
    <w:p w:rsidR="00915795" w:rsidRDefault="00915795" w:rsidP="00915795">
      <w:pPr>
        <w:pStyle w:val="null3"/>
        <w:rPr>
          <w:rFonts w:hint="default"/>
        </w:rPr>
      </w:pPr>
      <w:r>
        <w:t>在履行本合同过程中，如甲、乙双方发生争议，协商解决；如双方达不成协议，向采购人所在地人民法院提起诉讼。</w:t>
      </w:r>
    </w:p>
    <w:p w:rsidR="00915795" w:rsidRDefault="00915795" w:rsidP="00915795">
      <w:pPr>
        <w:pStyle w:val="null3"/>
        <w:outlineLvl w:val="2"/>
        <w:rPr>
          <w:rFonts w:hint="default"/>
        </w:rPr>
      </w:pPr>
      <w:r>
        <w:rPr>
          <w:b/>
          <w:sz w:val="28"/>
        </w:rPr>
        <w:t>3.5</w:t>
      </w:r>
      <w:r>
        <w:rPr>
          <w:b/>
          <w:sz w:val="28"/>
        </w:rPr>
        <w:t>其他要求</w:t>
      </w:r>
    </w:p>
    <w:p w:rsidR="00915795" w:rsidRDefault="00915795" w:rsidP="00915795">
      <w:pPr>
        <w:pStyle w:val="null3"/>
        <w:rPr>
          <w:rFonts w:hint="default"/>
        </w:rPr>
      </w:pPr>
      <w:r>
        <w:t>应按照国家、行业规定及采购人要求完成本项目全部工作内容。</w:t>
      </w:r>
    </w:p>
    <w:p w:rsidR="00733D63" w:rsidRDefault="00915795" w:rsidP="00915795">
      <w:r>
        <w:t xml:space="preserve"> </w:t>
      </w:r>
      <w:r>
        <w:br/>
      </w:r>
    </w:p>
    <w:sectPr w:rsidR="00733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 &quot;sans-serif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F6"/>
    <w:rsid w:val="00152FF6"/>
    <w:rsid w:val="00733D63"/>
    <w:rsid w:val="0091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rsid w:val="00915795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rsid w:val="00915795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2024-06-14T02:37:00Z</dcterms:created>
  <dcterms:modified xsi:type="dcterms:W3CDTF">2024-06-14T02:38:00Z</dcterms:modified>
</cp:coreProperties>
</file>