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10" w:lineRule="auto"/>
        <w:rPr>
          <w:rFonts w:ascii="Lucida Sans Unicode" w:hAnsi="Lucida Sans Unicode" w:eastAsia="Lucida Sans Unicode" w:cs="Lucida Sans Unicode"/>
          <w:sz w:val="19"/>
          <w:szCs w:val="19"/>
        </w:rPr>
      </w:pPr>
      <w:bookmarkStart w:id="1" w:name="_GoBack"/>
      <w:bookmarkEnd w:id="1"/>
    </w:p>
    <w:p>
      <w:pPr>
        <w:pStyle w:val="3"/>
        <w:spacing w:line="360" w:lineRule="auto"/>
        <w:jc w:val="center"/>
        <w:rPr>
          <w:rFonts w:hint="eastAsia" w:ascii="宋体" w:hAnsi="宋体" w:eastAsia="宋体" w:cs="宋体"/>
          <w:sz w:val="32"/>
          <w:szCs w:val="32"/>
        </w:rPr>
      </w:pPr>
      <w:bookmarkStart w:id="0" w:name="_Toc19774"/>
      <w:r>
        <w:rPr>
          <w:rStyle w:val="8"/>
          <w:rFonts w:hint="eastAsia" w:ascii="宋体" w:hAnsi="宋体" w:eastAsia="宋体" w:cs="宋体"/>
          <w:b w:val="0"/>
          <w:sz w:val="32"/>
          <w:szCs w:val="32"/>
        </w:rPr>
        <w:t>合同条款及格式</w:t>
      </w:r>
      <w:bookmarkEnd w:id="0"/>
    </w:p>
    <w:p>
      <w:pPr>
        <w:spacing w:before="312" w:beforeLines="100" w:line="360" w:lineRule="auto"/>
        <w:jc w:val="center"/>
        <w:rPr>
          <w:rFonts w:hint="eastAsia" w:ascii="宋体" w:hAnsi="宋体" w:eastAsia="宋体" w:cs="宋体"/>
          <w:sz w:val="20"/>
          <w:szCs w:val="20"/>
        </w:rPr>
      </w:pPr>
      <w:r>
        <w:rPr>
          <w:rFonts w:hint="eastAsia" w:ascii="宋体" w:hAnsi="宋体" w:eastAsia="宋体" w:cs="宋体"/>
          <w:b/>
          <w:sz w:val="22"/>
          <w:szCs w:val="20"/>
        </w:rPr>
        <w:t>（本合同为参考文本，最终合同以甲乙双方协商签订的为准）</w:t>
      </w:r>
    </w:p>
    <w:p>
      <w:pPr>
        <w:spacing w:line="360" w:lineRule="auto"/>
        <w:ind w:firstLine="442" w:firstLineChars="200"/>
        <w:jc w:val="left"/>
        <w:rPr>
          <w:rFonts w:hint="eastAsia" w:ascii="宋体" w:hAnsi="宋体" w:eastAsia="宋体" w:cs="宋体"/>
          <w:color w:val="000000"/>
          <w:sz w:val="22"/>
          <w:szCs w:val="22"/>
          <w:u w:val="single"/>
        </w:rPr>
      </w:pPr>
      <w:r>
        <w:rPr>
          <w:rFonts w:hint="eastAsia" w:ascii="宋体" w:hAnsi="宋体" w:eastAsia="宋体" w:cs="宋体"/>
          <w:b/>
          <w:color w:val="000000"/>
          <w:sz w:val="22"/>
          <w:szCs w:val="22"/>
        </w:rPr>
        <w:t>甲方：</w:t>
      </w:r>
      <w:r>
        <w:rPr>
          <w:rFonts w:hint="eastAsia" w:ascii="宋体" w:hAnsi="宋体" w:eastAsia="宋体" w:cs="宋体"/>
          <w:color w:val="000000"/>
          <w:sz w:val="22"/>
          <w:szCs w:val="22"/>
          <w:u w:val="single"/>
        </w:rPr>
        <w:t xml:space="preserve">                        </w:t>
      </w:r>
    </w:p>
    <w:p>
      <w:pPr>
        <w:spacing w:line="360" w:lineRule="auto"/>
        <w:ind w:firstLine="442" w:firstLineChars="200"/>
        <w:jc w:val="left"/>
        <w:rPr>
          <w:rFonts w:hint="eastAsia" w:ascii="宋体" w:hAnsi="宋体" w:eastAsia="宋体" w:cs="宋体"/>
          <w:color w:val="000000"/>
          <w:sz w:val="22"/>
          <w:szCs w:val="22"/>
          <w:u w:val="single"/>
        </w:rPr>
      </w:pPr>
      <w:r>
        <w:rPr>
          <w:rFonts w:hint="eastAsia" w:ascii="宋体" w:hAnsi="宋体" w:eastAsia="宋体" w:cs="宋体"/>
          <w:b/>
          <w:color w:val="000000"/>
          <w:sz w:val="22"/>
          <w:szCs w:val="22"/>
        </w:rPr>
        <w:t>乙方：</w:t>
      </w:r>
      <w:r>
        <w:rPr>
          <w:rFonts w:hint="eastAsia" w:ascii="宋体" w:hAnsi="宋体" w:eastAsia="宋体" w:cs="宋体"/>
          <w:color w:val="000000"/>
          <w:sz w:val="22"/>
          <w:szCs w:val="22"/>
          <w:u w:val="single"/>
        </w:rPr>
        <w:t xml:space="preserve">                         </w:t>
      </w:r>
    </w:p>
    <w:p>
      <w:pPr>
        <w:autoSpaceDE w:val="0"/>
        <w:autoSpaceDN w:val="0"/>
        <w:adjustRightInd w:val="0"/>
        <w:snapToGrid w:val="0"/>
        <w:spacing w:line="360" w:lineRule="auto"/>
        <w:ind w:firstLine="440" w:firstLineChars="200"/>
        <w:jc w:val="left"/>
        <w:rPr>
          <w:rFonts w:hint="eastAsia" w:ascii="宋体" w:hAnsi="宋体" w:eastAsia="宋体" w:cs="宋体"/>
          <w:bCs/>
          <w:sz w:val="22"/>
          <w:szCs w:val="22"/>
        </w:rPr>
      </w:pPr>
      <w:r>
        <w:rPr>
          <w:rFonts w:hint="eastAsia" w:ascii="宋体" w:hAnsi="宋体" w:eastAsia="宋体" w:cs="宋体"/>
          <w:bCs/>
          <w:sz w:val="22"/>
          <w:szCs w:val="22"/>
        </w:rPr>
        <w:t>依据《中华人民共和国民法典》和《中华人民共和国政府采购法》之规定，经双方在平等、自愿、互利的基础上，签订本合同，共同信守。</w:t>
      </w:r>
    </w:p>
    <w:p>
      <w:pPr>
        <w:autoSpaceDE w:val="0"/>
        <w:autoSpaceDN w:val="0"/>
        <w:adjustRightInd w:val="0"/>
        <w:snapToGrid w:val="0"/>
        <w:spacing w:line="360" w:lineRule="auto"/>
        <w:jc w:val="left"/>
        <w:rPr>
          <w:rFonts w:hint="eastAsia" w:ascii="宋体" w:hAnsi="宋体" w:eastAsia="宋体" w:cs="宋体"/>
          <w:b/>
          <w:bCs/>
          <w:sz w:val="22"/>
          <w:szCs w:val="22"/>
        </w:rPr>
      </w:pPr>
      <w:r>
        <w:rPr>
          <w:rFonts w:hint="eastAsia" w:ascii="宋体" w:hAnsi="宋体" w:eastAsia="宋体" w:cs="宋体"/>
          <w:b/>
          <w:bCs/>
          <w:sz w:val="22"/>
          <w:szCs w:val="22"/>
        </w:rPr>
        <w:t>一、服务内容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rPr>
      </w:pPr>
      <w:r>
        <w:rPr>
          <w:rFonts w:hint="eastAsia" w:ascii="宋体" w:hAnsi="宋体" w:eastAsia="宋体" w:cs="宋体"/>
          <w:b w:val="0"/>
          <w:bCs w:val="0"/>
          <w:sz w:val="22"/>
          <w:szCs w:val="22"/>
        </w:rPr>
        <w:t>（一）</w:t>
      </w:r>
      <w:r>
        <w:rPr>
          <w:rFonts w:hint="eastAsia" w:ascii="宋体" w:hAnsi="宋体" w:eastAsia="宋体" w:cs="宋体"/>
          <w:b w:val="0"/>
          <w:bCs w:val="0"/>
          <w:sz w:val="22"/>
          <w:szCs w:val="22"/>
          <w:lang w:val="en-US" w:eastAsia="zh-CN"/>
        </w:rPr>
        <w:t>营改增应用服务设施数据采集服务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rPr>
      </w:pPr>
      <w:r>
        <w:rPr>
          <w:rFonts w:hint="eastAsia" w:ascii="宋体" w:hAnsi="宋体" w:eastAsia="宋体" w:cs="宋体"/>
          <w:b w:val="0"/>
          <w:bCs w:val="0"/>
          <w:sz w:val="22"/>
          <w:szCs w:val="22"/>
        </w:rPr>
        <w:t>陕西省公路收费设施设备管理及数据采集系统应用软件维护</w:t>
      </w:r>
      <w:r>
        <w:rPr>
          <w:rFonts w:hint="eastAsia" w:ascii="宋体" w:hAnsi="宋体" w:eastAsia="宋体" w:cs="宋体"/>
          <w:b w:val="0"/>
          <w:bCs w:val="0"/>
          <w:sz w:val="22"/>
          <w:szCs w:val="22"/>
          <w:lang w:eastAsia="zh-CN"/>
        </w:rPr>
        <w:t>、填报数据的校对与纠偏、</w:t>
      </w:r>
      <w:r>
        <w:rPr>
          <w:rFonts w:hint="eastAsia" w:ascii="宋体" w:hAnsi="宋体" w:eastAsia="宋体" w:cs="宋体"/>
          <w:b w:val="0"/>
          <w:bCs w:val="0"/>
          <w:sz w:val="22"/>
          <w:szCs w:val="22"/>
        </w:rPr>
        <w:t>收费单元连接关系的更新</w:t>
      </w:r>
      <w:r>
        <w:rPr>
          <w:rFonts w:hint="eastAsia" w:ascii="宋体" w:hAnsi="宋体" w:eastAsia="宋体" w:cs="宋体"/>
          <w:b w:val="0"/>
          <w:bCs w:val="0"/>
          <w:sz w:val="22"/>
          <w:szCs w:val="22"/>
          <w:lang w:eastAsia="zh-CN"/>
        </w:rPr>
        <w:t>、</w:t>
      </w:r>
      <w:r>
        <w:rPr>
          <w:rFonts w:hint="eastAsia" w:ascii="宋体" w:hAnsi="宋体" w:eastAsia="宋体" w:cs="宋体"/>
          <w:b w:val="0"/>
          <w:bCs w:val="0"/>
          <w:sz w:val="22"/>
          <w:szCs w:val="22"/>
        </w:rPr>
        <w:t>新通车路段基础信息采集</w:t>
      </w:r>
      <w:r>
        <w:rPr>
          <w:rFonts w:hint="eastAsia" w:ascii="宋体" w:hAnsi="宋体" w:eastAsia="宋体" w:cs="宋体"/>
          <w:b w:val="0"/>
          <w:bCs w:val="0"/>
          <w:sz w:val="22"/>
          <w:szCs w:val="22"/>
          <w:lang w:eastAsia="zh-CN"/>
        </w:rPr>
        <w:t>、</w:t>
      </w:r>
      <w:r>
        <w:rPr>
          <w:rFonts w:hint="eastAsia" w:ascii="宋体" w:hAnsi="宋体" w:eastAsia="宋体" w:cs="宋体"/>
          <w:b w:val="0"/>
          <w:bCs w:val="0"/>
          <w:sz w:val="22"/>
          <w:szCs w:val="22"/>
        </w:rPr>
        <w:t>基础信息报送</w:t>
      </w:r>
      <w:r>
        <w:rPr>
          <w:rFonts w:hint="eastAsia" w:ascii="宋体" w:hAnsi="宋体" w:eastAsia="宋体" w:cs="宋体"/>
          <w:b w:val="0"/>
          <w:bCs w:val="0"/>
          <w:sz w:val="22"/>
          <w:szCs w:val="22"/>
          <w:lang w:val="en-US" w:eastAsia="zh-CN"/>
        </w:rPr>
        <w:t>部平台</w:t>
      </w:r>
      <w:r>
        <w:rPr>
          <w:rFonts w:hint="eastAsia" w:ascii="宋体" w:hAnsi="宋体" w:eastAsia="宋体" w:cs="宋体"/>
          <w:b w:val="0"/>
          <w:bCs w:val="0"/>
          <w:sz w:val="22"/>
          <w:szCs w:val="22"/>
        </w:rPr>
        <w:t>工作</w:t>
      </w:r>
      <w:r>
        <w:rPr>
          <w:rFonts w:hint="eastAsia" w:ascii="宋体" w:hAnsi="宋体" w:eastAsia="宋体" w:cs="宋体"/>
          <w:b w:val="0"/>
          <w:bCs w:val="0"/>
          <w:sz w:val="22"/>
          <w:szCs w:val="22"/>
          <w:lang w:eastAsia="zh-CN"/>
        </w:rPr>
        <w:t>、</w:t>
      </w:r>
      <w:r>
        <w:rPr>
          <w:rFonts w:hint="eastAsia" w:ascii="宋体" w:hAnsi="宋体" w:eastAsia="宋体" w:cs="宋体"/>
          <w:b w:val="0"/>
          <w:bCs w:val="0"/>
          <w:sz w:val="22"/>
          <w:szCs w:val="22"/>
        </w:rPr>
        <w:t>费率管控平台数据维护</w:t>
      </w:r>
      <w:r>
        <w:rPr>
          <w:rFonts w:hint="eastAsia" w:ascii="宋体" w:hAnsi="宋体" w:eastAsia="宋体" w:cs="宋体"/>
          <w:b w:val="0"/>
          <w:bCs w:val="0"/>
          <w:sz w:val="22"/>
          <w:szCs w:val="22"/>
          <w:lang w:val="en-US" w:eastAsia="zh-CN"/>
        </w:rPr>
        <w:t>以及各类数据备份服务</w:t>
      </w:r>
      <w:r>
        <w:rPr>
          <w:rFonts w:hint="eastAsia" w:ascii="宋体" w:hAnsi="宋体" w:eastAsia="宋体" w:cs="宋体"/>
          <w:b w:val="0"/>
          <w:bCs w:val="0"/>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1.数据管理：实现对全省收费公路路网收费精确计费、ETC费显和清分结算系统正常运行所需的基础信息的管理，主要包含对业主信息、路线、收费路段、收费单元、ETC门架、收费站、收费广场、收费车道、收费岗等信息的管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1）业主信息管理。供各收费公路管理单位实现创建、记录、修改、查询收费公路业主信息，包含收费公路业主编号、业主单位名称、联系人姓名、联系电话、地址、开户行、开户行地址、开户行账号、纳税人识别号、统一社会信用代码/组织机构代码证号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2）路线信息管理。供收费公路管理单位实现创建、记录、修改、查询路线信息，包含收费公路编号、收费公路名称、公路等级、起始计费位置地点、起始位置桩号、起始计费位置纬度、起始计费位置经度、起点收费站编号、终止计费位置地点名称、终止位置桩号、终止计费位置纬度、终止计费位置经度、终点收费站编号、操作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3）路段信息管理。供路段管理单位实现创建、记录、修改、查询收费公路业主信息，包含收费路段编号、收费路段名称、路段性质、路段类型、路段里程、联网收费状态、起始计费位置纬度、起始计费位置经度、起始计费位置桩号、终止计费位置桩号、终止计费位置纬度、终止计费位置经度、是否纳税、税率、所属业主编号、路段收费方式、重合收费公路编号、开工时间、通车时间、停止收费时间、操作、待用税率、待用税率生效时间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4）收费单元信息管理。供路段管理单位实现创建、记录、修改、查询收费单元信息，包含收费单元编号、收费单元名称、路段性质、上下行、起止里程、起始计费位置纬度、起始计费位置经度、起始计费位置桩号、终止计费位置桩号、终止计费位置纬度、终止计费位置经度、重合收费公路编号、省界标识、开始收费时间、收费单元类型、停止收费时间、操作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5）收费门架信息管理。供路段管理单位实现创建、记录、修改、查询收费门架信息，包含收费门架编号、门架名称、门架类型、省界入/出口标识、门架标志、收费单元编码组合、纬度、经度、桩号、使用状态、起始日期、终止日期、门架HEX字符串、门架种类、车道数、反向门架HEX字符串、代收门架编号、操作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6）收费站信息管理。供收费站实现创建、记录、修改、查询收费站信息，包含收费站编号、收费站名称、收费广场数量、收费站HEX字符串、线路类型、网络所属运营商、数据汇聚点、IMEI号、接入设备ip、snmp协议版本号、snmp端口、团体名称、用户名、安全级别、认证协议、认证密钥、加密算法、加密密钥、站级服务器（承载部-站传输服务职能）厂商代码、站级服务器（承载部-站传输服务职能）操作系统名称、站级服务器（承载部-站传输服务职能）操作系统版本号、站级服务器（承载部-站传输服务职能）数据库系统版本号、类型、状态、实体类型、所在地级市、所在区县名称、区县六位行政区划编码、代收门架编号、操作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（7）收费广场信息管理。供收费站实现创建、记录、修改、查询收费广场信息，包含收费广场编号、收费广场名称、广场类型、纬度、经度、桩号、土建车道数、是否有治超、治超位置、使用状态、操作等。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8）收费车道信息。供收费站实现创建、记录、修改、查询收费车道信息，包含收费车道编号、车道类型、土建车道号、潮汐车道反向时间、起始日期、终止日期、使用状态、车道HEX字符串、RSU厂商代码、RSU型号、RSU编号、出入口类型、车道栏杆位置、是否有治超、牌识厂商代码、操作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（9）收费岗信息管理。供收费站实现创建、记录、修改、查询收费公路业主信息，包含顺序码、收费岗编号、起始日期、终止日期、收费岗类型、使用状态等。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2. 统计报表管理：实现对全省收费公路路线、收费路段、收费单元、ETC门架、收费站、收费广场、收费车道信息的报表查询与导出。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（1）路线信息查询与导出。通过筛选名称、编号、道路等级查询目标路线的基础信息，并可以导出excle报表。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（2）路段信息查询与导出。通过筛选名称、编号、路段性质、路段收费方式、路段类型、是否纳税、税率、所属业主名称查询目标路段的基础信息，并可以导出excle报表。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（3）收费单元信息查询与导出。通过筛选收费单元名称、编号、路段性质、省界标识、收费单元类型、所属业主名称查询目标收费单元的基础信息，并可以导出excle报表。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（4）收费门架信息查询与导出。通过筛选名称、编号、门架类型、省界标识、门架HEX、使用状态、门架种类、所属公路等级、所属业主名称筛选目标收费门架的基础信息，并可以导出excle报表。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（5）收费站信息查询与导出。通过筛选名称、编号、收费站HEX编码、所属道路等级、收费站类型、状态、实体类型、所在地级市、所在区县、所属业主名称查询收费站的基础信息，并可以导出excle报表。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（6）收费广场信息查询与导出。通过筛选名称、编号、广场类型、是否有入口治超、入口治超位置、使用状态、道路等级查询目标收费广场的基础信息，并可以导出excle报表。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（7）收费车道信息查询与导出。通过筛选编号、名称、车道HEX、使用状态、出入口类型、车道栏杆位置、是否有入口治超、所属公路等级查询目标收费车道的基础信息，并可以导出excle报表。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3.操作日志管理：通过筛选机构、时间、开始时间、截止时间、操作类型查询目标用户在“数据管理”功能模块下的增、删、改的详细日志记录，包含操作人、操作类型、操作时间、修改前内容、修改后内容。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rPr>
        <w:t>（二）</w:t>
      </w:r>
      <w:r>
        <w:rPr>
          <w:rFonts w:hint="eastAsia" w:ascii="宋体" w:hAnsi="宋体" w:eastAsia="宋体" w:cs="宋体"/>
          <w:b w:val="0"/>
          <w:bCs w:val="0"/>
          <w:sz w:val="22"/>
          <w:szCs w:val="22"/>
          <w:lang w:val="en-US" w:eastAsia="zh-CN"/>
        </w:rPr>
        <w:t>绿通预约通行服务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rPr>
        <w:t>陕西省绿色通道车辆管理平台</w:t>
      </w:r>
      <w:r>
        <w:rPr>
          <w:rFonts w:hint="eastAsia" w:ascii="宋体" w:hAnsi="宋体" w:eastAsia="宋体" w:cs="宋体"/>
          <w:b w:val="0"/>
          <w:bCs w:val="0"/>
          <w:sz w:val="22"/>
          <w:szCs w:val="22"/>
          <w:lang w:val="en-US" w:eastAsia="zh-CN"/>
        </w:rPr>
        <w:t>软件维护、新增路段数据接入、配合采购人开展绿通业务的相关探索研究工作并将成果应用到实际系统中</w:t>
      </w:r>
      <w:r>
        <w:rPr>
          <w:rFonts w:hint="eastAsia" w:ascii="宋体" w:hAnsi="宋体" w:eastAsia="宋体" w:cs="宋体"/>
          <w:b w:val="0"/>
          <w:bCs w:val="0"/>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eastAsia="zh-CN"/>
        </w:rPr>
        <w:t>1.</w:t>
      </w:r>
      <w:r>
        <w:rPr>
          <w:rFonts w:hint="eastAsia" w:ascii="宋体" w:hAnsi="宋体" w:eastAsia="宋体" w:cs="宋体"/>
          <w:b w:val="0"/>
          <w:bCs w:val="0"/>
          <w:sz w:val="22"/>
          <w:szCs w:val="22"/>
          <w:lang w:val="en-US"/>
        </w:rPr>
        <w:t>首页核心数据展示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系统默认显示绿通核心数据的图表化展示，便于管理人员直观查看绿通车辆查验量、预约量、货物运载量、车型运载量、查验数据变化趋势及不合格汇总数据。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2.查验信息管理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省中心、经营管理单位、收费站用户可以查看绿通车辆、收割机运输车辆的查验记录和详细信息，能够满足自定义筛选条件进行业务数据查询，也可以实现对数据的修改、删除和补录等基础功能。收费站级别用户可对查验数据进行导出、打印，支持Excel和Word两种可编辑文档格式。同时，实现对数据重要操作进行日志记录查看（查验操作日志、数据修改日志），做到有迹可循。</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eastAsia="zh-CN"/>
        </w:rPr>
        <w:t>3</w:t>
      </w:r>
      <w:r>
        <w:rPr>
          <w:rFonts w:hint="eastAsia" w:ascii="宋体" w:hAnsi="宋体" w:eastAsia="宋体" w:cs="宋体"/>
          <w:b w:val="0"/>
          <w:bCs w:val="0"/>
          <w:sz w:val="22"/>
          <w:szCs w:val="22"/>
          <w:lang w:val="en-US"/>
        </w:rPr>
        <w:t>.车辆稽查管理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稽查人员可以在线实时稽查车辆查验情况，对现场提交的查验数据进行复核，通过查验照片，对现场检查情况进行综合判断，监督现场查验工作是否符合业务规程要求，后续规范现场查验操作流程。</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eastAsia="zh-CN"/>
        </w:rPr>
        <w:t>4.</w:t>
      </w:r>
      <w:r>
        <w:rPr>
          <w:rFonts w:hint="eastAsia" w:ascii="宋体" w:hAnsi="宋体" w:eastAsia="宋体" w:cs="宋体"/>
          <w:b w:val="0"/>
          <w:bCs w:val="0"/>
          <w:sz w:val="22"/>
          <w:szCs w:val="22"/>
          <w:lang w:val="en-US"/>
        </w:rPr>
        <w:t>数据统计分析</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通过预约数据、查验数据、货物数据、车型数据、稽查等数据进行多维度统计分析，实现查验统计报表、查验占比统计表、预约免检统计表、货物查验统计表、车型查验统计表等10余项报表，满足省中心、经营管理单位、收费站用户数据统计需求。</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eastAsia="zh-CN"/>
        </w:rPr>
        <w:t>5.</w:t>
      </w:r>
      <w:r>
        <w:rPr>
          <w:rFonts w:hint="eastAsia" w:ascii="宋体" w:hAnsi="宋体" w:eastAsia="宋体" w:cs="宋体"/>
          <w:b w:val="0"/>
          <w:bCs w:val="0"/>
          <w:sz w:val="22"/>
          <w:szCs w:val="22"/>
          <w:lang w:val="en-US"/>
        </w:rPr>
        <w:t>系统管理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用户可对绿通系统账号信息进行添加、修改、删除、重置密码等操作，实现用户账号统一管理，不同权限、层级角色资源管理。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eastAsia="zh-CN"/>
        </w:rPr>
        <w:t>6.</w:t>
      </w:r>
      <w:r>
        <w:rPr>
          <w:rFonts w:hint="eastAsia" w:ascii="宋体" w:hAnsi="宋体" w:eastAsia="宋体" w:cs="宋体"/>
          <w:b w:val="0"/>
          <w:bCs w:val="0"/>
          <w:sz w:val="22"/>
          <w:szCs w:val="22"/>
          <w:lang w:val="en-US"/>
        </w:rPr>
        <w:t>数据同步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系统接收到查验数据后，数据会及时同步至交通运输部路网监测与应急处置中心高速公路通行预约服务平台。</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rPr>
        <w:t>（三）</w:t>
      </w:r>
      <w:r>
        <w:rPr>
          <w:rFonts w:hint="eastAsia" w:ascii="宋体" w:hAnsi="宋体" w:eastAsia="宋体" w:cs="宋体"/>
          <w:b w:val="0"/>
          <w:bCs w:val="0"/>
          <w:sz w:val="22"/>
          <w:szCs w:val="22"/>
          <w:lang w:val="en-US" w:eastAsia="zh-CN"/>
        </w:rPr>
        <w:t>差异化收费实施评估服务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eastAsia="zh-CN"/>
        </w:rPr>
        <w:t>政策制定期数据支撑服务、政策实施期跟踪分析服务以及政策实施结束后提出优化建议方案</w:t>
      </w:r>
      <w:r>
        <w:rPr>
          <w:rFonts w:hint="eastAsia" w:ascii="宋体" w:hAnsi="宋体" w:eastAsia="宋体" w:cs="宋体"/>
          <w:b w:val="0"/>
          <w:bCs w:val="0"/>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1.</w:t>
      </w:r>
      <w:r>
        <w:rPr>
          <w:rFonts w:hint="eastAsia" w:ascii="宋体" w:hAnsi="宋体" w:eastAsia="宋体" w:cs="宋体"/>
          <w:b w:val="0"/>
          <w:bCs w:val="0"/>
          <w:sz w:val="22"/>
          <w:szCs w:val="22"/>
          <w:lang w:eastAsia="zh-CN"/>
        </w:rPr>
        <w:t>在差异化收费</w:t>
      </w:r>
      <w:r>
        <w:rPr>
          <w:rFonts w:hint="eastAsia" w:ascii="宋体" w:hAnsi="宋体" w:eastAsia="宋体" w:cs="宋体"/>
          <w:b w:val="0"/>
          <w:bCs w:val="0"/>
          <w:sz w:val="22"/>
          <w:szCs w:val="22"/>
          <w:lang w:val="en-US" w:eastAsia="zh-CN"/>
        </w:rPr>
        <w:t>政策</w:t>
      </w:r>
      <w:r>
        <w:rPr>
          <w:rFonts w:hint="eastAsia" w:ascii="宋体" w:hAnsi="宋体" w:eastAsia="宋体" w:cs="宋体"/>
          <w:b w:val="0"/>
          <w:bCs w:val="0"/>
          <w:sz w:val="22"/>
          <w:szCs w:val="22"/>
          <w:lang w:eastAsia="zh-CN"/>
        </w:rPr>
        <w:t>实施期间，持续跟踪实施情况，掌握</w:t>
      </w:r>
      <w:r>
        <w:rPr>
          <w:rFonts w:hint="eastAsia" w:ascii="宋体" w:hAnsi="宋体" w:eastAsia="宋体" w:cs="宋体"/>
          <w:b w:val="0"/>
          <w:bCs w:val="0"/>
          <w:sz w:val="22"/>
          <w:szCs w:val="22"/>
          <w:lang w:val="en-US" w:eastAsia="zh-CN"/>
        </w:rPr>
        <w:t>实施路段</w:t>
      </w:r>
      <w:r>
        <w:rPr>
          <w:rFonts w:hint="eastAsia" w:ascii="宋体" w:hAnsi="宋体" w:eastAsia="宋体" w:cs="宋体"/>
          <w:b w:val="0"/>
          <w:bCs w:val="0"/>
          <w:sz w:val="22"/>
          <w:szCs w:val="22"/>
          <w:lang w:eastAsia="zh-CN"/>
        </w:rPr>
        <w:t>货车流量、通行费</w:t>
      </w:r>
      <w:r>
        <w:rPr>
          <w:rFonts w:hint="eastAsia" w:ascii="宋体" w:hAnsi="宋体" w:eastAsia="宋体" w:cs="宋体"/>
          <w:b w:val="0"/>
          <w:bCs w:val="0"/>
          <w:sz w:val="22"/>
          <w:szCs w:val="22"/>
          <w:lang w:val="en-US" w:eastAsia="zh-CN"/>
        </w:rPr>
        <w:t>等</w:t>
      </w:r>
      <w:r>
        <w:rPr>
          <w:rFonts w:hint="eastAsia" w:ascii="宋体" w:hAnsi="宋体" w:eastAsia="宋体" w:cs="宋体"/>
          <w:b w:val="0"/>
          <w:bCs w:val="0"/>
          <w:sz w:val="22"/>
          <w:szCs w:val="22"/>
          <w:lang w:eastAsia="zh-CN"/>
        </w:rPr>
        <w:t>的变化情况，普通干线公路影响等，综合评价各</w:t>
      </w:r>
      <w:r>
        <w:rPr>
          <w:rFonts w:hint="eastAsia" w:ascii="宋体" w:hAnsi="宋体" w:eastAsia="宋体" w:cs="宋体"/>
          <w:b w:val="0"/>
          <w:bCs w:val="0"/>
          <w:sz w:val="22"/>
          <w:szCs w:val="22"/>
          <w:lang w:val="en-US" w:eastAsia="zh-CN"/>
        </w:rPr>
        <w:t>项</w:t>
      </w:r>
      <w:r>
        <w:rPr>
          <w:rFonts w:hint="eastAsia" w:ascii="宋体" w:hAnsi="宋体" w:eastAsia="宋体" w:cs="宋体"/>
          <w:b w:val="0"/>
          <w:bCs w:val="0"/>
          <w:sz w:val="22"/>
          <w:szCs w:val="22"/>
          <w:lang w:eastAsia="zh-CN"/>
        </w:rPr>
        <w:t>差异化收费</w:t>
      </w:r>
      <w:r>
        <w:rPr>
          <w:rFonts w:hint="eastAsia" w:ascii="宋体" w:hAnsi="宋体" w:eastAsia="宋体" w:cs="宋体"/>
          <w:b w:val="0"/>
          <w:bCs w:val="0"/>
          <w:sz w:val="22"/>
          <w:szCs w:val="22"/>
          <w:lang w:val="en-US" w:eastAsia="zh-CN"/>
        </w:rPr>
        <w:t>政策</w:t>
      </w:r>
      <w:r>
        <w:rPr>
          <w:rFonts w:hint="eastAsia" w:ascii="宋体" w:hAnsi="宋体" w:eastAsia="宋体" w:cs="宋体"/>
          <w:b w:val="0"/>
          <w:bCs w:val="0"/>
          <w:sz w:val="22"/>
          <w:szCs w:val="22"/>
          <w:lang w:eastAsia="zh-CN"/>
        </w:rPr>
        <w:t>的实施效果，</w:t>
      </w:r>
      <w:r>
        <w:rPr>
          <w:rFonts w:hint="eastAsia" w:ascii="宋体" w:hAnsi="宋体" w:eastAsia="宋体" w:cs="宋体"/>
          <w:b w:val="0"/>
          <w:bCs w:val="0"/>
          <w:sz w:val="22"/>
          <w:szCs w:val="22"/>
          <w:lang w:val="en-US" w:eastAsia="zh-CN"/>
        </w:rPr>
        <w:t>并按月出具分析报告。</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2.</w:t>
      </w:r>
      <w:r>
        <w:rPr>
          <w:rFonts w:hint="eastAsia" w:ascii="宋体" w:hAnsi="宋体" w:eastAsia="宋体" w:cs="宋体"/>
          <w:b w:val="0"/>
          <w:bCs w:val="0"/>
          <w:sz w:val="22"/>
          <w:szCs w:val="22"/>
          <w:lang w:eastAsia="zh-CN"/>
        </w:rPr>
        <w:t>在差异化收费政策制定时期，通过</w:t>
      </w:r>
      <w:r>
        <w:rPr>
          <w:rFonts w:hint="eastAsia" w:ascii="宋体" w:hAnsi="宋体" w:eastAsia="宋体" w:cs="宋体"/>
          <w:b w:val="0"/>
          <w:bCs w:val="0"/>
          <w:sz w:val="22"/>
          <w:szCs w:val="22"/>
          <w:lang w:val="en-US" w:eastAsia="zh-CN"/>
        </w:rPr>
        <w:t>统计路段</w:t>
      </w:r>
      <w:r>
        <w:rPr>
          <w:rFonts w:hint="eastAsia" w:ascii="宋体" w:hAnsi="宋体" w:eastAsia="宋体" w:cs="宋体"/>
          <w:b w:val="0"/>
          <w:bCs w:val="0"/>
          <w:sz w:val="22"/>
          <w:szCs w:val="22"/>
          <w:lang w:eastAsia="zh-CN"/>
        </w:rPr>
        <w:t>收费数据、交调数据，分析历史交通流量、通行特征等，发现运行规律，为差异化收费政策制定</w:t>
      </w:r>
      <w:r>
        <w:rPr>
          <w:rFonts w:hint="eastAsia" w:ascii="宋体" w:hAnsi="宋体" w:eastAsia="宋体" w:cs="宋体"/>
          <w:b w:val="0"/>
          <w:bCs w:val="0"/>
          <w:sz w:val="22"/>
          <w:szCs w:val="22"/>
          <w:lang w:val="en-US" w:eastAsia="zh-CN"/>
        </w:rPr>
        <w:t>或调整</w:t>
      </w:r>
      <w:r>
        <w:rPr>
          <w:rFonts w:hint="eastAsia" w:ascii="宋体" w:hAnsi="宋体" w:eastAsia="宋体" w:cs="宋体"/>
          <w:b w:val="0"/>
          <w:bCs w:val="0"/>
          <w:sz w:val="22"/>
          <w:szCs w:val="22"/>
          <w:lang w:eastAsia="zh-CN"/>
        </w:rPr>
        <w:t>提供数据支撑。</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3.结合路段的实际情况，选择合适的调研方式，对计划实施差异化收费政策的路段或相关路段进行调研，评估实施可行性，提出适合本路段的差异化收费方式等。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eastAsia="zh-CN"/>
        </w:rPr>
        <w:t>4.目前的差异化收费</w:t>
      </w:r>
      <w:r>
        <w:rPr>
          <w:rFonts w:hint="eastAsia" w:ascii="宋体" w:hAnsi="宋体" w:eastAsia="宋体" w:cs="宋体"/>
          <w:b w:val="0"/>
          <w:bCs w:val="0"/>
          <w:sz w:val="22"/>
          <w:szCs w:val="22"/>
          <w:lang w:eastAsia="zh-CN"/>
        </w:rPr>
        <w:t>试点工作结束后，从社会效益、高速公路</w:t>
      </w:r>
      <w:r>
        <w:rPr>
          <w:rFonts w:hint="eastAsia" w:ascii="宋体" w:hAnsi="宋体" w:eastAsia="宋体" w:cs="宋体"/>
          <w:b w:val="0"/>
          <w:bCs w:val="0"/>
          <w:sz w:val="22"/>
          <w:szCs w:val="22"/>
          <w:lang w:val="en-US" w:eastAsia="zh-CN"/>
        </w:rPr>
        <w:t>经营管理单位</w:t>
      </w:r>
      <w:r>
        <w:rPr>
          <w:rFonts w:hint="eastAsia" w:ascii="宋体" w:hAnsi="宋体" w:eastAsia="宋体" w:cs="宋体"/>
          <w:b w:val="0"/>
          <w:bCs w:val="0"/>
          <w:sz w:val="22"/>
          <w:szCs w:val="22"/>
          <w:lang w:eastAsia="zh-CN"/>
        </w:rPr>
        <w:t>经济效益等方面进行全面的总结</w:t>
      </w:r>
      <w:r>
        <w:rPr>
          <w:rFonts w:hint="eastAsia" w:ascii="宋体" w:hAnsi="宋体" w:eastAsia="宋体" w:cs="宋体"/>
          <w:b w:val="0"/>
          <w:bCs w:val="0"/>
          <w:sz w:val="22"/>
          <w:szCs w:val="22"/>
          <w:lang w:val="en-US" w:eastAsia="zh-CN"/>
        </w:rPr>
        <w:t>分析，并</w:t>
      </w:r>
      <w:r>
        <w:rPr>
          <w:rFonts w:hint="eastAsia" w:ascii="宋体" w:hAnsi="宋体" w:eastAsia="宋体" w:cs="宋体"/>
          <w:b w:val="0"/>
          <w:bCs w:val="0"/>
          <w:sz w:val="22"/>
          <w:szCs w:val="22"/>
          <w:lang w:eastAsia="zh-CN"/>
        </w:rPr>
        <w:t>结合本省实际情况、</w:t>
      </w:r>
      <w:r>
        <w:rPr>
          <w:rFonts w:hint="eastAsia" w:ascii="宋体" w:hAnsi="宋体" w:eastAsia="宋体" w:cs="宋体"/>
          <w:b w:val="0"/>
          <w:bCs w:val="0"/>
          <w:sz w:val="22"/>
          <w:szCs w:val="22"/>
          <w:lang w:val="en-US" w:eastAsia="zh-CN"/>
        </w:rPr>
        <w:t>调研情况等</w:t>
      </w:r>
      <w:r>
        <w:rPr>
          <w:rFonts w:hint="eastAsia" w:ascii="宋体" w:hAnsi="宋体" w:eastAsia="宋体" w:cs="宋体"/>
          <w:b w:val="0"/>
          <w:bCs w:val="0"/>
          <w:sz w:val="22"/>
          <w:szCs w:val="22"/>
          <w:lang w:eastAsia="zh-CN"/>
        </w:rPr>
        <w:t>编制差异化收费政策优化</w:t>
      </w:r>
      <w:r>
        <w:rPr>
          <w:rFonts w:hint="eastAsia" w:ascii="宋体" w:hAnsi="宋体" w:eastAsia="宋体" w:cs="宋体"/>
          <w:b w:val="0"/>
          <w:bCs w:val="0"/>
          <w:sz w:val="22"/>
          <w:szCs w:val="22"/>
          <w:lang w:val="en-US" w:eastAsia="zh-CN"/>
        </w:rPr>
        <w:t>建议</w:t>
      </w:r>
      <w:r>
        <w:rPr>
          <w:rFonts w:hint="eastAsia" w:ascii="宋体" w:hAnsi="宋体" w:eastAsia="宋体" w:cs="宋体"/>
          <w:b w:val="0"/>
          <w:bCs w:val="0"/>
          <w:sz w:val="22"/>
          <w:szCs w:val="22"/>
          <w:lang w:eastAsia="zh-CN"/>
        </w:rPr>
        <w:t>方案。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rPr>
        <w:t>（四）</w:t>
      </w:r>
      <w:r>
        <w:rPr>
          <w:rFonts w:hint="eastAsia" w:ascii="宋体" w:hAnsi="宋体" w:eastAsia="宋体" w:cs="宋体"/>
          <w:b w:val="0"/>
          <w:bCs w:val="0"/>
          <w:sz w:val="22"/>
          <w:szCs w:val="22"/>
          <w:lang w:val="en-US" w:eastAsia="zh-CN"/>
        </w:rPr>
        <w:t>收费统计服务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rPr>
        <w:t>按月按要求完成14类表格和报告的编制工作</w:t>
      </w:r>
      <w:r>
        <w:rPr>
          <w:rFonts w:hint="eastAsia" w:ascii="宋体" w:hAnsi="宋体" w:eastAsia="宋体" w:cs="宋体"/>
          <w:b w:val="0"/>
          <w:bCs w:val="0"/>
          <w:sz w:val="22"/>
          <w:szCs w:val="22"/>
          <w:lang w:eastAsia="zh-CN"/>
        </w:rPr>
        <w:t>、陕西省非封闭式公路收费站统计分析网报系统</w:t>
      </w:r>
      <w:r>
        <w:rPr>
          <w:rFonts w:hint="eastAsia" w:ascii="宋体" w:hAnsi="宋体" w:eastAsia="宋体" w:cs="宋体"/>
          <w:b w:val="0"/>
          <w:bCs w:val="0"/>
          <w:sz w:val="22"/>
          <w:szCs w:val="22"/>
          <w:lang w:val="en-US" w:eastAsia="zh-CN"/>
        </w:rPr>
        <w:t>运维工作</w:t>
      </w:r>
      <w:r>
        <w:rPr>
          <w:rFonts w:hint="eastAsia" w:ascii="宋体" w:hAnsi="宋体" w:eastAsia="宋体" w:cs="宋体"/>
          <w:b w:val="0"/>
          <w:bCs w:val="0"/>
          <w:sz w:val="22"/>
          <w:szCs w:val="22"/>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eastAsia="zh-CN"/>
        </w:rPr>
        <w:t>1.</w:t>
      </w:r>
      <w:r>
        <w:rPr>
          <w:rFonts w:hint="eastAsia" w:ascii="宋体" w:hAnsi="宋体" w:eastAsia="宋体" w:cs="宋体"/>
          <w:b w:val="0"/>
          <w:bCs w:val="0"/>
          <w:sz w:val="22"/>
          <w:szCs w:val="22"/>
          <w:lang w:val="en-US"/>
        </w:rPr>
        <w:t>按月按要求完成14类表格和报告的编制工作：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（1）《陕西省公路车辆通行费收入快报》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 xml:space="preserve">（2）《陕西省高速公路车辆通行费收入快报》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 xml:space="preserve">（3）《全省公路车辆通行费收入同比增长情况》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（4）《全省*-*月公路车辆通行费收入简报》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 xml:space="preserve">（5）《陕西省公路车辆通行费收入分析》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 xml:space="preserve">（6）《陕西省高速公路收费管理中心关于2023年**月高速公路联网收费及路网运行工作通报》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（7）《陕西省收费公路ETC车道建设情况统计表》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（8）《收费公路车辆通行费优惠政策调查表》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（9）《“绿色通道”政策执行情况调查表》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（10）《2023年*月全省收费公路及高速公路通行费优惠汇总表》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（11）《202</w:t>
      </w:r>
      <w:r>
        <w:rPr>
          <w:rFonts w:hint="eastAsia" w:ascii="宋体" w:hAnsi="宋体" w:eastAsia="宋体" w:cs="宋体"/>
          <w:b w:val="0"/>
          <w:bCs w:val="0"/>
          <w:sz w:val="22"/>
          <w:szCs w:val="22"/>
          <w:lang w:val="en-US" w:eastAsia="zh-CN"/>
        </w:rPr>
        <w:t>3</w:t>
      </w:r>
      <w:r>
        <w:rPr>
          <w:rFonts w:hint="eastAsia" w:ascii="宋体" w:hAnsi="宋体" w:eastAsia="宋体" w:cs="宋体"/>
          <w:b w:val="0"/>
          <w:bCs w:val="0"/>
          <w:sz w:val="22"/>
          <w:szCs w:val="22"/>
          <w:lang w:val="en-US"/>
        </w:rPr>
        <w:t xml:space="preserve">年*月规划处自然月通行费分析报表》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（12）《仔猪及冷鲜猪肉通行费优惠政策落实情况调查表》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（13）《陕西省收费公路车辆通行费差异化优惠政策汇总表》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eastAsia="zh-CN"/>
        </w:rPr>
        <w:t>2.</w:t>
      </w:r>
      <w:r>
        <w:rPr>
          <w:rFonts w:hint="eastAsia" w:ascii="宋体" w:hAnsi="宋体" w:eastAsia="宋体" w:cs="宋体"/>
          <w:b w:val="0"/>
          <w:bCs w:val="0"/>
          <w:sz w:val="22"/>
          <w:szCs w:val="22"/>
          <w:lang w:val="en-US"/>
        </w:rPr>
        <w:t>陕西省非封闭式公路收费站统计分析网报系统</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eastAsia="zh-CN"/>
        </w:rPr>
        <w:t>（1）</w:t>
      </w:r>
      <w:r>
        <w:rPr>
          <w:rFonts w:hint="eastAsia" w:ascii="宋体" w:hAnsi="宋体" w:eastAsia="宋体" w:cs="宋体"/>
          <w:b w:val="0"/>
          <w:bCs w:val="0"/>
          <w:sz w:val="22"/>
          <w:szCs w:val="22"/>
          <w:lang w:val="en-US"/>
        </w:rPr>
        <w:t>收费站信息、收费车辆信息、通行费区间信息的录入。每项录入信息都有对应的“管理查询界面”，通过该界面进行相应的“增删改查”操作。查询条件为任意月份和管理单位，管理单位支持树结构选择。</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（1</w:t>
      </w:r>
      <w:r>
        <w:rPr>
          <w:rFonts w:hint="eastAsia" w:ascii="宋体" w:hAnsi="宋体" w:eastAsia="宋体" w:cs="宋体"/>
          <w:b w:val="0"/>
          <w:bCs w:val="0"/>
          <w:sz w:val="22"/>
          <w:szCs w:val="22"/>
          <w:lang w:val="en-US" w:eastAsia="zh-CN"/>
        </w:rPr>
        <w:t>.1</w:t>
      </w:r>
      <w:r>
        <w:rPr>
          <w:rFonts w:hint="eastAsia" w:ascii="宋体" w:hAnsi="宋体" w:eastAsia="宋体" w:cs="宋体"/>
          <w:b w:val="0"/>
          <w:bCs w:val="0"/>
          <w:sz w:val="22"/>
          <w:szCs w:val="22"/>
          <w:lang w:val="en-US"/>
        </w:rPr>
        <w:t>）免征车辆信息录入</w:t>
      </w:r>
      <w:r>
        <w:rPr>
          <w:rFonts w:hint="eastAsia" w:ascii="宋体" w:hAnsi="宋体" w:eastAsia="宋体" w:cs="宋体"/>
          <w:b w:val="0"/>
          <w:bCs w:val="0"/>
          <w:sz w:val="22"/>
          <w:szCs w:val="22"/>
          <w:lang w:val="en-US" w:eastAsia="zh-CN"/>
        </w:rPr>
        <w:t>：</w:t>
      </w:r>
      <w:r>
        <w:rPr>
          <w:rFonts w:hint="eastAsia" w:ascii="宋体" w:hAnsi="宋体" w:eastAsia="宋体" w:cs="宋体"/>
          <w:b w:val="0"/>
          <w:bCs w:val="0"/>
          <w:sz w:val="22"/>
          <w:szCs w:val="22"/>
          <w:lang w:val="en-US"/>
        </w:rPr>
        <w:t>供收费站录入每月免征车辆的免征金额、流量信息。包括军队武警部队车辆、公安制式警车、鲜活农产品绿色通道、联合收割机、仔猪及冷鲜猪肉等车辆的免征额、流量信息录入。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w:t>
      </w:r>
      <w:r>
        <w:rPr>
          <w:rFonts w:hint="eastAsia" w:ascii="宋体" w:hAnsi="宋体" w:eastAsia="宋体" w:cs="宋体"/>
          <w:b w:val="0"/>
          <w:bCs w:val="0"/>
          <w:sz w:val="22"/>
          <w:szCs w:val="22"/>
          <w:lang w:val="en-US" w:eastAsia="zh-CN"/>
        </w:rPr>
        <w:t>1.</w:t>
      </w:r>
      <w:r>
        <w:rPr>
          <w:rFonts w:hint="eastAsia" w:ascii="宋体" w:hAnsi="宋体" w:eastAsia="宋体" w:cs="宋体"/>
          <w:b w:val="0"/>
          <w:bCs w:val="0"/>
          <w:sz w:val="22"/>
          <w:szCs w:val="22"/>
          <w:lang w:val="en-US"/>
        </w:rPr>
        <w:t>2）法定节假日免费车辆录入</w:t>
      </w:r>
      <w:r>
        <w:rPr>
          <w:rFonts w:hint="eastAsia" w:ascii="宋体" w:hAnsi="宋体" w:eastAsia="宋体" w:cs="宋体"/>
          <w:b w:val="0"/>
          <w:bCs w:val="0"/>
          <w:sz w:val="22"/>
          <w:szCs w:val="22"/>
          <w:lang w:val="en-US" w:eastAsia="zh-CN"/>
        </w:rPr>
        <w:t>：</w:t>
      </w:r>
      <w:r>
        <w:rPr>
          <w:rFonts w:hint="eastAsia" w:ascii="宋体" w:hAnsi="宋体" w:eastAsia="宋体" w:cs="宋体"/>
          <w:b w:val="0"/>
          <w:bCs w:val="0"/>
          <w:sz w:val="22"/>
          <w:szCs w:val="22"/>
          <w:lang w:val="en-US"/>
        </w:rPr>
        <w:t>供收费站录入法定假日前一天、节假日期间、节后一天每日的小型客车、其他客车、货车、绿色通道车辆的流量、优惠或收费金额信息。</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w:t>
      </w:r>
      <w:r>
        <w:rPr>
          <w:rFonts w:hint="eastAsia" w:ascii="宋体" w:hAnsi="宋体" w:eastAsia="宋体" w:cs="宋体"/>
          <w:b w:val="0"/>
          <w:bCs w:val="0"/>
          <w:sz w:val="22"/>
          <w:szCs w:val="22"/>
          <w:lang w:val="en-US" w:eastAsia="zh-CN"/>
        </w:rPr>
        <w:t>1.</w:t>
      </w:r>
      <w:r>
        <w:rPr>
          <w:rFonts w:hint="eastAsia" w:ascii="宋体" w:hAnsi="宋体" w:eastAsia="宋体" w:cs="宋体"/>
          <w:b w:val="0"/>
          <w:bCs w:val="0"/>
          <w:sz w:val="22"/>
          <w:szCs w:val="22"/>
          <w:lang w:val="en-US"/>
        </w:rPr>
        <w:t>3）收费站信息录入</w:t>
      </w:r>
      <w:r>
        <w:rPr>
          <w:rFonts w:hint="eastAsia" w:ascii="宋体" w:hAnsi="宋体" w:eastAsia="宋体" w:cs="宋体"/>
          <w:b w:val="0"/>
          <w:bCs w:val="0"/>
          <w:sz w:val="22"/>
          <w:szCs w:val="22"/>
          <w:lang w:val="en-US" w:eastAsia="zh-CN"/>
        </w:rPr>
        <w:t>：</w:t>
      </w:r>
      <w:r>
        <w:rPr>
          <w:rFonts w:hint="eastAsia" w:ascii="宋体" w:hAnsi="宋体" w:eastAsia="宋体" w:cs="宋体"/>
          <w:b w:val="0"/>
          <w:bCs w:val="0"/>
          <w:sz w:val="22"/>
          <w:szCs w:val="22"/>
          <w:lang w:val="en-US"/>
        </w:rPr>
        <w:t>供收费站录入并维护收费站基本信息、车道建设信息、车型分类及收费标准信息。</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w:t>
      </w:r>
      <w:r>
        <w:rPr>
          <w:rFonts w:hint="eastAsia" w:ascii="宋体" w:hAnsi="宋体" w:eastAsia="宋体" w:cs="宋体"/>
          <w:b w:val="0"/>
          <w:bCs w:val="0"/>
          <w:sz w:val="22"/>
          <w:szCs w:val="22"/>
          <w:lang w:val="en-US" w:eastAsia="zh-CN"/>
        </w:rPr>
        <w:t>1.</w:t>
      </w:r>
      <w:r>
        <w:rPr>
          <w:rFonts w:hint="eastAsia" w:ascii="宋体" w:hAnsi="宋体" w:eastAsia="宋体" w:cs="宋体"/>
          <w:b w:val="0"/>
          <w:bCs w:val="0"/>
          <w:sz w:val="22"/>
          <w:szCs w:val="22"/>
          <w:lang w:val="en-US"/>
        </w:rPr>
        <w:t>4）收费车辆信息录入</w:t>
      </w:r>
      <w:r>
        <w:rPr>
          <w:rFonts w:hint="eastAsia" w:ascii="宋体" w:hAnsi="宋体" w:eastAsia="宋体" w:cs="宋体"/>
          <w:b w:val="0"/>
          <w:bCs w:val="0"/>
          <w:sz w:val="22"/>
          <w:szCs w:val="22"/>
          <w:lang w:val="en-US" w:eastAsia="zh-CN"/>
        </w:rPr>
        <w:t>：</w:t>
      </w:r>
      <w:r>
        <w:rPr>
          <w:rFonts w:hint="eastAsia" w:ascii="宋体" w:hAnsi="宋体" w:eastAsia="宋体" w:cs="宋体"/>
          <w:b w:val="0"/>
          <w:bCs w:val="0"/>
          <w:sz w:val="22"/>
          <w:szCs w:val="22"/>
          <w:lang w:val="en-US"/>
        </w:rPr>
        <w:t>供收费站录入并维护收费站当月4类客车、6类货车、包缴车辆的现金、非现金支付的流量、收费金额。</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w:t>
      </w:r>
      <w:r>
        <w:rPr>
          <w:rFonts w:hint="eastAsia" w:ascii="宋体" w:hAnsi="宋体" w:eastAsia="宋体" w:cs="宋体"/>
          <w:b w:val="0"/>
          <w:bCs w:val="0"/>
          <w:sz w:val="22"/>
          <w:szCs w:val="22"/>
          <w:lang w:val="en-US" w:eastAsia="zh-CN"/>
        </w:rPr>
        <w:t>1.</w:t>
      </w:r>
      <w:r>
        <w:rPr>
          <w:rFonts w:hint="eastAsia" w:ascii="宋体" w:hAnsi="宋体" w:eastAsia="宋体" w:cs="宋体"/>
          <w:b w:val="0"/>
          <w:bCs w:val="0"/>
          <w:sz w:val="22"/>
          <w:szCs w:val="22"/>
          <w:lang w:val="en-US"/>
        </w:rPr>
        <w:t>5）通行费区间信息录入</w:t>
      </w:r>
      <w:r>
        <w:rPr>
          <w:rFonts w:hint="eastAsia" w:ascii="宋体" w:hAnsi="宋体" w:eastAsia="宋体" w:cs="宋体"/>
          <w:b w:val="0"/>
          <w:bCs w:val="0"/>
          <w:sz w:val="22"/>
          <w:szCs w:val="22"/>
          <w:lang w:val="en-US" w:eastAsia="zh-CN"/>
        </w:rPr>
        <w:t>：</w:t>
      </w:r>
      <w:r>
        <w:rPr>
          <w:rFonts w:hint="eastAsia" w:ascii="宋体" w:hAnsi="宋体" w:eastAsia="宋体" w:cs="宋体"/>
          <w:b w:val="0"/>
          <w:bCs w:val="0"/>
          <w:sz w:val="22"/>
          <w:szCs w:val="22"/>
          <w:lang w:val="en-US"/>
        </w:rPr>
        <w:t>供收费站录入并维护收费站上月21日至当月20日通行费信息、当年累计信息。</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eastAsia="zh-CN"/>
        </w:rPr>
        <w:t>（2）</w:t>
      </w:r>
      <w:r>
        <w:rPr>
          <w:rFonts w:hint="eastAsia" w:ascii="宋体" w:hAnsi="宋体" w:eastAsia="宋体" w:cs="宋体"/>
          <w:b w:val="0"/>
          <w:bCs w:val="0"/>
          <w:sz w:val="22"/>
          <w:szCs w:val="22"/>
          <w:lang w:val="en-US"/>
        </w:rPr>
        <w:t>报表管理</w:t>
      </w:r>
      <w:r>
        <w:rPr>
          <w:rFonts w:hint="eastAsia" w:ascii="宋体" w:hAnsi="宋体" w:eastAsia="宋体" w:cs="宋体"/>
          <w:b w:val="0"/>
          <w:bCs w:val="0"/>
          <w:sz w:val="22"/>
          <w:szCs w:val="22"/>
          <w:lang w:val="en-US" w:eastAsia="zh-CN"/>
        </w:rPr>
        <w:t>：</w:t>
      </w:r>
      <w:r>
        <w:rPr>
          <w:rFonts w:hint="eastAsia" w:ascii="宋体" w:hAnsi="宋体" w:eastAsia="宋体" w:cs="宋体"/>
          <w:b w:val="0"/>
          <w:bCs w:val="0"/>
          <w:sz w:val="22"/>
          <w:szCs w:val="22"/>
          <w:lang w:val="en-US"/>
        </w:rPr>
        <w:t>供各级管理单位按月、季、年查询所辖收费路段的各类收费统计报表，包括全省减免统计报表、管理单位通行费收入报表、全省车辆通行费减免统计报表、全省实收率统计表、全省通行费收入快报、重大节假日上报明细报表、重大节假日统计表、ETC车道建设情况统计表、通行费区间统计报表、全省车流量统计快报、车型分类流量&amp;金额统计报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bCs/>
          <w:sz w:val="22"/>
          <w:szCs w:val="22"/>
          <w:lang w:val="en-US"/>
        </w:rPr>
      </w:pPr>
      <w:r>
        <w:rPr>
          <w:rFonts w:hint="eastAsia" w:ascii="宋体" w:hAnsi="宋体" w:eastAsia="宋体" w:cs="宋体"/>
          <w:b w:val="0"/>
          <w:bCs w:val="0"/>
          <w:sz w:val="22"/>
          <w:szCs w:val="22"/>
          <w:lang w:val="en-US" w:eastAsia="zh-CN"/>
        </w:rPr>
        <w:t>（3）</w:t>
      </w:r>
      <w:r>
        <w:rPr>
          <w:rFonts w:hint="eastAsia" w:ascii="宋体" w:hAnsi="宋体" w:eastAsia="宋体" w:cs="宋体"/>
          <w:b w:val="0"/>
          <w:bCs w:val="0"/>
          <w:sz w:val="22"/>
          <w:szCs w:val="22"/>
          <w:lang w:val="en-US"/>
        </w:rPr>
        <w:t>系统管理</w:t>
      </w:r>
      <w:r>
        <w:rPr>
          <w:rFonts w:hint="eastAsia" w:ascii="宋体" w:hAnsi="宋体" w:eastAsia="宋体" w:cs="宋体"/>
          <w:b w:val="0"/>
          <w:bCs w:val="0"/>
          <w:sz w:val="22"/>
          <w:szCs w:val="22"/>
          <w:lang w:val="en-US" w:eastAsia="zh-CN"/>
        </w:rPr>
        <w:t>：</w:t>
      </w:r>
      <w:r>
        <w:rPr>
          <w:rFonts w:hint="eastAsia" w:ascii="宋体" w:hAnsi="宋体" w:eastAsia="宋体" w:cs="宋体"/>
          <w:b w:val="0"/>
          <w:bCs w:val="0"/>
          <w:sz w:val="22"/>
          <w:szCs w:val="22"/>
          <w:lang w:val="en-US"/>
        </w:rPr>
        <w:t>对系统用户进权限管理，不同权限的用户可进行的操作不同，每个用户只能在允许的权限下进行信息的“增删改查”。以收费站为例，收费站级别的账户，仅能对自己的收费站信息、相关数据进行“增删改查”操作。</w:t>
      </w:r>
    </w:p>
    <w:p>
      <w:pPr>
        <w:autoSpaceDE w:val="0"/>
        <w:autoSpaceDN w:val="0"/>
        <w:adjustRightInd w:val="0"/>
        <w:spacing w:line="360" w:lineRule="auto"/>
        <w:jc w:val="left"/>
        <w:rPr>
          <w:rFonts w:hint="eastAsia" w:ascii="宋体" w:hAnsi="宋体" w:eastAsia="宋体" w:cs="宋体"/>
          <w:b/>
          <w:bCs/>
          <w:sz w:val="22"/>
          <w:szCs w:val="22"/>
        </w:rPr>
      </w:pPr>
      <w:r>
        <w:rPr>
          <w:rFonts w:hint="eastAsia" w:ascii="宋体" w:hAnsi="宋体" w:eastAsia="宋体" w:cs="宋体"/>
          <w:b/>
          <w:bCs/>
          <w:sz w:val="22"/>
          <w:szCs w:val="22"/>
        </w:rPr>
        <w:t>三、款项结算</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1.服务费支付方式：合同签订后，</w:t>
      </w:r>
      <w:r>
        <w:rPr>
          <w:rFonts w:hint="default" w:ascii="宋体" w:hAnsi="宋体" w:eastAsia="宋体" w:cs="宋体"/>
          <w:b w:val="0"/>
          <w:bCs w:val="0"/>
          <w:sz w:val="22"/>
          <w:szCs w:val="22"/>
          <w:lang w:val="en-US"/>
        </w:rPr>
        <w:t>先</w:t>
      </w:r>
      <w:r>
        <w:rPr>
          <w:rFonts w:hint="eastAsia" w:ascii="宋体" w:hAnsi="宋体" w:eastAsia="宋体" w:cs="宋体"/>
          <w:b w:val="0"/>
          <w:bCs w:val="0"/>
          <w:sz w:val="22"/>
          <w:szCs w:val="22"/>
          <w:lang w:val="en-US" w:eastAsia="zh-CN"/>
        </w:rPr>
        <w:t>付合同款项的65%，剩余款项</w:t>
      </w:r>
      <w:r>
        <w:rPr>
          <w:rFonts w:hint="eastAsia" w:ascii="宋体" w:hAnsi="宋体" w:eastAsia="宋体" w:cs="宋体"/>
          <w:b w:val="0"/>
          <w:bCs w:val="0"/>
          <w:sz w:val="22"/>
          <w:szCs w:val="22"/>
          <w:lang w:val="en-US"/>
        </w:rPr>
        <w:t>按照月度支付服务费。前11次在每月结束后的15个工作日内支付，最后一次在服务期满并通过验收后10个工作日支付。</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2.乙方须向甲方出具合法有效的完税发票，甲方进行支付结算。</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 w:val="0"/>
          <w:bCs w:val="0"/>
          <w:sz w:val="22"/>
          <w:szCs w:val="22"/>
          <w:lang w:val="en-US"/>
        </w:rPr>
      </w:pPr>
      <w:r>
        <w:rPr>
          <w:rFonts w:hint="eastAsia" w:ascii="宋体" w:hAnsi="宋体" w:eastAsia="宋体" w:cs="宋体"/>
          <w:b w:val="0"/>
          <w:bCs w:val="0"/>
          <w:sz w:val="22"/>
          <w:szCs w:val="22"/>
          <w:lang w:val="en-US"/>
        </w:rPr>
        <w:t>3.结算方式：银行转账。</w:t>
      </w:r>
    </w:p>
    <w:p>
      <w:pPr>
        <w:autoSpaceDE w:val="0"/>
        <w:autoSpaceDN w:val="0"/>
        <w:adjustRightInd w:val="0"/>
        <w:spacing w:line="360" w:lineRule="auto"/>
        <w:jc w:val="left"/>
        <w:rPr>
          <w:rFonts w:hint="eastAsia" w:ascii="宋体" w:hAnsi="宋体" w:eastAsia="宋体" w:cs="宋体"/>
          <w:b/>
          <w:bCs/>
          <w:sz w:val="22"/>
          <w:szCs w:val="22"/>
        </w:rPr>
      </w:pPr>
      <w:r>
        <w:rPr>
          <w:rFonts w:hint="eastAsia" w:ascii="宋体" w:hAnsi="宋体" w:eastAsia="宋体" w:cs="宋体"/>
          <w:b/>
          <w:bCs/>
          <w:sz w:val="22"/>
          <w:szCs w:val="22"/>
        </w:rPr>
        <w:t>四、</w:t>
      </w:r>
      <w:r>
        <w:rPr>
          <w:rFonts w:hint="eastAsia" w:ascii="宋体" w:hAnsi="宋体" w:eastAsia="宋体" w:cs="宋体"/>
          <w:b/>
          <w:sz w:val="22"/>
          <w:szCs w:val="22"/>
          <w:lang w:val="zh-CN"/>
        </w:rPr>
        <w:t>服务</w:t>
      </w:r>
      <w:r>
        <w:rPr>
          <w:rFonts w:hint="eastAsia" w:ascii="宋体" w:hAnsi="宋体" w:eastAsia="宋体" w:cs="宋体"/>
          <w:b/>
          <w:sz w:val="22"/>
          <w:szCs w:val="22"/>
        </w:rPr>
        <w:t>条件</w:t>
      </w:r>
    </w:p>
    <w:p>
      <w:pPr>
        <w:autoSpaceDE w:val="0"/>
        <w:autoSpaceDN w:val="0"/>
        <w:adjustRightInd w:val="0"/>
        <w:snapToGrid w:val="0"/>
        <w:spacing w:line="360" w:lineRule="auto"/>
        <w:ind w:firstLine="440" w:firstLineChars="200"/>
        <w:jc w:val="left"/>
        <w:rPr>
          <w:rFonts w:hint="eastAsia" w:ascii="宋体" w:hAnsi="宋体" w:eastAsia="宋体" w:cs="宋体"/>
          <w:bCs/>
          <w:sz w:val="22"/>
          <w:szCs w:val="22"/>
          <w:lang w:val="zh-CN"/>
        </w:rPr>
      </w:pPr>
      <w:r>
        <w:rPr>
          <w:rFonts w:hint="eastAsia" w:ascii="宋体" w:hAnsi="宋体" w:eastAsia="宋体" w:cs="宋体"/>
          <w:bCs/>
          <w:sz w:val="22"/>
          <w:szCs w:val="22"/>
          <w:lang w:val="zh-CN"/>
        </w:rPr>
        <w:t>（一）服务地点：本次服务的地点为陕西省高速公路收费中心</w:t>
      </w:r>
    </w:p>
    <w:p>
      <w:pPr>
        <w:autoSpaceDE w:val="0"/>
        <w:autoSpaceDN w:val="0"/>
        <w:adjustRightInd w:val="0"/>
        <w:snapToGrid w:val="0"/>
        <w:spacing w:line="360" w:lineRule="auto"/>
        <w:ind w:firstLine="440" w:firstLineChars="200"/>
        <w:jc w:val="left"/>
        <w:rPr>
          <w:rFonts w:hint="eastAsia" w:ascii="宋体" w:hAnsi="宋体" w:eastAsia="宋体" w:cs="宋体"/>
          <w:bCs/>
          <w:sz w:val="22"/>
          <w:szCs w:val="22"/>
          <w:lang w:val="zh-CN"/>
        </w:rPr>
      </w:pPr>
      <w:r>
        <w:rPr>
          <w:rFonts w:hint="eastAsia" w:ascii="宋体" w:hAnsi="宋体" w:eastAsia="宋体" w:cs="宋体"/>
          <w:bCs/>
          <w:sz w:val="22"/>
          <w:szCs w:val="22"/>
          <w:lang w:val="zh-CN"/>
        </w:rPr>
        <w:t>（二）服务期：2024年7月1日至2025年6月30日</w:t>
      </w:r>
    </w:p>
    <w:p>
      <w:pPr>
        <w:autoSpaceDE w:val="0"/>
        <w:autoSpaceDN w:val="0"/>
        <w:adjustRightInd w:val="0"/>
        <w:snapToGrid w:val="0"/>
        <w:spacing w:line="360" w:lineRule="auto"/>
        <w:ind w:firstLine="440" w:firstLineChars="200"/>
        <w:jc w:val="left"/>
        <w:rPr>
          <w:rFonts w:hint="eastAsia" w:ascii="宋体" w:hAnsi="宋体" w:eastAsia="宋体" w:cs="宋体"/>
          <w:bCs/>
          <w:sz w:val="22"/>
          <w:szCs w:val="22"/>
          <w:lang w:val="zh-CN"/>
        </w:rPr>
      </w:pPr>
      <w:r>
        <w:rPr>
          <w:rFonts w:hint="eastAsia" w:ascii="宋体" w:hAnsi="宋体" w:eastAsia="宋体" w:cs="宋体"/>
          <w:bCs/>
          <w:sz w:val="22"/>
          <w:szCs w:val="22"/>
          <w:lang w:val="zh-CN"/>
        </w:rPr>
        <w:t xml:space="preserve">（三）乙方指派的项目负责人为        ，性别       ，身份证号  </w:t>
      </w:r>
      <w:r>
        <w:rPr>
          <w:rFonts w:hint="eastAsia" w:ascii="宋体" w:hAnsi="宋体" w:eastAsia="宋体" w:cs="宋体"/>
          <w:bCs/>
          <w:sz w:val="22"/>
          <w:szCs w:val="22"/>
          <w:lang w:val="en-US" w:eastAsia="zh-CN"/>
        </w:rPr>
        <w:t xml:space="preserve">  ，</w:t>
      </w:r>
      <w:r>
        <w:rPr>
          <w:rFonts w:hint="eastAsia" w:ascii="宋体" w:hAnsi="宋体" w:eastAsia="宋体" w:cs="宋体"/>
          <w:bCs/>
          <w:sz w:val="22"/>
          <w:szCs w:val="22"/>
          <w:lang w:val="zh-CN"/>
        </w:rPr>
        <w:t xml:space="preserve">         联系电话                 。</w:t>
      </w:r>
    </w:p>
    <w:p>
      <w:pPr>
        <w:autoSpaceDE w:val="0"/>
        <w:autoSpaceDN w:val="0"/>
        <w:adjustRightInd w:val="0"/>
        <w:snapToGrid w:val="0"/>
        <w:spacing w:line="360" w:lineRule="auto"/>
        <w:jc w:val="left"/>
        <w:rPr>
          <w:rFonts w:hint="default" w:ascii="宋体" w:hAnsi="宋体" w:eastAsia="宋体" w:cs="宋体"/>
          <w:b/>
          <w:bCs w:val="0"/>
          <w:sz w:val="22"/>
          <w:szCs w:val="22"/>
          <w:lang w:val="en-US" w:eastAsia="zh-CN"/>
        </w:rPr>
      </w:pPr>
      <w:r>
        <w:rPr>
          <w:rFonts w:hint="eastAsia" w:ascii="宋体" w:hAnsi="宋体" w:eastAsia="宋体" w:cs="宋体"/>
          <w:b/>
          <w:bCs w:val="0"/>
          <w:sz w:val="22"/>
          <w:szCs w:val="22"/>
          <w:lang w:val="zh-CN"/>
        </w:rPr>
        <w:t>五、</w:t>
      </w:r>
      <w:r>
        <w:rPr>
          <w:rFonts w:hint="eastAsia" w:ascii="宋体" w:hAnsi="宋体" w:eastAsia="宋体" w:cs="宋体"/>
          <w:b/>
          <w:bCs w:val="0"/>
          <w:sz w:val="22"/>
          <w:szCs w:val="22"/>
          <w:lang w:val="en-US" w:eastAsia="zh-CN"/>
        </w:rPr>
        <w:t>服务要求</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rPr>
      </w:pPr>
      <w:r>
        <w:rPr>
          <w:rFonts w:hint="eastAsia" w:ascii="宋体" w:hAnsi="宋体" w:eastAsia="宋体" w:cs="宋体"/>
          <w:b w:val="0"/>
          <w:bCs/>
          <w:sz w:val="22"/>
          <w:szCs w:val="22"/>
          <w:lang w:val="en-US" w:eastAsia="zh-CN"/>
        </w:rPr>
        <w:t>1</w:t>
      </w:r>
      <w:r>
        <w:rPr>
          <w:rFonts w:hint="eastAsia" w:ascii="宋体" w:hAnsi="宋体" w:eastAsia="宋体" w:cs="宋体"/>
          <w:b w:val="0"/>
          <w:bCs/>
          <w:sz w:val="22"/>
          <w:szCs w:val="22"/>
        </w:rPr>
        <w:t>.技术支持服务</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rPr>
        <w:t>（1）合同期内对维护范围内的业务系统进行日常巡查或通过远程进行维护</w:t>
      </w:r>
      <w:r>
        <w:rPr>
          <w:rFonts w:hint="eastAsia" w:ascii="宋体" w:hAnsi="宋体" w:eastAsia="宋体" w:cs="宋体"/>
          <w:b w:val="0"/>
          <w:bCs/>
          <w:sz w:val="22"/>
          <w:szCs w:val="22"/>
          <w:lang w:val="en-US" w:eastAsia="zh-CN"/>
        </w:rPr>
        <w:t>并做好巡查或维护登记</w:t>
      </w:r>
      <w:r>
        <w:rPr>
          <w:rFonts w:hint="eastAsia" w:ascii="宋体" w:hAnsi="宋体" w:eastAsia="宋体" w:cs="宋体"/>
          <w:b w:val="0"/>
          <w:bCs/>
          <w:sz w:val="22"/>
          <w:szCs w:val="22"/>
          <w:lang w:val="en-US"/>
        </w:rPr>
        <w:t>。</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rPr>
        <w:t>（2）合同期内</w:t>
      </w:r>
      <w:r>
        <w:rPr>
          <w:rFonts w:hint="eastAsia" w:ascii="宋体" w:hAnsi="宋体" w:eastAsia="宋体" w:cs="宋体"/>
          <w:b w:val="0"/>
          <w:bCs/>
          <w:sz w:val="22"/>
          <w:szCs w:val="22"/>
          <w:lang w:val="en-US" w:eastAsia="zh-CN"/>
        </w:rPr>
        <w:t>按照交通运输部或省上最新文件要求在要求的时间内升级完善系统</w:t>
      </w:r>
      <w:r>
        <w:rPr>
          <w:rFonts w:hint="eastAsia" w:ascii="宋体" w:hAnsi="宋体" w:eastAsia="宋体" w:cs="宋体"/>
          <w:b w:val="0"/>
          <w:bCs/>
          <w:sz w:val="22"/>
          <w:szCs w:val="22"/>
          <w:lang w:val="en-US"/>
        </w:rPr>
        <w:t>。</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rPr>
        <w:t>（3）合同期内配合省收费中心完善新通车路段入并网相关系统调试工作，承担陕西省高速公路新通车路段接入省收费中心的技术支持、调试、系统调整等工作。</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ko-KR"/>
        </w:rPr>
      </w:pPr>
      <w:r>
        <w:rPr>
          <w:rFonts w:hint="eastAsia" w:ascii="宋体" w:hAnsi="宋体" w:eastAsia="宋体" w:cs="宋体"/>
          <w:b w:val="0"/>
          <w:bCs/>
          <w:sz w:val="22"/>
          <w:szCs w:val="22"/>
          <w:lang w:val="en-US"/>
        </w:rPr>
        <w:t>（4）针对维护范围内的业务系统出现的各类故障及问题，应及时应答和解决，确保收费系统日常关键性工作顺利完成。硬件设备运行正常的情况下，软件业务系统</w:t>
      </w:r>
      <w:r>
        <w:rPr>
          <w:rFonts w:hint="eastAsia" w:ascii="宋体" w:hAnsi="宋体" w:eastAsia="宋体" w:cs="宋体"/>
          <w:b w:val="0"/>
          <w:bCs/>
          <w:sz w:val="22"/>
          <w:szCs w:val="22"/>
          <w:lang w:val="ko-KR"/>
        </w:rPr>
        <w:t>故障时，</w:t>
      </w:r>
      <w:r>
        <w:rPr>
          <w:rFonts w:hint="eastAsia" w:ascii="宋体" w:hAnsi="宋体" w:eastAsia="宋体" w:cs="宋体"/>
          <w:b w:val="0"/>
          <w:bCs/>
          <w:sz w:val="22"/>
          <w:szCs w:val="22"/>
          <w:lang w:val="en-US" w:eastAsia="zh-CN"/>
        </w:rPr>
        <w:t>服务方</w:t>
      </w:r>
      <w:r>
        <w:rPr>
          <w:rFonts w:hint="eastAsia" w:ascii="宋体" w:hAnsi="宋体" w:eastAsia="宋体" w:cs="宋体"/>
          <w:b w:val="0"/>
          <w:bCs/>
          <w:sz w:val="22"/>
          <w:szCs w:val="22"/>
          <w:lang w:val="ko-KR"/>
        </w:rPr>
        <w:t>需在10分钟内响应，1小时内提供解决方案，2小时内确认修复方案，故障的最终修复从报修时间算起不能超过</w:t>
      </w:r>
      <w:r>
        <w:rPr>
          <w:rFonts w:hint="eastAsia" w:ascii="宋体" w:hAnsi="宋体" w:eastAsia="宋体" w:cs="宋体"/>
          <w:b w:val="0"/>
          <w:bCs/>
          <w:sz w:val="22"/>
          <w:szCs w:val="22"/>
        </w:rPr>
        <w:t>24</w:t>
      </w:r>
      <w:r>
        <w:rPr>
          <w:rFonts w:hint="eastAsia" w:ascii="宋体" w:hAnsi="宋体" w:eastAsia="宋体" w:cs="宋体"/>
          <w:b w:val="0"/>
          <w:bCs/>
          <w:sz w:val="22"/>
          <w:szCs w:val="22"/>
          <w:lang w:val="ko-KR"/>
        </w:rPr>
        <w:t>小时，修复系统产生的费用由</w:t>
      </w:r>
      <w:r>
        <w:rPr>
          <w:rFonts w:hint="eastAsia" w:ascii="宋体" w:hAnsi="宋体" w:eastAsia="宋体" w:cs="宋体"/>
          <w:b w:val="0"/>
          <w:bCs/>
          <w:sz w:val="22"/>
          <w:szCs w:val="22"/>
          <w:lang w:val="en-US" w:eastAsia="zh-CN"/>
        </w:rPr>
        <w:t>服务</w:t>
      </w:r>
      <w:r>
        <w:rPr>
          <w:rFonts w:hint="eastAsia" w:ascii="宋体" w:hAnsi="宋体" w:eastAsia="宋体" w:cs="宋体"/>
          <w:b w:val="0"/>
          <w:bCs/>
          <w:sz w:val="22"/>
          <w:szCs w:val="22"/>
          <w:lang w:val="ko-KR"/>
        </w:rPr>
        <w:t>方承担。每次故障处理完成后记录相关处理情况，形成维护记录表，在维护到期时汇编成册提交给采购人。</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rPr>
        <w:t>（5）做好重要节假日（春节、清明节、劳动节、国庆节）应用系统</w:t>
      </w:r>
      <w:r>
        <w:rPr>
          <w:rFonts w:hint="eastAsia" w:ascii="宋体" w:hAnsi="宋体" w:eastAsia="宋体" w:cs="宋体"/>
          <w:b w:val="0"/>
          <w:bCs/>
          <w:sz w:val="22"/>
          <w:szCs w:val="22"/>
          <w:lang w:val="en-US" w:eastAsia="zh-CN"/>
        </w:rPr>
        <w:t>技术保障服务</w:t>
      </w:r>
      <w:r>
        <w:rPr>
          <w:rFonts w:hint="eastAsia" w:ascii="宋体" w:hAnsi="宋体" w:eastAsia="宋体" w:cs="宋体"/>
          <w:b w:val="0"/>
          <w:bCs/>
          <w:sz w:val="22"/>
          <w:szCs w:val="22"/>
          <w:lang w:val="en-US"/>
        </w:rPr>
        <w:t>；配合省收费中心做好操作统漏洞升级工作。</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rPr>
        <w:t>（6）</w:t>
      </w:r>
      <w:r>
        <w:rPr>
          <w:rFonts w:hint="eastAsia" w:ascii="宋体" w:hAnsi="宋体" w:eastAsia="宋体" w:cs="宋体"/>
          <w:b w:val="0"/>
          <w:bCs/>
          <w:sz w:val="22"/>
          <w:szCs w:val="22"/>
        </w:rPr>
        <w:t>新开通路段或</w:t>
      </w:r>
      <w:r>
        <w:rPr>
          <w:rFonts w:hint="eastAsia" w:ascii="宋体" w:hAnsi="宋体" w:eastAsia="宋体" w:cs="宋体"/>
          <w:b w:val="0"/>
          <w:bCs/>
          <w:sz w:val="22"/>
          <w:szCs w:val="22"/>
          <w:lang w:val="en-US" w:eastAsia="zh-CN"/>
        </w:rPr>
        <w:t>系统业务</w:t>
      </w:r>
      <w:r>
        <w:rPr>
          <w:rFonts w:hint="eastAsia" w:ascii="宋体" w:hAnsi="宋体" w:eastAsia="宋体" w:cs="宋体"/>
          <w:b w:val="0"/>
          <w:bCs/>
          <w:sz w:val="22"/>
          <w:szCs w:val="22"/>
        </w:rPr>
        <w:t>有重大变更时，由服务方组织提供必要的培训服务，使路段相关人员能够准确、及时</w:t>
      </w:r>
      <w:r>
        <w:rPr>
          <w:rFonts w:hint="eastAsia" w:ascii="宋体" w:hAnsi="宋体" w:eastAsia="宋体" w:cs="宋体"/>
          <w:b w:val="0"/>
          <w:bCs/>
          <w:sz w:val="22"/>
          <w:szCs w:val="22"/>
          <w:lang w:val="en-US" w:eastAsia="zh-CN"/>
        </w:rPr>
        <w:t>掌握系统及</w:t>
      </w:r>
      <w:r>
        <w:rPr>
          <w:rFonts w:hint="eastAsia" w:ascii="宋体" w:hAnsi="宋体" w:eastAsia="宋体" w:cs="宋体"/>
          <w:b w:val="0"/>
          <w:bCs/>
          <w:sz w:val="22"/>
          <w:szCs w:val="22"/>
        </w:rPr>
        <w:t>相关信息。</w:t>
      </w:r>
      <w:r>
        <w:rPr>
          <w:rFonts w:hint="eastAsia" w:ascii="宋体" w:hAnsi="宋体" w:eastAsia="宋体" w:cs="宋体"/>
          <w:b w:val="0"/>
          <w:bCs/>
          <w:sz w:val="22"/>
          <w:szCs w:val="22"/>
        </w:rPr>
        <w:br w:type="textWrapping"/>
      </w:r>
      <w:r>
        <w:rPr>
          <w:rFonts w:hint="eastAsia" w:ascii="宋体" w:hAnsi="宋体" w:eastAsia="宋体" w:cs="宋体"/>
          <w:b w:val="0"/>
          <w:bCs/>
          <w:sz w:val="22"/>
          <w:szCs w:val="22"/>
          <w:lang w:val="en-US" w:eastAsia="zh-CN"/>
        </w:rPr>
        <w:t xml:space="preserve">    </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lang w:val="en-US" w:eastAsia="zh-CN"/>
        </w:rPr>
        <w:t>7</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rPr>
        <w:t>新</w:t>
      </w:r>
      <w:r>
        <w:rPr>
          <w:rFonts w:hint="eastAsia" w:ascii="宋体" w:hAnsi="宋体" w:eastAsia="宋体" w:cs="宋体"/>
          <w:b w:val="0"/>
          <w:bCs/>
          <w:sz w:val="22"/>
          <w:szCs w:val="22"/>
          <w:lang w:val="en-US" w:eastAsia="zh-CN"/>
        </w:rPr>
        <w:t>服务</w:t>
      </w:r>
      <w:r>
        <w:rPr>
          <w:rFonts w:hint="eastAsia" w:ascii="宋体" w:hAnsi="宋体" w:eastAsia="宋体" w:cs="宋体"/>
          <w:b w:val="0"/>
          <w:bCs/>
          <w:sz w:val="22"/>
          <w:szCs w:val="22"/>
        </w:rPr>
        <w:t>商需提前</w:t>
      </w:r>
      <w:r>
        <w:rPr>
          <w:rFonts w:hint="eastAsia" w:ascii="宋体" w:hAnsi="宋体" w:eastAsia="宋体" w:cs="宋体"/>
          <w:b w:val="0"/>
          <w:bCs/>
          <w:sz w:val="22"/>
          <w:szCs w:val="22"/>
          <w:lang w:eastAsia="zh-CN"/>
        </w:rPr>
        <w:t>一个月</w:t>
      </w:r>
      <w:r>
        <w:rPr>
          <w:rFonts w:hint="eastAsia" w:ascii="宋体" w:hAnsi="宋体" w:eastAsia="宋体" w:cs="宋体"/>
          <w:b w:val="0"/>
          <w:bCs/>
          <w:sz w:val="22"/>
          <w:szCs w:val="22"/>
        </w:rPr>
        <w:t>安排</w:t>
      </w:r>
      <w:r>
        <w:rPr>
          <w:rFonts w:hint="eastAsia" w:ascii="宋体" w:hAnsi="宋体" w:eastAsia="宋体" w:cs="宋体"/>
          <w:b w:val="0"/>
          <w:bCs/>
          <w:sz w:val="22"/>
          <w:szCs w:val="22"/>
          <w:lang w:eastAsia="zh-CN"/>
        </w:rPr>
        <w:t>人员</w:t>
      </w:r>
      <w:r>
        <w:rPr>
          <w:rFonts w:hint="eastAsia" w:ascii="宋体" w:hAnsi="宋体" w:eastAsia="宋体" w:cs="宋体"/>
          <w:b w:val="0"/>
          <w:bCs/>
          <w:sz w:val="22"/>
          <w:szCs w:val="22"/>
        </w:rPr>
        <w:t>到现场熟悉</w:t>
      </w:r>
      <w:r>
        <w:rPr>
          <w:rFonts w:hint="eastAsia" w:ascii="宋体" w:hAnsi="宋体" w:eastAsia="宋体" w:cs="宋体"/>
          <w:b w:val="0"/>
          <w:bCs/>
          <w:sz w:val="22"/>
          <w:szCs w:val="22"/>
          <w:lang w:eastAsia="zh-CN"/>
        </w:rPr>
        <w:t>服务所对应的相关</w:t>
      </w:r>
      <w:r>
        <w:rPr>
          <w:rFonts w:hint="eastAsia" w:ascii="宋体" w:hAnsi="宋体" w:eastAsia="宋体" w:cs="宋体"/>
          <w:b w:val="0"/>
          <w:bCs/>
          <w:sz w:val="22"/>
          <w:szCs w:val="22"/>
        </w:rPr>
        <w:t>工作，以确保</w:t>
      </w:r>
      <w:r>
        <w:rPr>
          <w:rFonts w:hint="eastAsia" w:ascii="宋体" w:hAnsi="宋体" w:eastAsia="宋体" w:cs="宋体"/>
          <w:b w:val="0"/>
          <w:bCs/>
          <w:sz w:val="22"/>
          <w:szCs w:val="22"/>
          <w:lang w:eastAsia="zh-CN"/>
        </w:rPr>
        <w:t>招标方</w:t>
      </w:r>
      <w:r>
        <w:rPr>
          <w:rFonts w:hint="eastAsia" w:ascii="宋体" w:hAnsi="宋体" w:eastAsia="宋体" w:cs="宋体"/>
          <w:b w:val="0"/>
          <w:bCs/>
          <w:sz w:val="22"/>
          <w:szCs w:val="22"/>
        </w:rPr>
        <w:t>业务顺畅</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rPr>
        <w:t>熟悉期请遵守</w:t>
      </w:r>
      <w:r>
        <w:rPr>
          <w:rFonts w:hint="eastAsia" w:ascii="宋体" w:hAnsi="宋体" w:eastAsia="宋体" w:cs="宋体"/>
          <w:b w:val="0"/>
          <w:bCs/>
          <w:sz w:val="22"/>
          <w:szCs w:val="22"/>
          <w:lang w:eastAsia="zh-CN"/>
        </w:rPr>
        <w:t>招标方</w:t>
      </w:r>
      <w:r>
        <w:rPr>
          <w:rFonts w:hint="eastAsia" w:ascii="宋体" w:hAnsi="宋体" w:eastAsia="宋体" w:cs="宋体"/>
          <w:b w:val="0"/>
          <w:bCs/>
          <w:sz w:val="22"/>
          <w:szCs w:val="22"/>
        </w:rPr>
        <w:t>相关</w:t>
      </w:r>
      <w:r>
        <w:rPr>
          <w:rFonts w:hint="eastAsia" w:ascii="宋体" w:hAnsi="宋体" w:eastAsia="宋体" w:cs="宋体"/>
          <w:b w:val="0"/>
          <w:bCs/>
          <w:sz w:val="22"/>
          <w:szCs w:val="22"/>
          <w:lang w:eastAsia="zh-CN"/>
        </w:rPr>
        <w:t>规章制度并严格对</w:t>
      </w:r>
      <w:r>
        <w:rPr>
          <w:rFonts w:hint="eastAsia" w:ascii="宋体" w:hAnsi="宋体" w:eastAsia="宋体" w:cs="宋体"/>
          <w:b w:val="0"/>
          <w:bCs/>
          <w:sz w:val="22"/>
          <w:szCs w:val="22"/>
        </w:rPr>
        <w:t>所涉及到的内容保密，熟悉期新</w:t>
      </w:r>
      <w:r>
        <w:rPr>
          <w:rFonts w:hint="eastAsia" w:ascii="宋体" w:hAnsi="宋体" w:eastAsia="宋体" w:cs="宋体"/>
          <w:b w:val="0"/>
          <w:bCs/>
          <w:sz w:val="22"/>
          <w:szCs w:val="22"/>
          <w:lang w:eastAsia="zh-CN"/>
        </w:rPr>
        <w:t>服务</w:t>
      </w:r>
      <w:r>
        <w:rPr>
          <w:rFonts w:hint="eastAsia" w:ascii="宋体" w:hAnsi="宋体" w:eastAsia="宋体" w:cs="宋体"/>
          <w:b w:val="0"/>
          <w:bCs/>
          <w:sz w:val="22"/>
          <w:szCs w:val="22"/>
        </w:rPr>
        <w:t>商人员违反</w:t>
      </w:r>
      <w:r>
        <w:rPr>
          <w:rFonts w:hint="eastAsia" w:ascii="宋体" w:hAnsi="宋体" w:eastAsia="宋体" w:cs="宋体"/>
          <w:b w:val="0"/>
          <w:bCs/>
          <w:sz w:val="22"/>
          <w:szCs w:val="22"/>
          <w:lang w:eastAsia="zh-CN"/>
        </w:rPr>
        <w:t>招标方</w:t>
      </w:r>
      <w:r>
        <w:rPr>
          <w:rFonts w:hint="eastAsia" w:ascii="宋体" w:hAnsi="宋体" w:eastAsia="宋体" w:cs="宋体"/>
          <w:b w:val="0"/>
          <w:bCs/>
          <w:sz w:val="22"/>
          <w:szCs w:val="22"/>
        </w:rPr>
        <w:t>相关规定，造</w:t>
      </w:r>
      <w:r>
        <w:rPr>
          <w:rFonts w:hint="eastAsia" w:ascii="宋体" w:hAnsi="宋体" w:eastAsia="宋体" w:cs="宋体"/>
          <w:b w:val="0"/>
          <w:bCs/>
          <w:sz w:val="22"/>
          <w:szCs w:val="22"/>
          <w:lang w:eastAsia="zh-CN"/>
        </w:rPr>
        <w:t>成</w:t>
      </w:r>
      <w:r>
        <w:rPr>
          <w:rFonts w:hint="eastAsia" w:ascii="宋体" w:hAnsi="宋体" w:eastAsia="宋体" w:cs="宋体"/>
          <w:b w:val="0"/>
          <w:bCs/>
          <w:sz w:val="22"/>
          <w:szCs w:val="22"/>
        </w:rPr>
        <w:t>事故或</w:t>
      </w:r>
      <w:r>
        <w:rPr>
          <w:rFonts w:hint="eastAsia" w:ascii="宋体" w:hAnsi="宋体" w:eastAsia="宋体" w:cs="宋体"/>
          <w:b w:val="0"/>
          <w:bCs/>
          <w:sz w:val="22"/>
          <w:szCs w:val="22"/>
          <w:lang w:eastAsia="zh-CN"/>
        </w:rPr>
        <w:t>招标方</w:t>
      </w:r>
      <w:r>
        <w:rPr>
          <w:rFonts w:hint="eastAsia" w:ascii="宋体" w:hAnsi="宋体" w:eastAsia="宋体" w:cs="宋体"/>
          <w:b w:val="0"/>
          <w:bCs/>
          <w:sz w:val="22"/>
          <w:szCs w:val="22"/>
        </w:rPr>
        <w:t>损失的，由新</w:t>
      </w:r>
      <w:r>
        <w:rPr>
          <w:rFonts w:hint="eastAsia" w:ascii="宋体" w:hAnsi="宋体" w:eastAsia="宋体" w:cs="宋体"/>
          <w:b w:val="0"/>
          <w:bCs/>
          <w:sz w:val="22"/>
          <w:szCs w:val="22"/>
          <w:lang w:eastAsia="zh-CN"/>
        </w:rPr>
        <w:t>服务</w:t>
      </w:r>
      <w:r>
        <w:rPr>
          <w:rFonts w:hint="eastAsia" w:ascii="宋体" w:hAnsi="宋体" w:eastAsia="宋体" w:cs="宋体"/>
          <w:b w:val="0"/>
          <w:bCs/>
          <w:sz w:val="22"/>
          <w:szCs w:val="22"/>
        </w:rPr>
        <w:t>商承担全部责任和费用</w:t>
      </w:r>
      <w:r>
        <w:rPr>
          <w:rFonts w:hint="eastAsia" w:ascii="宋体" w:hAnsi="宋体" w:eastAsia="宋体" w:cs="宋体"/>
          <w:b w:val="0"/>
          <w:bCs/>
          <w:sz w:val="22"/>
          <w:szCs w:val="22"/>
          <w:lang w:eastAsia="zh-CN"/>
        </w:rPr>
        <w:t>。</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eastAsia="zh-CN"/>
        </w:rPr>
        <w:t>2.</w:t>
      </w:r>
      <w:r>
        <w:rPr>
          <w:rFonts w:hint="eastAsia" w:ascii="宋体" w:hAnsi="宋体" w:eastAsia="宋体" w:cs="宋体"/>
          <w:b w:val="0"/>
          <w:bCs/>
          <w:sz w:val="22"/>
          <w:szCs w:val="22"/>
          <w:lang w:val="en-US"/>
        </w:rPr>
        <w:t>项目人员管理要求</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rPr>
        <w:t>在陕西省高速公路营改增应用服务设施数据采集、绿通预约通行、差异化收费实施评估及公路收费统计服务项目过程中，服务商应向省中心指派具体承担服务的人员，并提供人员名单、简历、学历等相应证明文件，并保证所提供信息的准确性和有效性。省中心有权对服务商派入人员的资格和相关信息进行审核。</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rPr>
        <w:t>为确保陕西省高速公路营改增应用服务设施数据采集、绿通预约通行、差异化收费实施评估及公路收费统计服务的顺利开展，服务商应对安全服务人员及现场驻场人员素质整体把关，原则上应满足以下条件：</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eastAsia="zh-CN"/>
        </w:rPr>
        <w:t>（1）</w:t>
      </w:r>
      <w:r>
        <w:rPr>
          <w:rFonts w:hint="eastAsia" w:ascii="宋体" w:hAnsi="宋体" w:eastAsia="宋体" w:cs="宋体"/>
          <w:b w:val="0"/>
          <w:bCs/>
          <w:sz w:val="22"/>
          <w:szCs w:val="22"/>
          <w:lang w:val="en-US"/>
        </w:rPr>
        <w:t>.项目服务商需派遣不少于4人作为本服务项目的常驻人员</w:t>
      </w:r>
      <w:r>
        <w:rPr>
          <w:rFonts w:hint="eastAsia" w:ascii="宋体" w:hAnsi="宋体" w:eastAsia="宋体" w:cs="宋体"/>
          <w:b w:val="0"/>
          <w:bCs/>
          <w:sz w:val="22"/>
          <w:szCs w:val="22"/>
          <w:lang w:val="en-US" w:eastAsia="zh-CN"/>
        </w:rPr>
        <w:t>。</w:t>
      </w:r>
      <w:r>
        <w:rPr>
          <w:rFonts w:hint="eastAsia" w:ascii="宋体" w:hAnsi="宋体" w:eastAsia="宋体" w:cs="宋体"/>
          <w:b w:val="0"/>
          <w:bCs/>
          <w:sz w:val="22"/>
          <w:szCs w:val="22"/>
          <w:lang w:val="en-US"/>
        </w:rPr>
        <w:t>驻场人员</w:t>
      </w:r>
      <w:r>
        <w:rPr>
          <w:rFonts w:hint="eastAsia" w:ascii="宋体" w:hAnsi="宋体" w:eastAsia="宋体" w:cs="宋体"/>
          <w:b w:val="0"/>
          <w:bCs/>
          <w:sz w:val="22"/>
          <w:szCs w:val="22"/>
        </w:rPr>
        <w:t>需对陕西省高速公路网、高速公路业务情况充分熟悉，系统运维人员具备系统运维、升级等相关服务从业能力、数据分析人员具有丰富的数据统计经验（能快速</w:t>
      </w:r>
      <w:r>
        <w:rPr>
          <w:rFonts w:hint="eastAsia" w:ascii="宋体" w:hAnsi="宋体" w:eastAsia="宋体" w:cs="宋体"/>
          <w:b w:val="0"/>
          <w:bCs/>
          <w:sz w:val="22"/>
          <w:szCs w:val="22"/>
          <w:lang w:val="en-US" w:eastAsia="zh-CN"/>
        </w:rPr>
        <w:t>响应</w:t>
      </w:r>
      <w:r>
        <w:rPr>
          <w:rFonts w:hint="eastAsia" w:ascii="宋体" w:hAnsi="宋体" w:eastAsia="宋体" w:cs="宋体"/>
          <w:b w:val="0"/>
          <w:bCs/>
          <w:sz w:val="22"/>
          <w:szCs w:val="22"/>
        </w:rPr>
        <w:t>采购</w:t>
      </w:r>
      <w:r>
        <w:rPr>
          <w:rFonts w:hint="eastAsia" w:ascii="宋体" w:hAnsi="宋体" w:eastAsia="宋体" w:cs="宋体"/>
          <w:b w:val="0"/>
          <w:bCs/>
          <w:sz w:val="22"/>
          <w:szCs w:val="22"/>
          <w:lang w:val="en-US" w:eastAsia="zh-CN"/>
        </w:rPr>
        <w:t>方提出</w:t>
      </w:r>
      <w:r>
        <w:rPr>
          <w:rFonts w:hint="eastAsia" w:ascii="宋体" w:hAnsi="宋体" w:eastAsia="宋体" w:cs="宋体"/>
          <w:b w:val="0"/>
          <w:bCs/>
          <w:sz w:val="22"/>
          <w:szCs w:val="22"/>
        </w:rPr>
        <w:t>的统计需求）</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lang w:val="en-US"/>
        </w:rPr>
        <w:t>具有良好的沟通和</w:t>
      </w:r>
      <w:r>
        <w:rPr>
          <w:rFonts w:hint="eastAsia" w:ascii="宋体" w:hAnsi="宋体" w:eastAsia="宋体" w:cs="宋体"/>
          <w:b w:val="0"/>
          <w:bCs/>
          <w:sz w:val="22"/>
          <w:szCs w:val="22"/>
        </w:rPr>
        <w:fldChar w:fldCharType="begin"/>
      </w:r>
      <w:r>
        <w:rPr>
          <w:rFonts w:hint="eastAsia" w:ascii="宋体" w:hAnsi="宋体" w:eastAsia="宋体" w:cs="宋体"/>
          <w:b w:val="0"/>
          <w:bCs/>
          <w:sz w:val="22"/>
          <w:szCs w:val="22"/>
        </w:rPr>
        <w:instrText xml:space="preserve"> HYPERLINK "http://www.so.com/s?q=%25E5%258D%258F%25E8%25B0%2583%25E8%2583%25BD%25E5%258A%259B&amp;ie=utf-8&amp;src=internal_wenda_recommend_textn" </w:instrText>
      </w:r>
      <w:r>
        <w:rPr>
          <w:rFonts w:hint="eastAsia" w:ascii="宋体" w:hAnsi="宋体" w:eastAsia="宋体" w:cs="宋体"/>
          <w:b w:val="0"/>
          <w:bCs/>
          <w:sz w:val="22"/>
          <w:szCs w:val="22"/>
        </w:rPr>
        <w:fldChar w:fldCharType="separate"/>
      </w:r>
      <w:r>
        <w:rPr>
          <w:rFonts w:hint="eastAsia" w:ascii="宋体" w:hAnsi="宋体" w:eastAsia="宋体" w:cs="宋体"/>
          <w:b w:val="0"/>
          <w:bCs/>
          <w:sz w:val="22"/>
          <w:szCs w:val="22"/>
          <w:lang w:val="en-US"/>
        </w:rPr>
        <w:t>协调能力</w:t>
      </w:r>
      <w:r>
        <w:rPr>
          <w:rFonts w:hint="eastAsia" w:ascii="宋体" w:hAnsi="宋体" w:eastAsia="宋体" w:cs="宋体"/>
          <w:b w:val="0"/>
          <w:bCs/>
          <w:sz w:val="22"/>
          <w:szCs w:val="22"/>
          <w:lang w:val="en-US"/>
        </w:rPr>
        <w:fldChar w:fldCharType="end"/>
      </w:r>
      <w:r>
        <w:rPr>
          <w:rFonts w:hint="eastAsia" w:ascii="宋体" w:hAnsi="宋体" w:eastAsia="宋体" w:cs="宋体"/>
          <w:b w:val="0"/>
          <w:bCs/>
          <w:sz w:val="22"/>
          <w:szCs w:val="22"/>
          <w:lang w:val="en-US"/>
        </w:rPr>
        <w:t>，具备很强的</w:t>
      </w:r>
      <w:r>
        <w:rPr>
          <w:rFonts w:hint="eastAsia" w:ascii="宋体" w:hAnsi="宋体" w:eastAsia="宋体" w:cs="宋体"/>
          <w:b w:val="0"/>
          <w:bCs/>
          <w:sz w:val="22"/>
          <w:szCs w:val="22"/>
        </w:rPr>
        <w:fldChar w:fldCharType="begin"/>
      </w:r>
      <w:r>
        <w:rPr>
          <w:rFonts w:hint="eastAsia" w:ascii="宋体" w:hAnsi="宋体" w:eastAsia="宋体" w:cs="宋体"/>
          <w:b w:val="0"/>
          <w:bCs/>
          <w:sz w:val="22"/>
          <w:szCs w:val="22"/>
        </w:rPr>
        <w:instrText xml:space="preserve"> HYPERLINK "http://www.so.com/s?q=%25E6%259C%258D%25E5%258A%25A1%25E6%2584%258F%25E8%25AF%2586&amp;ie=utf-8&amp;src=internal_wenda_recommend_textn" </w:instrText>
      </w:r>
      <w:r>
        <w:rPr>
          <w:rFonts w:hint="eastAsia" w:ascii="宋体" w:hAnsi="宋体" w:eastAsia="宋体" w:cs="宋体"/>
          <w:b w:val="0"/>
          <w:bCs/>
          <w:sz w:val="22"/>
          <w:szCs w:val="22"/>
        </w:rPr>
        <w:fldChar w:fldCharType="separate"/>
      </w:r>
      <w:r>
        <w:rPr>
          <w:rFonts w:hint="eastAsia" w:ascii="宋体" w:hAnsi="宋体" w:eastAsia="宋体" w:cs="宋体"/>
          <w:b w:val="0"/>
          <w:bCs/>
          <w:sz w:val="22"/>
          <w:szCs w:val="22"/>
          <w:lang w:val="en-US"/>
        </w:rPr>
        <w:t>服务意识</w:t>
      </w:r>
      <w:r>
        <w:rPr>
          <w:rFonts w:hint="eastAsia" w:ascii="宋体" w:hAnsi="宋体" w:eastAsia="宋体" w:cs="宋体"/>
          <w:b w:val="0"/>
          <w:bCs/>
          <w:sz w:val="22"/>
          <w:szCs w:val="22"/>
          <w:lang w:val="en-US"/>
        </w:rPr>
        <w:fldChar w:fldCharType="end"/>
      </w:r>
      <w:r>
        <w:rPr>
          <w:rFonts w:hint="eastAsia" w:ascii="宋体" w:hAnsi="宋体" w:eastAsia="宋体" w:cs="宋体"/>
          <w:b w:val="0"/>
          <w:bCs/>
          <w:sz w:val="22"/>
          <w:szCs w:val="22"/>
          <w:lang w:val="en-US"/>
        </w:rPr>
        <w:t>和耐心，善于倾听</w:t>
      </w:r>
      <w:r>
        <w:rPr>
          <w:rFonts w:hint="eastAsia" w:ascii="宋体" w:hAnsi="宋体" w:eastAsia="宋体" w:cs="宋体"/>
          <w:b w:val="0"/>
          <w:bCs/>
          <w:sz w:val="22"/>
          <w:szCs w:val="22"/>
        </w:rPr>
        <w:t>;</w:t>
      </w:r>
      <w:r>
        <w:rPr>
          <w:rFonts w:hint="eastAsia" w:ascii="宋体" w:hAnsi="宋体" w:eastAsia="宋体" w:cs="宋体"/>
          <w:b w:val="0"/>
          <w:bCs/>
          <w:sz w:val="22"/>
          <w:szCs w:val="22"/>
          <w:lang w:val="en-US"/>
        </w:rPr>
        <w:t>具有极强的</w:t>
      </w:r>
      <w:r>
        <w:rPr>
          <w:rFonts w:hint="eastAsia" w:ascii="宋体" w:hAnsi="宋体" w:eastAsia="宋体" w:cs="宋体"/>
          <w:b w:val="0"/>
          <w:bCs/>
          <w:sz w:val="22"/>
          <w:szCs w:val="22"/>
        </w:rPr>
        <w:fldChar w:fldCharType="begin"/>
      </w:r>
      <w:r>
        <w:rPr>
          <w:rFonts w:hint="eastAsia" w:ascii="宋体" w:hAnsi="宋体" w:eastAsia="宋体" w:cs="宋体"/>
          <w:b w:val="0"/>
          <w:bCs/>
          <w:sz w:val="22"/>
          <w:szCs w:val="22"/>
        </w:rPr>
        <w:instrText xml:space="preserve"> HYPERLINK "http://www.so.com/s?q=%25E8%25B4%25A3%25E4%25BB%25BB%25E5%25BF%2583&amp;ie=utf-8&amp;src=internal_wenda_recommend_textn" </w:instrText>
      </w:r>
      <w:r>
        <w:rPr>
          <w:rFonts w:hint="eastAsia" w:ascii="宋体" w:hAnsi="宋体" w:eastAsia="宋体" w:cs="宋体"/>
          <w:b w:val="0"/>
          <w:bCs/>
          <w:sz w:val="22"/>
          <w:szCs w:val="22"/>
        </w:rPr>
        <w:fldChar w:fldCharType="separate"/>
      </w:r>
      <w:r>
        <w:rPr>
          <w:rFonts w:hint="eastAsia" w:ascii="宋体" w:hAnsi="宋体" w:eastAsia="宋体" w:cs="宋体"/>
          <w:b w:val="0"/>
          <w:bCs/>
          <w:sz w:val="22"/>
          <w:szCs w:val="22"/>
          <w:lang w:val="en-US"/>
        </w:rPr>
        <w:t>责任心</w:t>
      </w:r>
      <w:r>
        <w:rPr>
          <w:rFonts w:hint="eastAsia" w:ascii="宋体" w:hAnsi="宋体" w:eastAsia="宋体" w:cs="宋体"/>
          <w:b w:val="0"/>
          <w:bCs/>
          <w:sz w:val="22"/>
          <w:szCs w:val="22"/>
          <w:lang w:val="en-US"/>
        </w:rPr>
        <w:fldChar w:fldCharType="end"/>
      </w:r>
      <w:r>
        <w:rPr>
          <w:rFonts w:hint="eastAsia" w:ascii="宋体" w:hAnsi="宋体" w:eastAsia="宋体" w:cs="宋体"/>
          <w:b w:val="0"/>
          <w:bCs/>
          <w:sz w:val="22"/>
          <w:szCs w:val="22"/>
          <w:lang w:val="en-US"/>
        </w:rPr>
        <w:t>，工作</w:t>
      </w:r>
      <w:r>
        <w:rPr>
          <w:rFonts w:hint="eastAsia" w:ascii="宋体" w:hAnsi="宋体" w:eastAsia="宋体" w:cs="宋体"/>
          <w:b w:val="0"/>
          <w:bCs/>
          <w:sz w:val="22"/>
          <w:szCs w:val="22"/>
        </w:rPr>
        <w:fldChar w:fldCharType="begin"/>
      </w:r>
      <w:r>
        <w:rPr>
          <w:rFonts w:hint="eastAsia" w:ascii="宋体" w:hAnsi="宋体" w:eastAsia="宋体" w:cs="宋体"/>
          <w:b w:val="0"/>
          <w:bCs/>
          <w:sz w:val="22"/>
          <w:szCs w:val="22"/>
        </w:rPr>
        <w:instrText xml:space="preserve"> HYPERLINK "http://www.so.com/s?q=%25E7%25A7%25AF%25E6%259E%2581%25E4%25B8%25BB%25E5%258A%25A8&amp;ie=utf-8&amp;src=internal_wenda_recommend_textn" </w:instrText>
      </w:r>
      <w:r>
        <w:rPr>
          <w:rFonts w:hint="eastAsia" w:ascii="宋体" w:hAnsi="宋体" w:eastAsia="宋体" w:cs="宋体"/>
          <w:b w:val="0"/>
          <w:bCs/>
          <w:sz w:val="22"/>
          <w:szCs w:val="22"/>
        </w:rPr>
        <w:fldChar w:fldCharType="separate"/>
      </w:r>
      <w:r>
        <w:rPr>
          <w:rFonts w:hint="eastAsia" w:ascii="宋体" w:hAnsi="宋体" w:eastAsia="宋体" w:cs="宋体"/>
          <w:b w:val="0"/>
          <w:bCs/>
          <w:sz w:val="22"/>
          <w:szCs w:val="22"/>
          <w:lang w:val="en-US"/>
        </w:rPr>
        <w:t>积极主动</w:t>
      </w:r>
      <w:r>
        <w:rPr>
          <w:rFonts w:hint="eastAsia" w:ascii="宋体" w:hAnsi="宋体" w:eastAsia="宋体" w:cs="宋体"/>
          <w:b w:val="0"/>
          <w:bCs/>
          <w:sz w:val="22"/>
          <w:szCs w:val="22"/>
          <w:lang w:val="en-US"/>
        </w:rPr>
        <w:fldChar w:fldCharType="end"/>
      </w:r>
      <w:r>
        <w:rPr>
          <w:rFonts w:hint="eastAsia" w:ascii="宋体" w:hAnsi="宋体" w:eastAsia="宋体" w:cs="宋体"/>
          <w:b w:val="0"/>
          <w:bCs/>
          <w:sz w:val="22"/>
          <w:szCs w:val="22"/>
          <w:lang w:val="en-US"/>
        </w:rPr>
        <w:t>。</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eastAsia="zh-CN"/>
        </w:rPr>
        <w:t>（2）</w:t>
      </w:r>
      <w:r>
        <w:rPr>
          <w:rFonts w:hint="eastAsia" w:ascii="宋体" w:hAnsi="宋体" w:eastAsia="宋体" w:cs="宋体"/>
          <w:b w:val="0"/>
          <w:bCs/>
          <w:sz w:val="22"/>
          <w:szCs w:val="22"/>
          <w:lang w:val="en-US"/>
        </w:rPr>
        <w:t>.所报核心服务人员一旦确定，不能擅自更改。</w:t>
      </w:r>
    </w:p>
    <w:p>
      <w:pPr>
        <w:pStyle w:val="4"/>
        <w:spacing w:line="360" w:lineRule="auto"/>
        <w:rPr>
          <w:rFonts w:hint="eastAsia" w:ascii="宋体" w:hAnsi="宋体" w:eastAsia="宋体" w:cs="宋体"/>
          <w:b/>
          <w:sz w:val="22"/>
          <w:szCs w:val="22"/>
        </w:rPr>
      </w:pPr>
      <w:r>
        <w:rPr>
          <w:rFonts w:hint="eastAsia" w:ascii="宋体" w:hAnsi="宋体" w:eastAsia="宋体" w:cs="宋体"/>
          <w:b/>
          <w:sz w:val="22"/>
          <w:szCs w:val="22"/>
        </w:rPr>
        <w:t>六、其他要求</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eastAsia="zh-CN"/>
        </w:rPr>
        <w:t>1.</w:t>
      </w:r>
      <w:r>
        <w:rPr>
          <w:rFonts w:hint="eastAsia" w:ascii="宋体" w:hAnsi="宋体" w:eastAsia="宋体" w:cs="宋体"/>
          <w:b w:val="0"/>
          <w:bCs/>
          <w:sz w:val="22"/>
          <w:szCs w:val="22"/>
          <w:lang w:val="en-US"/>
        </w:rPr>
        <w:t>保密要求</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val="0"/>
          <w:bCs/>
          <w:sz w:val="22"/>
          <w:szCs w:val="22"/>
          <w:lang w:val="en-US"/>
        </w:rPr>
      </w:pPr>
      <w:r>
        <w:rPr>
          <w:rFonts w:hint="eastAsia" w:ascii="宋体" w:hAnsi="宋体" w:eastAsia="宋体" w:cs="宋体"/>
          <w:b w:val="0"/>
          <w:bCs/>
          <w:sz w:val="22"/>
          <w:szCs w:val="22"/>
          <w:lang w:val="en-US"/>
        </w:rPr>
        <w:t>项目实施过程中所收集、产生的所有与本项目相关的文档、资料，包括文字、图片、表格、数字等各种形式所属权均归属省收费中心，供应商必须对所涉及到的内容保密，供应商及服务人员应按照要求签署保密协议。</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b w:val="0"/>
          <w:bCs/>
          <w:snapToGrid w:val="0"/>
          <w:color w:val="000000"/>
          <w:kern w:val="0"/>
          <w:sz w:val="22"/>
          <w:szCs w:val="22"/>
          <w:lang w:val="en-US" w:eastAsia="zh-CN" w:bidi="ar-SA"/>
        </w:rPr>
      </w:pPr>
      <w:r>
        <w:rPr>
          <w:rFonts w:hint="eastAsia" w:ascii="宋体" w:hAnsi="宋体" w:eastAsia="宋体" w:cs="宋体"/>
          <w:b w:val="0"/>
          <w:bCs/>
          <w:snapToGrid w:val="0"/>
          <w:color w:val="000000"/>
          <w:kern w:val="0"/>
          <w:sz w:val="22"/>
          <w:szCs w:val="22"/>
          <w:lang w:val="en-US" w:eastAsia="zh-CN" w:bidi="ar-SA"/>
        </w:rPr>
        <w:t>2.网络安全要求</w:t>
      </w: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textAlignment w:val="auto"/>
        <w:rPr>
          <w:rFonts w:hint="eastAsia" w:ascii="宋体" w:hAnsi="宋体" w:eastAsia="宋体" w:cs="宋体"/>
          <w:b w:val="0"/>
          <w:bCs/>
          <w:snapToGrid w:val="0"/>
          <w:color w:val="000000"/>
          <w:kern w:val="0"/>
          <w:sz w:val="22"/>
          <w:szCs w:val="22"/>
          <w:lang w:val="en-US" w:eastAsia="en-US" w:bidi="ar-SA"/>
        </w:rPr>
      </w:pPr>
      <w:r>
        <w:rPr>
          <w:rFonts w:hint="eastAsia" w:ascii="宋体" w:hAnsi="宋体" w:eastAsia="宋体" w:cs="宋体"/>
          <w:b w:val="0"/>
          <w:bCs/>
          <w:snapToGrid w:val="0"/>
          <w:color w:val="000000"/>
          <w:kern w:val="0"/>
          <w:sz w:val="22"/>
          <w:szCs w:val="22"/>
          <w:lang w:val="en-US" w:eastAsia="en-US" w:bidi="ar-SA"/>
        </w:rPr>
        <w:t>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rPr>
          <w:rFonts w:hint="eastAsia"/>
          <w:lang w:val="en-US"/>
        </w:rPr>
      </w:pPr>
    </w:p>
    <w:p>
      <w:pPr>
        <w:pStyle w:val="5"/>
        <w:rPr>
          <w:rFonts w:hint="eastAsia" w:ascii="宋体" w:hAnsi="宋体" w:eastAsia="宋体" w:cs="宋体"/>
          <w:sz w:val="16"/>
          <w:szCs w:val="16"/>
          <w:lang w:val="en-US" w:eastAsia="zh-CN"/>
        </w:rPr>
      </w:pPr>
    </w:p>
    <w:p>
      <w:pPr>
        <w:autoSpaceDE w:val="0"/>
        <w:autoSpaceDN w:val="0"/>
        <w:adjustRightInd w:val="0"/>
        <w:spacing w:line="360" w:lineRule="auto"/>
        <w:jc w:val="left"/>
        <w:rPr>
          <w:rFonts w:hint="eastAsia" w:ascii="宋体" w:hAnsi="宋体" w:eastAsia="宋体" w:cs="宋体"/>
          <w:b/>
          <w:sz w:val="22"/>
          <w:szCs w:val="22"/>
          <w:lang w:val="zh-CN"/>
        </w:rPr>
      </w:pPr>
      <w:r>
        <w:rPr>
          <w:rFonts w:hint="eastAsia" w:ascii="宋体" w:hAnsi="宋体" w:eastAsia="宋体" w:cs="宋体"/>
          <w:b/>
          <w:sz w:val="22"/>
          <w:szCs w:val="22"/>
          <w:lang w:val="en-US" w:eastAsia="zh-CN"/>
        </w:rPr>
        <w:t>七</w:t>
      </w:r>
      <w:r>
        <w:rPr>
          <w:rFonts w:hint="eastAsia" w:ascii="宋体" w:hAnsi="宋体" w:eastAsia="宋体" w:cs="宋体"/>
          <w:b/>
          <w:sz w:val="22"/>
          <w:szCs w:val="22"/>
          <w:lang w:val="zh-CN"/>
        </w:rPr>
        <w:t>、违约责任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rPr>
      </w:pPr>
      <w:r>
        <w:rPr>
          <w:rFonts w:hint="eastAsia" w:ascii="宋体" w:hAnsi="宋体" w:eastAsia="宋体" w:cs="宋体"/>
          <w:bCs/>
          <w:sz w:val="22"/>
          <w:szCs w:val="22"/>
          <w:lang w:val="zh-CN"/>
        </w:rPr>
        <w:t>因服务商原因对工作造成实际影响的，按以下条款处理：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rPr>
      </w:pPr>
      <w:r>
        <w:rPr>
          <w:rFonts w:hint="eastAsia" w:ascii="宋体" w:hAnsi="宋体" w:eastAsia="宋体" w:cs="宋体"/>
          <w:bCs/>
          <w:sz w:val="22"/>
          <w:szCs w:val="22"/>
          <w:lang w:val="zh-CN" w:eastAsia="zh-CN"/>
        </w:rPr>
        <w:t>1.若因下述（1）至（7）条款落实不到位，造成部、省、公安等有关部门通报时，发现并通报1次，扣除服务费5000元；造成网络安全事件时，</w:t>
      </w:r>
      <w:r>
        <w:rPr>
          <w:rFonts w:hint="eastAsia" w:ascii="宋体" w:hAnsi="宋体" w:eastAsia="宋体" w:cs="宋体"/>
          <w:bCs/>
          <w:sz w:val="22"/>
          <w:szCs w:val="22"/>
          <w:lang w:val="zh-CN"/>
        </w:rPr>
        <w:t>将按照国家，部、省</w:t>
      </w:r>
      <w:r>
        <w:rPr>
          <w:rFonts w:hint="eastAsia" w:ascii="宋体" w:hAnsi="宋体" w:eastAsia="宋体" w:cs="宋体"/>
          <w:bCs/>
          <w:sz w:val="22"/>
          <w:szCs w:val="22"/>
          <w:lang w:val="zh-CN" w:eastAsia="zh-CN"/>
        </w:rPr>
        <w:t>、中心</w:t>
      </w:r>
      <w:r>
        <w:rPr>
          <w:rFonts w:hint="eastAsia" w:ascii="宋体" w:hAnsi="宋体" w:eastAsia="宋体" w:cs="宋体"/>
          <w:bCs/>
          <w:sz w:val="22"/>
          <w:szCs w:val="22"/>
          <w:lang w:val="zh-CN"/>
        </w:rPr>
        <w:t>网络安全相关规定，</w:t>
      </w:r>
      <w:r>
        <w:rPr>
          <w:rFonts w:hint="eastAsia" w:ascii="宋体" w:hAnsi="宋体" w:eastAsia="宋体" w:cs="宋体"/>
          <w:bCs/>
          <w:sz w:val="22"/>
          <w:szCs w:val="22"/>
          <w:lang w:val="zh-CN" w:eastAsia="zh-CN"/>
        </w:rPr>
        <w:t>根据造成的实际损失、影响，上报有关部门，同时进行责任追究。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rPr>
      </w:pPr>
      <w:r>
        <w:rPr>
          <w:rFonts w:hint="eastAsia" w:ascii="宋体" w:hAnsi="宋体" w:eastAsia="宋体" w:cs="宋体"/>
          <w:bCs/>
          <w:sz w:val="22"/>
          <w:szCs w:val="22"/>
          <w:lang w:val="zh-CN" w:eastAsia="zh-CN"/>
        </w:rPr>
        <w:t>（1）彻底清理系统隐患。全面排查清理系统网络安全隐患，确保中高危隐患彻底清零。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eastAsia="zh-CN"/>
        </w:rPr>
      </w:pPr>
      <w:r>
        <w:rPr>
          <w:rFonts w:hint="eastAsia" w:ascii="宋体" w:hAnsi="宋体" w:eastAsia="宋体" w:cs="宋体"/>
          <w:bCs/>
          <w:sz w:val="22"/>
          <w:szCs w:val="22"/>
          <w:lang w:val="zh-CN" w:eastAsia="zh-CN"/>
        </w:rPr>
        <w:t>（2）全面摸清现网资产。全面摸清系统资产，形成资产台账，定期维护更新资产，确保资产信息准确。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eastAsia="zh-CN"/>
        </w:rPr>
      </w:pPr>
      <w:r>
        <w:rPr>
          <w:rFonts w:hint="eastAsia" w:ascii="宋体" w:hAnsi="宋体" w:eastAsia="宋体" w:cs="宋体"/>
          <w:bCs/>
          <w:sz w:val="22"/>
          <w:szCs w:val="22"/>
          <w:lang w:val="zh-CN" w:eastAsia="zh-CN"/>
        </w:rPr>
        <w:t>（3）彻底消除口令问题。定期开展口令隐患排查，严格系统密码存储管理，确保口令问题彻底消除。</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eastAsia="zh-CN"/>
        </w:rPr>
      </w:pPr>
      <w:r>
        <w:rPr>
          <w:rFonts w:hint="eastAsia" w:ascii="宋体" w:hAnsi="宋体" w:eastAsia="宋体" w:cs="宋体"/>
          <w:bCs/>
          <w:sz w:val="22"/>
          <w:szCs w:val="22"/>
          <w:lang w:val="zh-CN" w:eastAsia="zh-CN"/>
        </w:rPr>
        <w:t>（4）及时升级安装补丁。定期开展漏洞扫描、渗透测试等工作，及时升级系统存在漏洞的软件，安装最新补丁和杀毒软件，确保系统软件升至最新版本。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eastAsia="zh-CN"/>
        </w:rPr>
      </w:pPr>
      <w:r>
        <w:rPr>
          <w:rFonts w:hint="eastAsia" w:ascii="宋体" w:hAnsi="宋体" w:eastAsia="宋体" w:cs="宋体"/>
          <w:bCs/>
          <w:sz w:val="22"/>
          <w:szCs w:val="22"/>
          <w:lang w:val="zh-CN" w:eastAsia="zh-CN"/>
        </w:rPr>
        <w:t>（5）强化系统监测能力。充分利用现有监测平台或借助第三方监测手段做好设备（软件）状态监测，及时感知并处置异常网络安全行为，确保系统安全运行。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eastAsia="zh-CN"/>
        </w:rPr>
      </w:pPr>
      <w:r>
        <w:rPr>
          <w:rFonts w:hint="eastAsia" w:ascii="宋体" w:hAnsi="宋体" w:eastAsia="宋体" w:cs="宋体"/>
          <w:bCs/>
          <w:sz w:val="22"/>
          <w:szCs w:val="22"/>
          <w:lang w:val="zh-CN" w:eastAsia="zh-CN"/>
        </w:rPr>
        <w:t>（6）加强系统安全防护。选用技术能力强、安全业务精湛、经验丰富、责任心强的人员做好系统安全防护，采取切实有效的措施，能够及时发现系统异常攻击行为，做好系统安全防守。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eastAsia="zh-CN"/>
        </w:rPr>
      </w:pPr>
      <w:r>
        <w:rPr>
          <w:rFonts w:hint="eastAsia" w:ascii="宋体" w:hAnsi="宋体" w:eastAsia="宋体" w:cs="宋体"/>
          <w:bCs/>
          <w:sz w:val="22"/>
          <w:szCs w:val="22"/>
          <w:lang w:val="zh-CN" w:eastAsia="zh-CN"/>
        </w:rPr>
        <w:t>（7）做好日常管理工作。完善运维机制，规范运维程序，形成运维记录，做好设备日常巡检、加强意识技能培训、开展安全专项服务、备份系统数据配置、做好监测预警处置等日常网络安全工作。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rPr>
      </w:pPr>
      <w:r>
        <w:rPr>
          <w:rFonts w:hint="eastAsia" w:ascii="宋体" w:hAnsi="宋体" w:eastAsia="宋体" w:cs="宋体"/>
          <w:bCs/>
          <w:sz w:val="22"/>
          <w:szCs w:val="22"/>
          <w:lang w:val="zh-CN" w:eastAsia="zh-CN"/>
        </w:rPr>
        <w:t>若因上述（1）至（7）条款落实不到位，造成部、省、公安等有关部门通报时，发现并通报1次，扣除服务费5000元；造成网络安全事件时，</w:t>
      </w:r>
      <w:r>
        <w:rPr>
          <w:rFonts w:hint="eastAsia" w:ascii="宋体" w:hAnsi="宋体" w:eastAsia="宋体" w:cs="宋体"/>
          <w:bCs/>
          <w:sz w:val="22"/>
          <w:szCs w:val="22"/>
          <w:lang w:val="zh-CN"/>
        </w:rPr>
        <w:t>将按照国家，部、省</w:t>
      </w:r>
      <w:r>
        <w:rPr>
          <w:rFonts w:hint="eastAsia" w:ascii="宋体" w:hAnsi="宋体" w:eastAsia="宋体" w:cs="宋体"/>
          <w:bCs/>
          <w:sz w:val="22"/>
          <w:szCs w:val="22"/>
          <w:lang w:val="zh-CN" w:eastAsia="zh-CN"/>
        </w:rPr>
        <w:t>、中心</w:t>
      </w:r>
      <w:r>
        <w:rPr>
          <w:rFonts w:hint="eastAsia" w:ascii="宋体" w:hAnsi="宋体" w:eastAsia="宋体" w:cs="宋体"/>
          <w:bCs/>
          <w:sz w:val="22"/>
          <w:szCs w:val="22"/>
          <w:lang w:val="zh-CN"/>
        </w:rPr>
        <w:t>网络安全相关规定，</w:t>
      </w:r>
      <w:r>
        <w:rPr>
          <w:rFonts w:hint="eastAsia" w:ascii="宋体" w:hAnsi="宋体" w:eastAsia="宋体" w:cs="宋体"/>
          <w:bCs/>
          <w:sz w:val="22"/>
          <w:szCs w:val="22"/>
          <w:lang w:val="zh-CN" w:eastAsia="zh-CN"/>
        </w:rPr>
        <w:t>根据造成的实际损失、影响，上报有关部门，同时进行责任追究。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rPr>
      </w:pPr>
      <w:r>
        <w:rPr>
          <w:rFonts w:hint="eastAsia" w:ascii="宋体" w:hAnsi="宋体" w:eastAsia="宋体" w:cs="宋体"/>
          <w:bCs/>
          <w:sz w:val="22"/>
          <w:szCs w:val="22"/>
          <w:lang w:val="zh-CN" w:eastAsia="zh-CN"/>
        </w:rPr>
        <w:t>2</w:t>
      </w:r>
      <w:r>
        <w:rPr>
          <w:rFonts w:hint="eastAsia" w:ascii="宋体" w:hAnsi="宋体" w:eastAsia="宋体" w:cs="宋体"/>
          <w:bCs/>
          <w:sz w:val="22"/>
          <w:szCs w:val="22"/>
          <w:lang w:val="zh-CN"/>
        </w:rPr>
        <w:t>.乙方未按期进行系统运维、报表统计、报告编制、数据审核和分析，每次扣除维护服务费1000元作为违约金。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rPr>
      </w:pPr>
      <w:r>
        <w:rPr>
          <w:rFonts w:hint="eastAsia" w:ascii="宋体" w:hAnsi="宋体" w:eastAsia="宋体" w:cs="宋体"/>
          <w:bCs/>
          <w:sz w:val="22"/>
          <w:szCs w:val="22"/>
          <w:lang w:val="zh-CN" w:eastAsia="zh-CN"/>
        </w:rPr>
        <w:t>3</w:t>
      </w:r>
      <w:r>
        <w:rPr>
          <w:rFonts w:hint="eastAsia" w:ascii="宋体" w:hAnsi="宋体" w:eastAsia="宋体" w:cs="宋体"/>
          <w:bCs/>
          <w:sz w:val="22"/>
          <w:szCs w:val="22"/>
          <w:lang w:val="zh-CN"/>
        </w:rPr>
        <w:t>.因乙方工作失误导致相关工作出现错误，每次扣除维护服务费1000元；发生重大数据统计错误事件，将根据造成的实际影响及造成的损失进行相应的赔偿；因乙方原因导致合同根本目的无法实现的，甲方有权解除合同并要求乙方支付违约金20万元，违约金不足以弥补甲方损失的，甲方有权继续向其追偿。甲方因追索权利产生的差旅费、律师费、诉讼费等一切合理费用均由乙方承担。</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left"/>
        <w:textAlignment w:val="baseline"/>
        <w:rPr>
          <w:rFonts w:hint="eastAsia" w:ascii="宋体" w:hAnsi="宋体" w:eastAsia="宋体" w:cs="宋体"/>
          <w:bCs/>
          <w:sz w:val="22"/>
          <w:szCs w:val="22"/>
          <w:lang w:val="zh-CN"/>
        </w:rPr>
      </w:pPr>
      <w:r>
        <w:rPr>
          <w:rFonts w:hint="eastAsia" w:ascii="宋体" w:hAnsi="宋体" w:eastAsia="宋体" w:cs="宋体"/>
          <w:bCs/>
          <w:sz w:val="22"/>
          <w:szCs w:val="22"/>
          <w:lang w:val="zh-CN" w:eastAsia="zh-CN"/>
        </w:rPr>
        <w:t>4</w:t>
      </w:r>
      <w:r>
        <w:rPr>
          <w:rFonts w:hint="eastAsia" w:ascii="宋体" w:hAnsi="宋体" w:eastAsia="宋体" w:cs="宋体"/>
          <w:bCs/>
          <w:sz w:val="22"/>
          <w:szCs w:val="22"/>
          <w:lang w:val="zh-CN"/>
        </w:rPr>
        <w:t>.重大节假日、重要活动等特殊时期，应加强值班值守，保证</w:t>
      </w:r>
      <w:r>
        <w:rPr>
          <w:rFonts w:hint="eastAsia" w:ascii="宋体" w:hAnsi="宋体" w:eastAsia="宋体" w:cs="宋体"/>
          <w:bCs/>
          <w:sz w:val="22"/>
          <w:szCs w:val="22"/>
          <w:lang w:val="zh-CN" w:eastAsia="zh-CN"/>
        </w:rPr>
        <w:t>1</w:t>
      </w:r>
      <w:r>
        <w:rPr>
          <w:rFonts w:hint="eastAsia" w:ascii="宋体" w:hAnsi="宋体" w:eastAsia="宋体" w:cs="宋体"/>
          <w:bCs/>
          <w:sz w:val="22"/>
          <w:szCs w:val="22"/>
          <w:lang w:val="zh-CN"/>
        </w:rPr>
        <w:t>名工作人员在岗，若发现擅离职守，按次扣除维护服务费2000元作为违约金。</w:t>
      </w:r>
    </w:p>
    <w:p>
      <w:pPr>
        <w:autoSpaceDE w:val="0"/>
        <w:autoSpaceDN w:val="0"/>
        <w:adjustRightInd w:val="0"/>
        <w:snapToGrid w:val="0"/>
        <w:spacing w:line="360" w:lineRule="auto"/>
        <w:jc w:val="left"/>
        <w:rPr>
          <w:rFonts w:hint="eastAsia" w:ascii="宋体" w:hAnsi="宋体" w:eastAsia="宋体" w:cs="宋体"/>
          <w:b/>
          <w:bCs w:val="0"/>
          <w:sz w:val="22"/>
          <w:szCs w:val="22"/>
          <w:lang w:val="zh-CN"/>
        </w:rPr>
      </w:pPr>
      <w:r>
        <w:rPr>
          <w:rFonts w:hint="eastAsia" w:ascii="宋体" w:hAnsi="宋体" w:eastAsia="宋体" w:cs="宋体"/>
          <w:b/>
          <w:bCs w:val="0"/>
          <w:sz w:val="22"/>
          <w:szCs w:val="22"/>
          <w:lang w:val="en-US" w:eastAsia="zh-CN"/>
        </w:rPr>
        <w:t>八</w:t>
      </w:r>
      <w:r>
        <w:rPr>
          <w:rFonts w:hint="eastAsia" w:ascii="宋体" w:hAnsi="宋体" w:eastAsia="宋体" w:cs="宋体"/>
          <w:b/>
          <w:bCs w:val="0"/>
          <w:sz w:val="22"/>
          <w:szCs w:val="22"/>
          <w:lang w:val="zh-CN"/>
        </w:rPr>
        <w:t>、合同争议解决的方式</w:t>
      </w:r>
    </w:p>
    <w:p>
      <w:pPr>
        <w:autoSpaceDE w:val="0"/>
        <w:autoSpaceDN w:val="0"/>
        <w:adjustRightInd w:val="0"/>
        <w:spacing w:line="360" w:lineRule="auto"/>
        <w:ind w:firstLine="440" w:firstLineChars="200"/>
        <w:jc w:val="left"/>
        <w:rPr>
          <w:rFonts w:hint="eastAsia" w:ascii="宋体" w:hAnsi="宋体" w:eastAsia="宋体" w:cs="宋体"/>
          <w:bCs/>
          <w:sz w:val="22"/>
          <w:szCs w:val="22"/>
        </w:rPr>
      </w:pPr>
      <w:r>
        <w:rPr>
          <w:rFonts w:hint="eastAsia" w:ascii="宋体" w:hAnsi="宋体" w:eastAsia="宋体" w:cs="宋体"/>
          <w:bCs/>
          <w:sz w:val="22"/>
          <w:szCs w:val="22"/>
        </w:rPr>
        <w:t>本合同在履行过程中发生的争议，由甲、乙双方当事人协商解决，协商不成的按下列第</w:t>
      </w:r>
      <w:r>
        <w:rPr>
          <w:rFonts w:hint="eastAsia" w:ascii="宋体" w:hAnsi="宋体" w:eastAsia="宋体" w:cs="宋体"/>
          <w:bCs/>
          <w:sz w:val="22"/>
          <w:szCs w:val="22"/>
          <w:u w:val="single"/>
        </w:rPr>
        <w:t>（二）</w:t>
      </w:r>
      <w:r>
        <w:rPr>
          <w:rFonts w:hint="eastAsia" w:ascii="宋体" w:hAnsi="宋体" w:eastAsia="宋体" w:cs="宋体"/>
          <w:bCs/>
          <w:sz w:val="22"/>
          <w:szCs w:val="22"/>
        </w:rPr>
        <w:t>种方式解决：</w:t>
      </w:r>
    </w:p>
    <w:p>
      <w:pPr>
        <w:autoSpaceDE w:val="0"/>
        <w:autoSpaceDN w:val="0"/>
        <w:adjustRightInd w:val="0"/>
        <w:spacing w:line="360" w:lineRule="auto"/>
        <w:ind w:firstLine="440" w:firstLineChars="200"/>
        <w:jc w:val="left"/>
        <w:rPr>
          <w:rFonts w:hint="eastAsia" w:ascii="宋体" w:hAnsi="宋体" w:eastAsia="宋体" w:cs="宋体"/>
          <w:bCs/>
          <w:sz w:val="22"/>
          <w:szCs w:val="22"/>
        </w:rPr>
      </w:pPr>
      <w:r>
        <w:rPr>
          <w:rFonts w:hint="eastAsia" w:ascii="宋体" w:hAnsi="宋体" w:eastAsia="宋体" w:cs="宋体"/>
          <w:bCs/>
          <w:sz w:val="22"/>
          <w:szCs w:val="22"/>
        </w:rPr>
        <w:t>（一）提交</w:t>
      </w:r>
      <w:r>
        <w:rPr>
          <w:rFonts w:hint="eastAsia" w:ascii="宋体" w:hAnsi="宋体" w:eastAsia="宋体" w:cs="宋体"/>
          <w:bCs/>
          <w:sz w:val="22"/>
          <w:szCs w:val="22"/>
          <w:u w:val="single"/>
        </w:rPr>
        <w:t xml:space="preserve"> / </w:t>
      </w:r>
      <w:r>
        <w:rPr>
          <w:rFonts w:hint="eastAsia" w:ascii="宋体" w:hAnsi="宋体" w:eastAsia="宋体" w:cs="宋体"/>
          <w:bCs/>
          <w:sz w:val="22"/>
          <w:szCs w:val="22"/>
        </w:rPr>
        <w:t>仲裁委员会仲裁；</w:t>
      </w:r>
    </w:p>
    <w:p>
      <w:pPr>
        <w:autoSpaceDE w:val="0"/>
        <w:autoSpaceDN w:val="0"/>
        <w:adjustRightInd w:val="0"/>
        <w:spacing w:line="360" w:lineRule="auto"/>
        <w:ind w:firstLine="440" w:firstLineChars="200"/>
        <w:jc w:val="left"/>
        <w:rPr>
          <w:rFonts w:hint="eastAsia" w:ascii="宋体" w:hAnsi="宋体" w:eastAsia="宋体" w:cs="宋体"/>
          <w:bCs/>
          <w:sz w:val="22"/>
          <w:szCs w:val="22"/>
        </w:rPr>
      </w:pPr>
      <w:r>
        <w:rPr>
          <w:rFonts w:hint="eastAsia" w:ascii="宋体" w:hAnsi="宋体" w:eastAsia="宋体" w:cs="宋体"/>
          <w:bCs/>
          <w:sz w:val="22"/>
          <w:szCs w:val="22"/>
        </w:rPr>
        <w:t>（二）依法向甲方所在地人民法院起诉。</w:t>
      </w:r>
    </w:p>
    <w:p>
      <w:pPr>
        <w:autoSpaceDE w:val="0"/>
        <w:autoSpaceDN w:val="0"/>
        <w:adjustRightInd w:val="0"/>
        <w:spacing w:line="360" w:lineRule="auto"/>
        <w:jc w:val="left"/>
        <w:rPr>
          <w:rFonts w:hint="eastAsia" w:ascii="宋体" w:hAnsi="宋体" w:eastAsia="宋体" w:cs="宋体"/>
          <w:b/>
          <w:bCs/>
          <w:sz w:val="22"/>
          <w:szCs w:val="22"/>
        </w:rPr>
      </w:pPr>
      <w:r>
        <w:rPr>
          <w:rFonts w:hint="eastAsia" w:ascii="宋体" w:hAnsi="宋体" w:eastAsia="宋体" w:cs="宋体"/>
          <w:b/>
          <w:bCs/>
          <w:sz w:val="22"/>
          <w:szCs w:val="22"/>
          <w:lang w:val="en-US" w:eastAsia="zh-CN"/>
        </w:rPr>
        <w:t>九</w:t>
      </w:r>
      <w:r>
        <w:rPr>
          <w:rFonts w:hint="eastAsia" w:ascii="宋体" w:hAnsi="宋体" w:eastAsia="宋体" w:cs="宋体"/>
          <w:b/>
          <w:bCs/>
          <w:sz w:val="22"/>
          <w:szCs w:val="22"/>
        </w:rPr>
        <w:t>、合同生效</w:t>
      </w:r>
    </w:p>
    <w:p>
      <w:pPr>
        <w:autoSpaceDE w:val="0"/>
        <w:autoSpaceDN w:val="0"/>
        <w:adjustRightInd w:val="0"/>
        <w:spacing w:line="360" w:lineRule="auto"/>
        <w:ind w:firstLine="440" w:firstLineChars="200"/>
        <w:jc w:val="left"/>
        <w:rPr>
          <w:rFonts w:hint="eastAsia" w:ascii="宋体" w:hAnsi="宋体" w:eastAsia="宋体" w:cs="宋体"/>
          <w:bCs/>
          <w:sz w:val="22"/>
          <w:szCs w:val="22"/>
        </w:rPr>
      </w:pPr>
      <w:r>
        <w:rPr>
          <w:rFonts w:hint="eastAsia" w:ascii="宋体" w:hAnsi="宋体" w:eastAsia="宋体" w:cs="宋体"/>
          <w:bCs/>
          <w:sz w:val="22"/>
          <w:szCs w:val="22"/>
        </w:rPr>
        <w:t>（一）本合同自签订之日起生效。本协议一经生效，双方均应严格遵守；如有违约，守约方可依照《中华人民共和国民法典》及有关法律、法规规定，追究违约方的法律责任。</w:t>
      </w:r>
    </w:p>
    <w:p>
      <w:pPr>
        <w:autoSpaceDE w:val="0"/>
        <w:autoSpaceDN w:val="0"/>
        <w:adjustRightInd w:val="0"/>
        <w:spacing w:line="360" w:lineRule="auto"/>
        <w:ind w:firstLine="440" w:firstLineChars="200"/>
        <w:jc w:val="left"/>
        <w:rPr>
          <w:rFonts w:hint="eastAsia" w:ascii="宋体" w:hAnsi="宋体" w:eastAsia="宋体" w:cs="宋体"/>
          <w:bCs/>
          <w:sz w:val="22"/>
          <w:szCs w:val="22"/>
        </w:rPr>
      </w:pPr>
      <w:r>
        <w:rPr>
          <w:rFonts w:hint="eastAsia" w:ascii="宋体" w:hAnsi="宋体" w:eastAsia="宋体" w:cs="宋体"/>
          <w:bCs/>
          <w:sz w:val="22"/>
          <w:szCs w:val="22"/>
        </w:rPr>
        <w:t>（二）本协议未尽事宜双方可另行协商，签订补充协议。</w:t>
      </w:r>
    </w:p>
    <w:p>
      <w:pPr>
        <w:autoSpaceDE w:val="0"/>
        <w:autoSpaceDN w:val="0"/>
        <w:adjustRightInd w:val="0"/>
        <w:spacing w:line="360" w:lineRule="auto"/>
        <w:jc w:val="left"/>
        <w:rPr>
          <w:rFonts w:hint="eastAsia" w:ascii="宋体" w:hAnsi="宋体" w:eastAsia="宋体" w:cs="宋体"/>
          <w:bCs/>
          <w:sz w:val="22"/>
          <w:szCs w:val="22"/>
        </w:rPr>
      </w:pPr>
      <w:r>
        <w:rPr>
          <w:rFonts w:hint="eastAsia" w:ascii="宋体" w:hAnsi="宋体" w:eastAsia="宋体" w:cs="宋体"/>
          <w:b/>
          <w:sz w:val="22"/>
          <w:szCs w:val="22"/>
        </w:rPr>
        <w:t>十、</w:t>
      </w:r>
      <w:r>
        <w:rPr>
          <w:rFonts w:hint="eastAsia" w:ascii="宋体" w:hAnsi="宋体" w:eastAsia="宋体" w:cs="宋体"/>
          <w:bCs/>
          <w:sz w:val="22"/>
          <w:szCs w:val="22"/>
        </w:rPr>
        <w:t>本协议一式</w:t>
      </w:r>
      <w:r>
        <w:rPr>
          <w:rFonts w:hint="eastAsia" w:ascii="宋体" w:hAnsi="宋体" w:eastAsia="宋体" w:cs="宋体"/>
          <w:bCs/>
          <w:sz w:val="22"/>
          <w:szCs w:val="22"/>
          <w:u w:val="single"/>
        </w:rPr>
        <w:t>六</w:t>
      </w:r>
      <w:r>
        <w:rPr>
          <w:rFonts w:hint="eastAsia" w:ascii="宋体" w:hAnsi="宋体" w:eastAsia="宋体" w:cs="宋体"/>
          <w:bCs/>
          <w:sz w:val="22"/>
          <w:szCs w:val="22"/>
        </w:rPr>
        <w:t>份，甲乙双方各执</w:t>
      </w:r>
      <w:r>
        <w:rPr>
          <w:rFonts w:hint="eastAsia" w:ascii="宋体" w:hAnsi="宋体" w:eastAsia="宋体" w:cs="宋体"/>
          <w:bCs/>
          <w:sz w:val="22"/>
          <w:szCs w:val="22"/>
          <w:u w:val="single"/>
        </w:rPr>
        <w:t>三</w:t>
      </w:r>
      <w:r>
        <w:rPr>
          <w:rFonts w:hint="eastAsia" w:ascii="宋体" w:hAnsi="宋体" w:eastAsia="宋体" w:cs="宋体"/>
          <w:bCs/>
          <w:sz w:val="22"/>
          <w:szCs w:val="22"/>
        </w:rPr>
        <w:t>份，具有同等法律效力。</w:t>
      </w:r>
    </w:p>
    <w:p>
      <w:pPr>
        <w:pStyle w:val="5"/>
        <w:spacing w:line="360" w:lineRule="auto"/>
        <w:ind w:firstLine="540" w:firstLineChars="300"/>
        <w:rPr>
          <w:rFonts w:hint="eastAsia" w:ascii="宋体" w:hAnsi="宋体" w:eastAsia="宋体" w:cs="宋体"/>
          <w:sz w:val="20"/>
          <w:szCs w:val="20"/>
        </w:rPr>
      </w:pPr>
      <w:r>
        <w:rPr>
          <w:rFonts w:hint="eastAsia" w:ascii="宋体" w:hAnsi="宋体" w:eastAsia="宋体" w:cs="宋体"/>
          <w:sz w:val="18"/>
          <w:szCs w:val="18"/>
        </w:rPr>
        <w:t>（以下无正文）</w:t>
      </w:r>
      <w:r>
        <w:rPr>
          <w:rFonts w:hint="eastAsia" w:ascii="宋体" w:hAnsi="宋体" w:eastAsia="宋体" w:cs="宋体"/>
          <w:sz w:val="20"/>
          <w:szCs w:val="20"/>
        </w:rPr>
        <w:t>（签字盖章页，无正文）</w:t>
      </w:r>
    </w:p>
    <w:p>
      <w:pPr>
        <w:pStyle w:val="5"/>
        <w:spacing w:line="360" w:lineRule="auto"/>
        <w:ind w:firstLine="400" w:firstLineChars="200"/>
        <w:rPr>
          <w:rFonts w:hint="eastAsia" w:ascii="宋体" w:hAnsi="宋体" w:eastAsia="宋体" w:cs="宋体"/>
          <w:sz w:val="20"/>
          <w:szCs w:val="20"/>
        </w:rPr>
      </w:pPr>
    </w:p>
    <w:p>
      <w:pPr>
        <w:pStyle w:val="5"/>
        <w:spacing w:line="360" w:lineRule="auto"/>
        <w:rPr>
          <w:rFonts w:hint="eastAsia" w:ascii="宋体" w:hAnsi="宋体" w:eastAsia="宋体" w:cs="宋体"/>
          <w:sz w:val="20"/>
          <w:szCs w:val="20"/>
        </w:rPr>
      </w:pPr>
    </w:p>
    <w:p>
      <w:pPr>
        <w:pStyle w:val="5"/>
        <w:spacing w:line="360" w:lineRule="auto"/>
        <w:ind w:firstLine="400" w:firstLineChars="200"/>
        <w:rPr>
          <w:rFonts w:hint="eastAsia" w:ascii="宋体" w:hAnsi="宋体" w:eastAsia="宋体" w:cs="宋体"/>
          <w:sz w:val="20"/>
          <w:szCs w:val="20"/>
        </w:rPr>
      </w:pPr>
    </w:p>
    <w:p>
      <w:pPr>
        <w:pStyle w:val="5"/>
        <w:spacing w:line="360" w:lineRule="auto"/>
        <w:ind w:firstLine="320" w:firstLineChars="200"/>
        <w:rPr>
          <w:rFonts w:hint="eastAsia" w:ascii="宋体" w:hAnsi="宋体" w:eastAsia="宋体" w:cs="宋体"/>
          <w:sz w:val="16"/>
          <w:szCs w:val="16"/>
        </w:rPr>
      </w:pPr>
    </w:p>
    <w:tbl>
      <w:tblPr>
        <w:tblStyle w:val="6"/>
        <w:tblW w:w="0" w:type="auto"/>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bCs/>
                <w:sz w:val="22"/>
                <w:szCs w:val="22"/>
              </w:rPr>
            </w:pPr>
            <w:r>
              <w:rPr>
                <w:rFonts w:hint="eastAsia" w:ascii="宋体" w:hAnsi="宋体" w:eastAsia="宋体" w:cs="宋体"/>
                <w:bCs/>
                <w:sz w:val="22"/>
                <w:szCs w:val="22"/>
              </w:rPr>
              <w:t>甲  方</w:t>
            </w:r>
          </w:p>
        </w:tc>
        <w:tc>
          <w:tcPr>
            <w:tcW w:w="4202" w:type="dxa"/>
            <w:noWrap w:val="0"/>
            <w:vAlign w:val="center"/>
          </w:tcPr>
          <w:p>
            <w:pPr>
              <w:autoSpaceDE w:val="0"/>
              <w:autoSpaceDN w:val="0"/>
              <w:adjustRightInd w:val="0"/>
              <w:spacing w:line="360" w:lineRule="auto"/>
              <w:rPr>
                <w:rFonts w:hint="eastAsia" w:ascii="宋体" w:hAnsi="宋体" w:eastAsia="宋体" w:cs="宋体"/>
                <w:bCs/>
                <w:sz w:val="22"/>
                <w:szCs w:val="22"/>
              </w:rPr>
            </w:pPr>
            <w:r>
              <w:rPr>
                <w:rFonts w:hint="eastAsia" w:ascii="宋体" w:hAnsi="宋体" w:eastAsia="宋体" w:cs="宋体"/>
                <w:bCs/>
                <w:sz w:val="22"/>
                <w:szCs w:val="22"/>
              </w:rPr>
              <w:t>乙  方</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bCs/>
                <w:sz w:val="22"/>
                <w:szCs w:val="22"/>
              </w:rPr>
            </w:pPr>
            <w:r>
              <w:rPr>
                <w:rFonts w:hint="eastAsia" w:ascii="宋体" w:hAnsi="宋体" w:eastAsia="宋体" w:cs="宋体"/>
                <w:bCs/>
                <w:sz w:val="22"/>
                <w:szCs w:val="22"/>
              </w:rPr>
              <w:t>（盖章）</w:t>
            </w:r>
          </w:p>
        </w:tc>
        <w:tc>
          <w:tcPr>
            <w:tcW w:w="4202" w:type="dxa"/>
            <w:noWrap w:val="0"/>
            <w:vAlign w:val="center"/>
          </w:tcPr>
          <w:p>
            <w:pPr>
              <w:autoSpaceDE w:val="0"/>
              <w:autoSpaceDN w:val="0"/>
              <w:adjustRightInd w:val="0"/>
              <w:spacing w:line="360" w:lineRule="auto"/>
              <w:rPr>
                <w:rFonts w:hint="eastAsia" w:ascii="宋体" w:hAnsi="宋体" w:eastAsia="宋体" w:cs="宋体"/>
                <w:bCs/>
                <w:sz w:val="22"/>
                <w:szCs w:val="22"/>
              </w:rPr>
            </w:pPr>
            <w:r>
              <w:rPr>
                <w:rFonts w:hint="eastAsia" w:ascii="宋体" w:hAnsi="宋体" w:eastAsia="宋体" w:cs="宋体"/>
                <w:bCs/>
                <w:sz w:val="22"/>
                <w:szCs w:val="22"/>
              </w:rPr>
              <w:t>（盖章）</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sz w:val="22"/>
                <w:szCs w:val="22"/>
              </w:rPr>
            </w:pPr>
            <w:r>
              <w:rPr>
                <w:rFonts w:hint="eastAsia" w:ascii="宋体" w:hAnsi="宋体" w:eastAsia="宋体" w:cs="宋体"/>
                <w:sz w:val="22"/>
                <w:szCs w:val="22"/>
              </w:rPr>
              <w:t xml:space="preserve">法定代表人： </w:t>
            </w:r>
          </w:p>
        </w:tc>
        <w:tc>
          <w:tcPr>
            <w:tcW w:w="4202" w:type="dxa"/>
            <w:noWrap w:val="0"/>
            <w:vAlign w:val="center"/>
          </w:tcPr>
          <w:p>
            <w:pPr>
              <w:autoSpaceDE w:val="0"/>
              <w:autoSpaceDN w:val="0"/>
              <w:adjustRightInd w:val="0"/>
              <w:spacing w:line="360" w:lineRule="auto"/>
              <w:rPr>
                <w:rFonts w:hint="eastAsia" w:ascii="宋体" w:hAnsi="宋体" w:eastAsia="宋体" w:cs="宋体"/>
                <w:sz w:val="22"/>
                <w:szCs w:val="22"/>
              </w:rPr>
            </w:pPr>
            <w:r>
              <w:rPr>
                <w:rFonts w:hint="eastAsia" w:ascii="宋体" w:hAnsi="宋体" w:eastAsia="宋体" w:cs="宋体"/>
                <w:sz w:val="22"/>
                <w:szCs w:val="22"/>
              </w:rPr>
              <w:t>法定代表人：</w:t>
            </w:r>
          </w:p>
        </w:tc>
      </w:tr>
      <w:tr>
        <w:tblPrEx>
          <w:tblCellMar>
            <w:top w:w="0" w:type="dxa"/>
            <w:left w:w="108" w:type="dxa"/>
            <w:bottom w:w="0" w:type="dxa"/>
            <w:right w:w="108" w:type="dxa"/>
          </w:tblCellMar>
        </w:tblPrEx>
        <w:trPr>
          <w:trHeight w:val="533"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sz w:val="22"/>
                <w:szCs w:val="22"/>
              </w:rPr>
            </w:pPr>
            <w:r>
              <w:rPr>
                <w:rFonts w:hint="eastAsia" w:ascii="宋体" w:hAnsi="宋体" w:eastAsia="宋体" w:cs="宋体"/>
                <w:sz w:val="22"/>
                <w:szCs w:val="22"/>
              </w:rPr>
              <w:t>被授权代表：</w:t>
            </w:r>
          </w:p>
        </w:tc>
        <w:tc>
          <w:tcPr>
            <w:tcW w:w="4202" w:type="dxa"/>
            <w:noWrap w:val="0"/>
            <w:vAlign w:val="center"/>
          </w:tcPr>
          <w:p>
            <w:pPr>
              <w:autoSpaceDE w:val="0"/>
              <w:autoSpaceDN w:val="0"/>
              <w:adjustRightInd w:val="0"/>
              <w:spacing w:line="360" w:lineRule="auto"/>
              <w:rPr>
                <w:rFonts w:hint="eastAsia" w:ascii="宋体" w:hAnsi="宋体" w:eastAsia="宋体" w:cs="宋体"/>
                <w:sz w:val="22"/>
                <w:szCs w:val="22"/>
              </w:rPr>
            </w:pPr>
            <w:r>
              <w:rPr>
                <w:rFonts w:hint="eastAsia" w:ascii="宋体" w:hAnsi="宋体" w:eastAsia="宋体" w:cs="宋体"/>
                <w:sz w:val="22"/>
                <w:szCs w:val="22"/>
              </w:rPr>
              <w:t>被授权代表：</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sz w:val="22"/>
                <w:szCs w:val="22"/>
              </w:rPr>
            </w:pPr>
            <w:r>
              <w:rPr>
                <w:rFonts w:hint="eastAsia" w:ascii="宋体" w:hAnsi="宋体" w:eastAsia="宋体" w:cs="宋体"/>
                <w:sz w:val="22"/>
                <w:szCs w:val="22"/>
              </w:rPr>
              <w:t>经办人：</w:t>
            </w:r>
          </w:p>
        </w:tc>
        <w:tc>
          <w:tcPr>
            <w:tcW w:w="4202" w:type="dxa"/>
            <w:noWrap w:val="0"/>
            <w:vAlign w:val="center"/>
          </w:tcPr>
          <w:p>
            <w:pPr>
              <w:autoSpaceDE w:val="0"/>
              <w:autoSpaceDN w:val="0"/>
              <w:adjustRightInd w:val="0"/>
              <w:spacing w:line="360" w:lineRule="auto"/>
              <w:rPr>
                <w:rFonts w:hint="eastAsia" w:ascii="宋体" w:hAnsi="宋体" w:eastAsia="宋体" w:cs="宋体"/>
                <w:sz w:val="22"/>
                <w:szCs w:val="22"/>
              </w:rPr>
            </w:pPr>
            <w:r>
              <w:rPr>
                <w:rFonts w:hint="eastAsia" w:ascii="宋体" w:hAnsi="宋体" w:eastAsia="宋体" w:cs="宋体"/>
                <w:sz w:val="22"/>
                <w:szCs w:val="22"/>
              </w:rPr>
              <w:t>经办人：</w:t>
            </w:r>
          </w:p>
        </w:tc>
      </w:tr>
      <w:tr>
        <w:tblPrEx>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sz w:val="22"/>
                <w:szCs w:val="22"/>
              </w:rPr>
            </w:pPr>
            <w:r>
              <w:rPr>
                <w:rFonts w:hint="eastAsia" w:ascii="宋体" w:hAnsi="宋体" w:eastAsia="宋体" w:cs="宋体"/>
                <w:sz w:val="22"/>
                <w:szCs w:val="22"/>
              </w:rPr>
              <w:t>日期：</w:t>
            </w:r>
          </w:p>
        </w:tc>
        <w:tc>
          <w:tcPr>
            <w:tcW w:w="4202" w:type="dxa"/>
            <w:noWrap w:val="0"/>
            <w:vAlign w:val="center"/>
          </w:tcPr>
          <w:p>
            <w:pPr>
              <w:autoSpaceDE w:val="0"/>
              <w:autoSpaceDN w:val="0"/>
              <w:adjustRightInd w:val="0"/>
              <w:spacing w:line="360" w:lineRule="auto"/>
              <w:rPr>
                <w:rFonts w:hint="eastAsia" w:ascii="宋体" w:hAnsi="宋体" w:eastAsia="宋体" w:cs="宋体"/>
                <w:sz w:val="22"/>
                <w:szCs w:val="22"/>
              </w:rPr>
            </w:pPr>
            <w:r>
              <w:rPr>
                <w:rFonts w:hint="eastAsia" w:ascii="宋体" w:hAnsi="宋体" w:eastAsia="宋体" w:cs="宋体"/>
                <w:sz w:val="22"/>
                <w:szCs w:val="22"/>
              </w:rPr>
              <w:t>日期：</w:t>
            </w:r>
          </w:p>
        </w:tc>
      </w:tr>
    </w:tbl>
    <w:p>
      <w:pPr>
        <w:pStyle w:val="5"/>
        <w:sectPr>
          <w:footerReference r:id="rId5" w:type="default"/>
          <w:pgSz w:w="11900" w:h="16840"/>
          <w:pgMar w:top="911" w:right="1785" w:bottom="276" w:left="1059" w:header="0" w:footer="0" w:gutter="0"/>
          <w:cols w:space="720" w:num="1"/>
        </w:sect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方正兰亭黑简体">
    <w:altName w:val="黑体"/>
    <w:panose1 w:val="00000000000000000000"/>
    <w:charset w:val="86"/>
    <w:family w:val="auto"/>
    <w:pitch w:val="default"/>
    <w:sig w:usb0="00000000" w:usb1="00000000" w:usb2="00000012" w:usb3="00000000" w:csb0="00040001" w:csb1="00000000"/>
  </w:font>
  <w:font w:name="Tahoma">
    <w:panose1 w:val="020B0604030504040204"/>
    <w:charset w:val="00"/>
    <w:family w:val="swiss"/>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419"/>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9"/>
        <w:sz w:val="24"/>
        <w:szCs w:val="24"/>
      </w:rPr>
      <w:t>-</w:t>
    </w:r>
    <w:r>
      <w:rPr>
        <w:rFonts w:ascii="宋体" w:hAnsi="宋体" w:eastAsia="宋体" w:cs="宋体"/>
        <w:spacing w:val="-9"/>
        <w:sz w:val="24"/>
        <w:szCs w:val="24"/>
      </w:rPr>
      <w:t>第</w:t>
    </w:r>
    <w:r>
      <w:rPr>
        <w:rFonts w:ascii="Lucida Sans Unicode" w:hAnsi="Lucida Sans Unicode" w:eastAsia="Lucida Sans Unicode" w:cs="Lucida Sans Unicode"/>
        <w:spacing w:val="-9"/>
        <w:sz w:val="24"/>
        <w:szCs w:val="24"/>
      </w:rPr>
      <w:t>35</w:t>
    </w:r>
    <w:r>
      <w:rPr>
        <w:rFonts w:ascii="宋体" w:hAnsi="宋体" w:eastAsia="宋体" w:cs="宋体"/>
        <w:spacing w:val="-9"/>
        <w:sz w:val="24"/>
        <w:szCs w:val="24"/>
      </w:rPr>
      <w:t>页</w:t>
    </w:r>
    <w:r>
      <w:rPr>
        <w:rFonts w:ascii="Lucida Sans Unicode" w:hAnsi="Lucida Sans Unicode" w:eastAsia="Lucida Sans Unicode" w:cs="Lucida Sans Unicode"/>
        <w:spacing w:val="-9"/>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NjdiMmNkMmFhYjA2NjkyNjJhOGQyYjBlNjZhYzYifQ=="/>
  </w:docVars>
  <w:rsids>
    <w:rsidRoot w:val="684F5E77"/>
    <w:rsid w:val="684F5E77"/>
    <w:rsid w:val="76C46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8"/>
    <w:qFormat/>
    <w:uiPriority w:val="0"/>
    <w:pPr>
      <w:keepNext/>
      <w:outlineLvl w:val="0"/>
    </w:pPr>
    <w:rPr>
      <w:rFonts w:ascii="新宋体" w:hAnsi="@方正兰亭黑简体" w:eastAsia="新宋体" w:cs="Tahoma"/>
      <w:b/>
      <w:sz w:val="32"/>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before="100" w:beforeAutospacing="1" w:afterLines="25" w:line="300" w:lineRule="auto"/>
      <w:ind w:firstLine="420" w:firstLineChars="200"/>
    </w:pPr>
    <w:rPr>
      <w:rFonts w:ascii="Arial" w:hAnsi="Arial" w:cs="Arial"/>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footer"/>
    <w:basedOn w:val="1"/>
    <w:unhideWhenUsed/>
    <w:qFormat/>
    <w:uiPriority w:val="99"/>
    <w:pPr>
      <w:tabs>
        <w:tab w:val="center" w:pos="4153"/>
        <w:tab w:val="right" w:pos="8306"/>
      </w:tabs>
      <w:snapToGrid w:val="0"/>
      <w:jc w:val="left"/>
    </w:pPr>
    <w:rPr>
      <w:sz w:val="18"/>
      <w:szCs w:val="18"/>
    </w:rPr>
  </w:style>
  <w:style w:type="character" w:customStyle="1" w:styleId="8">
    <w:name w:val="标题 1 字符"/>
    <w:link w:val="3"/>
    <w:autoRedefine/>
    <w:qFormat/>
    <w:uiPriority w:val="0"/>
    <w:rPr>
      <w:rFonts w:ascii="新宋体" w:hAnsi="@方正兰亭黑简体" w:eastAsia="新宋体" w:cs="Tahoma"/>
      <w:b/>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2024-05-30T06:43:00Z</dcterms:created>
  <dc:creator>Hello猫</dc:creator>
  <cp:lastModifiedBy>Hello猫</cp:lastModifiedBy>
  <dcterms:modified xsi:type="dcterms:W3CDTF">2024-05-30T06:44:39Z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D16C82979A144491988498F3F88BF33B_13</vt:lpwstr>
  </property>
</Properties>
</file>