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双目间接眼底镜、裂隙灯显微镜、生物显微镜、干眼治疗仪、激光治疗仪采购项目</w:t>
      </w:r>
    </w:p>
    <w:p>
      <w:pPr>
        <w:pStyle w:val="null3"/>
        <w:jc w:val="center"/>
        <w:outlineLvl w:val="2"/>
      </w:pPr>
      <w:r>
        <w:rPr>
          <w:sz w:val="28"/>
          <w:b/>
        </w:rPr>
        <w:t>采购项目编号：</w:t>
      </w:r>
      <w:r>
        <w:rPr>
          <w:sz w:val="28"/>
          <w:b/>
        </w:rPr>
        <w:t>【KRDL】K3-2406049</w:t>
      </w:r>
      <w:r>
        <w:br/>
      </w:r>
      <w:r>
        <w:br/>
      </w:r>
      <w:r>
        <w:br/>
      </w:r>
    </w:p>
    <w:p>
      <w:pPr>
        <w:pStyle w:val="null3"/>
        <w:jc w:val="center"/>
        <w:outlineLvl w:val="2"/>
      </w:pPr>
      <w:r>
        <w:rPr>
          <w:sz w:val="28"/>
          <w:b/>
        </w:rPr>
        <w:t>西北大学第一医院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2024年06月14日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西北大学第一医院</w:t>
      </w:r>
      <w:r>
        <w:rPr/>
        <w:t>委托，拟对</w:t>
      </w:r>
      <w:r>
        <w:rPr/>
        <w:t>双目间接眼底镜、裂隙灯显微镜、生物显微镜、干眼治疗仪、激光治疗仪采购项目</w:t>
      </w:r>
      <w:r>
        <w:rPr/>
        <w:t>进行国内公开招标，兹邀请符合本次招标要求的供应商参加投标。</w:t>
      </w:r>
    </w:p>
    <w:p>
      <w:pPr>
        <w:pStyle w:val="null3"/>
        <w:outlineLvl w:val="2"/>
      </w:pPr>
      <w:r>
        <w:rPr>
          <w:sz w:val="28"/>
          <w:b/>
        </w:rPr>
        <w:t>一、采购项目编号：</w:t>
      </w:r>
      <w:r>
        <w:rPr>
          <w:sz w:val="28"/>
          <w:b/>
        </w:rPr>
        <w:t>【KRDL】K3-2406049</w:t>
      </w:r>
    </w:p>
    <w:p>
      <w:pPr>
        <w:pStyle w:val="null3"/>
        <w:outlineLvl w:val="2"/>
      </w:pPr>
      <w:r>
        <w:rPr>
          <w:sz w:val="28"/>
          <w:b/>
        </w:rPr>
        <w:t>二、采购项目名称：</w:t>
      </w:r>
      <w:r>
        <w:rPr>
          <w:sz w:val="28"/>
          <w:b/>
        </w:rPr>
        <w:t>双目间接眼底镜、裂隙灯显微镜、生物显微镜、干眼治疗仪、激光治疗仪采购项目</w:t>
      </w:r>
    </w:p>
    <w:p>
      <w:pPr>
        <w:pStyle w:val="null3"/>
        <w:outlineLvl w:val="2"/>
      </w:pPr>
      <w:r>
        <w:rPr>
          <w:sz w:val="28"/>
          <w:b/>
        </w:rPr>
        <w:t>三、招标项目简介</w:t>
      </w:r>
    </w:p>
    <w:p>
      <w:pPr>
        <w:pStyle w:val="null3"/>
        <w:ind w:firstLine="480"/>
      </w:pPr>
      <w:r>
        <w:rPr/>
        <w:t>西北大学第一医院双目间接眼底镜、裂隙灯显微镜、生物显微镜、干眼治疗仪、激光治疗仪采购项目（品目名称以本招标公告及招标文件发布的名称为准），其它具体内容以招标文件及答疑文件等文件所涵盖的全部内容为准。</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1、主体资格：投标人为向招标人提供货物及配套服务的法人或其他组织</w:t>
      </w:r>
    </w:p>
    <w:p>
      <w:pPr>
        <w:pStyle w:val="null3"/>
      </w:pPr>
      <w:r>
        <w:rPr/>
        <w:t>2、投标人资格要求 ：投标人为代理商的应出具医疗器械经营许可证（或医疗器械经营备案凭证）和生产厂商的医疗器械生产许可证（或医疗器械生产备案凭证）；投标人为生产厂商的应出具医疗器械生产许可证（或医疗器械生产备案凭证）</w:t>
      </w:r>
    </w:p>
    <w:p>
      <w:pPr>
        <w:pStyle w:val="null3"/>
      </w:pPr>
      <w:r>
        <w:rPr/>
        <w:t>3、投标人资格要求：所投产品如属于医疗器械应出具医疗器械注册证或医疗器械备案凭证</w:t>
      </w:r>
    </w:p>
    <w:p>
      <w:pPr>
        <w:pStyle w:val="null3"/>
      </w:pPr>
      <w:r>
        <w:rPr/>
        <w:t>4、投标人资格要求：所投产品如为进口产品的须提供“进”字号医疗器械注册证以及完整的授权链证明材料</w:t>
      </w:r>
    </w:p>
    <w:p>
      <w:pPr>
        <w:pStyle w:val="null3"/>
      </w:pPr>
      <w:r>
        <w:rPr/>
        <w:t>5、投标人资格要求：本项目招标文件中允许提供的进口产品已做进口论证，接受进口产品的投标。本项目未做进口论证的产品，投标人所投的任何进口产品均不被接受</w:t>
      </w:r>
    </w:p>
    <w:p>
      <w:pPr>
        <w:pStyle w:val="null3"/>
      </w:pPr>
      <w:r>
        <w:rPr/>
        <w:t>6、信用信息：投标人信用要求：截止至投标文件递交截止时间之前，投标人未在“信用中国”网站中被列入“信用服务”查询栏目中严重失信主体名单以及重点领域严重失信主体名单</w:t>
      </w:r>
    </w:p>
    <w:p>
      <w:pPr>
        <w:pStyle w:val="null3"/>
      </w:pPr>
      <w:r>
        <w:rPr/>
        <w:t>7、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西北大学第一医院</w:t>
      </w:r>
    </w:p>
    <w:p>
      <w:pPr>
        <w:pStyle w:val="null3"/>
      </w:pPr>
      <w:r>
        <w:rPr/>
        <w:t xml:space="preserve"> 地址： </w:t>
      </w:r>
      <w:r>
        <w:rPr/>
        <w:t>西安市咸宁东路512好</w:t>
      </w:r>
    </w:p>
    <w:p>
      <w:pPr>
        <w:pStyle w:val="null3"/>
      </w:pPr>
      <w:r>
        <w:rPr/>
        <w:t xml:space="preserve"> 邮编： </w:t>
      </w:r>
      <w:r>
        <w:rPr/>
        <w:t>700043</w:t>
      </w:r>
    </w:p>
    <w:p>
      <w:pPr>
        <w:pStyle w:val="null3"/>
      </w:pPr>
      <w:r>
        <w:rPr/>
        <w:t xml:space="preserve"> 联系人： </w:t>
      </w:r>
      <w:r>
        <w:rPr/>
        <w:t>西北大学第一医院经办</w:t>
      </w:r>
    </w:p>
    <w:p>
      <w:pPr>
        <w:pStyle w:val="null3"/>
      </w:pPr>
      <w:r>
        <w:rPr/>
        <w:t xml:space="preserve"> 联系电话： </w:t>
      </w:r>
      <w:r>
        <w:rPr/>
        <w:t>82463680</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陕西省西安市莲湖区陕西省西安市莲湖区高新二路1号招商银行大厦19层</w:t>
      </w:r>
    </w:p>
    <w:p>
      <w:pPr>
        <w:pStyle w:val="null3"/>
      </w:pPr>
      <w:r>
        <w:rPr/>
        <w:t xml:space="preserve"> 邮编： </w:t>
      </w:r>
      <w:r>
        <w:rPr/>
        <w:t>710082</w:t>
      </w:r>
    </w:p>
    <w:p>
      <w:pPr>
        <w:pStyle w:val="null3"/>
      </w:pPr>
      <w:r>
        <w:rPr/>
        <w:t xml:space="preserve"> 联系人： </w:t>
      </w:r>
      <w:r>
        <w:rPr/>
        <w:t>赵瑞、张晨</w:t>
      </w:r>
    </w:p>
    <w:p>
      <w:pPr>
        <w:pStyle w:val="null3"/>
      </w:pPr>
      <w:r>
        <w:rPr/>
        <w:t xml:space="preserve"> 联系电话： </w:t>
      </w:r>
      <w:r>
        <w:rPr/>
        <w:t>13119153370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采购包1保证金金额：9,003.00元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代理服务费收费标准：代理服务费收费标准：代理服务费收费标准：确定成交投标人后3日内，由中标人按国家计委颁 发的《招标代理服务收费管理暂行办法》（计价格[2002]1980号）和国家发展改革委员会办公 厅颁发的《关于招标代理服务收费有关问题的通知》（发改办价格[2003] 857号）的有关规定标准下浮30%，向采购代理机构一次付清代理服务费。 （注：“代理服务费"及"投标保证金"缴 纳时须备注"项目名称简称或项目编号+代理服务费/投标保证金"）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西北大学第一医院</w:t>
      </w:r>
      <w:r>
        <w:rPr/>
        <w:t>和</w:t>
      </w:r>
      <w:r>
        <w:rPr/>
        <w:t>开瑞项目管理有限公司</w:t>
      </w:r>
      <w:r>
        <w:rPr/>
        <w:t>享有。对招标文件中供应商参加本次政府采购活动应当具备的条件，招标项目技术、服务、商务及其他要求，评标细则及标准由</w:t>
      </w:r>
      <w:r>
        <w:rPr/>
        <w:t>西北大学第一医院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西北大学第一医院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按照合同要求执行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联系人：赵工</w:t>
      </w:r>
    </w:p>
    <w:p>
      <w:pPr>
        <w:pStyle w:val="null3"/>
      </w:pPr>
      <w:r>
        <w:rPr/>
        <w:t>联系电话：13119153370</w:t>
      </w:r>
    </w:p>
    <w:p>
      <w:pPr>
        <w:pStyle w:val="null3"/>
      </w:pPr>
      <w:r>
        <w:rPr/>
        <w:t>地址：陕西省西安市莲湖区高新二路1号招商银行大厦19层</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北大学第一医院双目间接眼底镜、裂隙灯显微镜、生物显微镜、干眼治疗仪、激光治疗仪采购项目（品目名称以本招标公告及招标文件发布的名称为准），其它具体内容以招标文件及答疑文件等文件所涵盖的全部内容为准。</w:t>
      </w:r>
    </w:p>
    <w:p>
      <w:pPr>
        <w:pStyle w:val="null3"/>
        <w:outlineLvl w:val="2"/>
      </w:pPr>
      <w:r>
        <w:rPr>
          <w:sz w:val="28"/>
          <w:b/>
        </w:rPr>
        <w:t>3.2采购内容</w:t>
      </w:r>
    </w:p>
    <w:p>
      <w:pPr>
        <w:pStyle w:val="null3"/>
      </w:pPr>
      <w:r>
        <w:rPr/>
        <w:t>采购包1：</w:t>
      </w:r>
    </w:p>
    <w:p>
      <w:pPr>
        <w:pStyle w:val="null3"/>
      </w:pPr>
      <w:r>
        <w:rPr/>
        <w:t>采购包预算金额（元）: 455,000.00</w:t>
      </w:r>
    </w:p>
    <w:p>
      <w:pPr>
        <w:pStyle w:val="null3"/>
      </w:pPr>
      <w:r>
        <w:rPr/>
        <w:t>采购包最高限价（元）: 455,000.00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双目间接眼底镜</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裂隙灯显微镜</w:t>
            </w:r>
          </w:p>
        </w:tc>
        <w:tc>
          <w:tcPr>
            <w:tcW w:type="dxa" w:w="831"/>
          </w:tcPr>
          <w:p>
            <w:pPr>
              <w:pStyle w:val="null3"/>
              <w:jc w:val="right"/>
            </w:pPr>
            <w:r>
              <w:rPr/>
              <w:t>2.00</w:t>
            </w:r>
          </w:p>
        </w:tc>
        <w:tc>
          <w:tcPr>
            <w:tcW w:type="dxa" w:w="831"/>
          </w:tcPr>
          <w:p>
            <w:pPr>
              <w:pStyle w:val="null3"/>
              <w:jc w:val="right"/>
            </w:pPr>
            <w:r>
              <w:rPr/>
              <w:t>60,000.00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生物显微镜</w:t>
            </w:r>
          </w:p>
        </w:tc>
        <w:tc>
          <w:tcPr>
            <w:tcW w:type="dxa" w:w="831"/>
          </w:tcPr>
          <w:p>
            <w:pPr>
              <w:pStyle w:val="null3"/>
              <w:jc w:val="right"/>
            </w:pPr>
            <w:r>
              <w:rPr/>
              <w:t>1.00</w:t>
            </w:r>
          </w:p>
        </w:tc>
        <w:tc>
          <w:tcPr>
            <w:tcW w:type="dxa" w:w="831"/>
          </w:tcPr>
          <w:p>
            <w:pPr>
              <w:pStyle w:val="null3"/>
              <w:jc w:val="right"/>
            </w:pPr>
            <w:r>
              <w:rPr/>
              <w:t>25,000.00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干眼治疗仪</w:t>
            </w:r>
          </w:p>
        </w:tc>
        <w:tc>
          <w:tcPr>
            <w:tcW w:type="dxa" w:w="831"/>
          </w:tcPr>
          <w:p>
            <w:pPr>
              <w:pStyle w:val="null3"/>
              <w:jc w:val="right"/>
            </w:pPr>
            <w:r>
              <w:rPr/>
              <w:t>2.00</w:t>
            </w:r>
          </w:p>
        </w:tc>
        <w:tc>
          <w:tcPr>
            <w:tcW w:type="dxa" w:w="831"/>
          </w:tcPr>
          <w:p>
            <w:pPr>
              <w:pStyle w:val="null3"/>
              <w:jc w:val="right"/>
            </w:pPr>
            <w:r>
              <w:rPr/>
              <w:t>120,000.00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激光治疗仪</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台</w:t>
            </w:r>
          </w:p>
        </w:tc>
        <w:tc>
          <w:tcPr>
            <w:tcW w:type="dxa" w:w="831"/>
          </w:tcPr>
          <w:p>
            <w:pPr>
              <w:pStyle w:val="null3"/>
            </w:pPr>
            <w:r>
              <w:rPr/>
              <w:t>其他未列明行业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标的名称：双目间接眼底镜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双目间接眼底镜</w:t>
            </w:r>
            <w:r>
              <w:rPr>
                <w:rFonts w:ascii="宋体" w:hAnsi="宋体" w:cs="宋体" w:eastAsia="宋体"/>
                <w:sz w:val="24"/>
                <w:b/>
              </w:rPr>
              <w:t>招标参数</w:t>
            </w:r>
          </w:p>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IOS智能光学技术，不需要根据光斑大小再去自行调节光学成像组件的位置。</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所有内部成像组件能够每次随光斑大小，自动汇聚到精确位置，确保实现双眼立体视觉；</w:t>
            </w:r>
          </w:p>
          <w:p>
            <w:pPr>
              <w:pStyle w:val="null3"/>
              <w:jc w:val="both"/>
            </w:pPr>
            <w:r>
              <w:rPr>
                <w:rFonts w:ascii="宋体" w:hAnsi="宋体" w:cs="宋体" w:eastAsia="宋体"/>
                <w:sz w:val="24"/>
              </w:rPr>
              <w:t>3.</w:t>
            </w:r>
            <w:r>
              <w:rPr>
                <w:rFonts w:ascii="宋体" w:hAnsi="宋体" w:cs="宋体" w:eastAsia="宋体"/>
                <w:sz w:val="24"/>
              </w:rPr>
              <w:t>小光斑下内部光学组件彼此没有遮挡，确保小瞳孔观察时没有视野缺损；</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提供附加放大</w:t>
            </w:r>
            <w:r>
              <w:rPr>
                <w:rFonts w:ascii="宋体" w:hAnsi="宋体" w:cs="宋体" w:eastAsia="宋体"/>
                <w:sz w:val="24"/>
              </w:rPr>
              <w:t>1.6倍的立体图像，能够观察到视神经盘、黄斑和血管的更多细节，只需将镜头翻转至视野下即可；</w:t>
            </w:r>
          </w:p>
          <w:p>
            <w:pPr>
              <w:pStyle w:val="null3"/>
              <w:jc w:val="both"/>
            </w:pPr>
            <w:r>
              <w:rPr>
                <w:rFonts w:ascii="宋体" w:hAnsi="宋体" w:cs="宋体" w:eastAsia="宋体"/>
                <w:sz w:val="24"/>
              </w:rPr>
              <w:t>5.</w:t>
            </w:r>
            <w:r>
              <w:rPr>
                <w:rFonts w:ascii="宋体" w:hAnsi="宋体" w:cs="宋体" w:eastAsia="宋体"/>
                <w:sz w:val="24"/>
              </w:rPr>
              <w:t>安装在头带上的无线超薄锂电池，可以在任意房间、任意位置使用一台设备；一次充电可满足持续使用</w:t>
            </w:r>
            <w:r>
              <w:rPr>
                <w:rFonts w:ascii="宋体" w:hAnsi="宋体" w:cs="宋体" w:eastAsia="宋体"/>
                <w:sz w:val="24"/>
              </w:rPr>
              <w:t>6小时以上；</w:t>
            </w:r>
          </w:p>
          <w:p>
            <w:pPr>
              <w:pStyle w:val="null3"/>
              <w:jc w:val="both"/>
            </w:pPr>
            <w:r>
              <w:rPr>
                <w:rFonts w:ascii="宋体" w:hAnsi="宋体" w:cs="宋体" w:eastAsia="宋体"/>
                <w:sz w:val="24"/>
              </w:rPr>
              <w:t>6.</w:t>
            </w:r>
            <w:r>
              <w:rPr>
                <w:rFonts w:ascii="宋体" w:hAnsi="宋体" w:cs="宋体" w:eastAsia="宋体"/>
                <w:sz w:val="24"/>
              </w:rPr>
              <w:t>优质的</w:t>
            </w:r>
            <w:r>
              <w:rPr>
                <w:rFonts w:ascii="宋体" w:hAnsi="宋体" w:cs="宋体" w:eastAsia="宋体"/>
                <w:sz w:val="24"/>
              </w:rPr>
              <w:t>LED光源使用寿命长，利于发现卤素光下不易识别的病变，无炙烤，后续耗材费用低；</w:t>
            </w:r>
          </w:p>
          <w:p>
            <w:pPr>
              <w:pStyle w:val="null3"/>
              <w:jc w:val="both"/>
            </w:pPr>
            <w:r>
              <w:rPr>
                <w:rFonts w:ascii="宋体" w:hAnsi="宋体" w:cs="宋体" w:eastAsia="宋体"/>
                <w:sz w:val="24"/>
              </w:rPr>
              <w:t>7.</w:t>
            </w:r>
            <w:r>
              <w:rPr>
                <w:rFonts w:ascii="宋体" w:hAnsi="宋体" w:cs="宋体" w:eastAsia="宋体"/>
                <w:sz w:val="24"/>
              </w:rPr>
              <w:t>具有更换氙气光源的功能，满足检查者及术者个性化需要；</w:t>
            </w:r>
          </w:p>
          <w:p>
            <w:pPr>
              <w:pStyle w:val="null3"/>
              <w:jc w:val="both"/>
            </w:pPr>
            <w:r>
              <w:rPr>
                <w:rFonts w:ascii="宋体" w:hAnsi="宋体" w:cs="宋体" w:eastAsia="宋体"/>
                <w:sz w:val="24"/>
              </w:rPr>
              <w:t>8.</w:t>
            </w:r>
            <w:r>
              <w:rPr>
                <w:rFonts w:ascii="宋体" w:hAnsi="宋体" w:cs="宋体" w:eastAsia="宋体"/>
                <w:sz w:val="24"/>
              </w:rPr>
              <w:t>头带配有软垫调节平衡，适合任何头型；</w:t>
            </w:r>
          </w:p>
          <w:p>
            <w:pPr>
              <w:pStyle w:val="null3"/>
              <w:jc w:val="both"/>
            </w:pPr>
            <w:r>
              <w:rPr>
                <w:rFonts w:ascii="宋体" w:hAnsi="宋体" w:cs="宋体" w:eastAsia="宋体"/>
                <w:sz w:val="24"/>
              </w:rPr>
              <w:t>9.</w:t>
            </w:r>
            <w:r>
              <w:rPr>
                <w:rFonts w:ascii="宋体" w:hAnsi="宋体" w:cs="宋体" w:eastAsia="宋体"/>
                <w:sz w:val="24"/>
              </w:rPr>
              <w:t>示教镜安装方便，可允许两位观察者同时观察视网膜；</w:t>
            </w:r>
          </w:p>
          <w:p>
            <w:pPr>
              <w:pStyle w:val="null3"/>
              <w:jc w:val="both"/>
            </w:pPr>
            <w:r>
              <w:rPr>
                <w:rFonts w:ascii="宋体" w:hAnsi="宋体" w:cs="宋体" w:eastAsia="宋体"/>
                <w:sz w:val="24"/>
              </w:rPr>
              <w:t>10.</w:t>
            </w:r>
            <w:r>
              <w:rPr>
                <w:rFonts w:ascii="宋体" w:hAnsi="宋体" w:cs="宋体" w:eastAsia="宋体"/>
                <w:sz w:val="24"/>
              </w:rPr>
              <w:t>配有</w:t>
            </w:r>
            <w:r>
              <w:rPr>
                <w:rFonts w:ascii="宋体" w:hAnsi="宋体" w:cs="宋体" w:eastAsia="宋体"/>
                <w:sz w:val="24"/>
              </w:rPr>
              <w:t>IR/UV滤光片，并有其他可选的滤光片，瞳距范围48-76mm。</w:t>
            </w:r>
          </w:p>
        </w:tc>
      </w:tr>
    </w:tbl>
    <w:p>
      <w:pPr>
        <w:pStyle w:val="null3"/>
      </w:pPr>
      <w:r>
        <w:rPr/>
        <w:t>标的名称：裂隙灯显微镜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裂隙灯显微镜招标参数</w:t>
            </w:r>
          </w:p>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光学设计类型：平行夹角式</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改变倍率形式：转鼓式三挡变倍</w:t>
            </w:r>
          </w:p>
          <w:p>
            <w:pPr>
              <w:pStyle w:val="null3"/>
              <w:jc w:val="both"/>
            </w:pPr>
            <w:r>
              <w:rPr>
                <w:rFonts w:ascii="宋体" w:hAnsi="宋体" w:cs="宋体" w:eastAsia="宋体"/>
                <w:sz w:val="24"/>
              </w:rPr>
              <w:t>3.目镜12.5X</w:t>
            </w:r>
          </w:p>
          <w:p>
            <w:pPr>
              <w:pStyle w:val="null3"/>
              <w:jc w:val="both"/>
            </w:pPr>
            <w:r>
              <w:rPr>
                <w:rFonts w:ascii="宋体" w:hAnsi="宋体" w:cs="宋体" w:eastAsia="宋体"/>
                <w:sz w:val="24"/>
              </w:rPr>
              <w:t>4.放大总倍数：10X，16X，25X</w:t>
            </w:r>
          </w:p>
          <w:p>
            <w:pPr>
              <w:pStyle w:val="null3"/>
              <w:jc w:val="both"/>
            </w:pPr>
            <w:r>
              <w:rPr>
                <w:rFonts w:ascii="宋体" w:hAnsi="宋体" w:cs="宋体" w:eastAsia="宋体"/>
                <w:sz w:val="24"/>
              </w:rPr>
              <w:t>5.屈光度补偿调节：-7D~+7D</w:t>
            </w:r>
          </w:p>
          <w:p>
            <w:pPr>
              <w:pStyle w:val="null3"/>
              <w:jc w:val="both"/>
            </w:pPr>
            <w:r>
              <w:rPr>
                <w:rFonts w:ascii="宋体" w:hAnsi="宋体" w:cs="宋体" w:eastAsia="宋体"/>
                <w:sz w:val="24"/>
              </w:rPr>
              <w:t>6.瞳距调节范围：</w:t>
            </w:r>
            <w:r>
              <w:rPr>
                <w:rFonts w:ascii="宋体" w:hAnsi="宋体" w:cs="宋体" w:eastAsia="宋体"/>
                <w:sz w:val="24"/>
              </w:rPr>
              <w:t>50</w:t>
            </w:r>
            <w:r>
              <w:rPr>
                <w:rFonts w:ascii="宋体" w:hAnsi="宋体" w:cs="宋体" w:eastAsia="宋体"/>
                <w:sz w:val="24"/>
              </w:rPr>
              <w:t>mm~8</w:t>
            </w:r>
            <w:r>
              <w:rPr>
                <w:rFonts w:ascii="宋体" w:hAnsi="宋体" w:cs="宋体" w:eastAsia="宋体"/>
                <w:sz w:val="24"/>
              </w:rPr>
              <w:t>0</w:t>
            </w:r>
            <w:r>
              <w:rPr>
                <w:rFonts w:ascii="宋体" w:hAnsi="宋体" w:cs="宋体" w:eastAsia="宋体"/>
                <w:sz w:val="24"/>
              </w:rPr>
              <w:t>mm</w:t>
            </w:r>
          </w:p>
          <w:p>
            <w:pPr>
              <w:pStyle w:val="null3"/>
              <w:jc w:val="both"/>
            </w:pPr>
            <w:r>
              <w:rPr>
                <w:rFonts w:ascii="宋体" w:hAnsi="宋体" w:cs="宋体" w:eastAsia="宋体"/>
                <w:sz w:val="24"/>
              </w:rPr>
              <w:t>7.视场公称直径：10X：22mm；16X：14mm；25X：8.5mm</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照明方式：上光源照明</w:t>
            </w:r>
          </w:p>
          <w:p>
            <w:pPr>
              <w:pStyle w:val="null3"/>
              <w:jc w:val="both"/>
            </w:pPr>
            <w:r>
              <w:rPr>
                <w:rFonts w:ascii="宋体" w:hAnsi="宋体" w:cs="宋体" w:eastAsia="宋体"/>
                <w:sz w:val="24"/>
              </w:rPr>
              <w:t>9.裂隙高度：1mm~14mm连续可调</w:t>
            </w:r>
          </w:p>
          <w:p>
            <w:pPr>
              <w:pStyle w:val="null3"/>
              <w:jc w:val="both"/>
            </w:pPr>
            <w:r>
              <w:rPr>
                <w:rFonts w:ascii="宋体" w:hAnsi="宋体" w:cs="宋体" w:eastAsia="宋体"/>
                <w:sz w:val="24"/>
              </w:rPr>
              <w:t>10.裂隙宽度“0~14mm可调”</w:t>
            </w:r>
          </w:p>
          <w:p>
            <w:pPr>
              <w:pStyle w:val="null3"/>
              <w:jc w:val="both"/>
            </w:pPr>
            <w:r>
              <w:rPr>
                <w:rFonts w:ascii="宋体" w:hAnsi="宋体" w:cs="宋体" w:eastAsia="宋体"/>
                <w:sz w:val="24"/>
              </w:rPr>
              <w:t>11.裂隙角度：水平旋转0°~180°</w:t>
            </w:r>
          </w:p>
          <w:p>
            <w:pPr>
              <w:pStyle w:val="null3"/>
              <w:jc w:val="both"/>
            </w:pPr>
            <w:r>
              <w:rPr>
                <w:rFonts w:ascii="宋体" w:hAnsi="宋体" w:cs="宋体" w:eastAsia="宋体"/>
                <w:sz w:val="24"/>
              </w:rPr>
              <w:t>12.裂隙倾角：5°、10°、15°、20°</w:t>
            </w:r>
          </w:p>
          <w:p>
            <w:pPr>
              <w:pStyle w:val="null3"/>
              <w:jc w:val="both"/>
            </w:pPr>
            <w:r>
              <w:rPr>
                <w:rFonts w:ascii="宋体" w:hAnsi="宋体" w:cs="宋体" w:eastAsia="宋体"/>
                <w:sz w:val="24"/>
              </w:rPr>
              <w:t>13.光斑直径：Φ0.2、Φ1、Φ3、Φ5、Φ10、Φ14（mm）</w:t>
            </w:r>
          </w:p>
          <w:p>
            <w:pPr>
              <w:pStyle w:val="null3"/>
              <w:jc w:val="both"/>
            </w:pPr>
            <w:r>
              <w:rPr>
                <w:rFonts w:ascii="宋体" w:hAnsi="宋体" w:cs="宋体" w:eastAsia="宋体"/>
                <w:sz w:val="24"/>
              </w:rPr>
              <w:t>14.滤色片：隔热片、减光片、无赤片、钴蓝片</w:t>
            </w:r>
          </w:p>
          <w:p>
            <w:pPr>
              <w:pStyle w:val="null3"/>
              <w:jc w:val="both"/>
            </w:pPr>
            <w:r>
              <w:rPr>
                <w:rFonts w:ascii="宋体" w:hAnsi="宋体" w:cs="宋体" w:eastAsia="宋体"/>
                <w:sz w:val="24"/>
              </w:rPr>
              <w:t>15.</w:t>
            </w:r>
            <w:r>
              <w:rPr>
                <w:rFonts w:ascii="宋体" w:hAnsi="宋体" w:cs="宋体" w:eastAsia="宋体"/>
                <w:sz w:val="24"/>
              </w:rPr>
              <w:t>▲</w:t>
            </w:r>
            <w:r>
              <w:rPr>
                <w:rFonts w:ascii="宋体" w:hAnsi="宋体" w:cs="宋体" w:eastAsia="宋体"/>
                <w:sz w:val="24"/>
              </w:rPr>
              <w:t>照明光源：暖色</w:t>
            </w:r>
            <w:r>
              <w:rPr>
                <w:rFonts w:ascii="宋体" w:hAnsi="宋体" w:cs="宋体" w:eastAsia="宋体"/>
                <w:sz w:val="24"/>
              </w:rPr>
              <w:t>LED</w:t>
            </w:r>
          </w:p>
          <w:p>
            <w:pPr>
              <w:pStyle w:val="null3"/>
              <w:jc w:val="both"/>
            </w:pPr>
            <w:r>
              <w:rPr>
                <w:rFonts w:ascii="宋体" w:hAnsi="宋体" w:cs="宋体" w:eastAsia="宋体"/>
                <w:sz w:val="24"/>
              </w:rPr>
              <w:t>16.</w:t>
            </w:r>
            <w:r>
              <w:rPr>
                <w:rFonts w:ascii="宋体" w:hAnsi="宋体" w:cs="宋体" w:eastAsia="宋体"/>
                <w:sz w:val="24"/>
              </w:rPr>
              <w:t>▲</w:t>
            </w:r>
            <w:r>
              <w:rPr>
                <w:rFonts w:ascii="宋体" w:hAnsi="宋体" w:cs="宋体" w:eastAsia="宋体"/>
                <w:sz w:val="24"/>
              </w:rPr>
              <w:t>调光方式：底座无极调光</w:t>
            </w:r>
          </w:p>
          <w:p>
            <w:pPr>
              <w:pStyle w:val="null3"/>
              <w:jc w:val="both"/>
            </w:pPr>
            <w:r>
              <w:rPr>
                <w:rFonts w:ascii="宋体" w:hAnsi="宋体" w:cs="宋体" w:eastAsia="宋体"/>
                <w:sz w:val="24"/>
              </w:rPr>
              <w:t>17.总高度≥60万Lux</w:t>
            </w:r>
          </w:p>
        </w:tc>
      </w:tr>
    </w:tbl>
    <w:p>
      <w:pPr>
        <w:pStyle w:val="null3"/>
      </w:pPr>
      <w:r>
        <w:rPr/>
        <w:t>标的名称：生物显微镜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生物显微镜招标参数</w:t>
                  </w:r>
                </w:p>
                <w:p>
                  <w:pPr>
                    <w:pStyle w:val="null3"/>
                  </w:pPr>
                  <w:r>
                    <w:rPr>
                      <w:rFonts w:ascii="宋体" w:hAnsi="宋体" w:cs="宋体" w:eastAsia="宋体"/>
                      <w:sz w:val="24"/>
                    </w:rPr>
                    <w:t>（一）技术参数：</w:t>
                  </w:r>
                </w:p>
                <w:p>
                  <w:pPr>
                    <w:pStyle w:val="null3"/>
                  </w:pPr>
                  <w:r>
                    <w:rPr>
                      <w:rFonts w:ascii="宋体" w:hAnsi="宋体" w:cs="宋体" w:eastAsia="宋体"/>
                      <w:sz w:val="24"/>
                    </w:rPr>
                    <w:t>1.物镜：消色差物镜</w:t>
                  </w:r>
                </w:p>
                <w:tbl>
                  <w:tblPr>
                    <w:tblBorders>
                      <w:top w:val="none" w:color="000000" w:sz="4"/>
                      <w:left w:val="none" w:color="000000" w:sz="4"/>
                      <w:bottom w:val="none" w:color="000000" w:sz="4"/>
                      <w:right w:val="none" w:color="000000" w:sz="4"/>
                      <w:insideH w:val="none"/>
                      <w:insideV w:val="none"/>
                    </w:tblBorders>
                  </w:tblPr>
                  <w:tblGrid>
                    <w:gridCol w:w="932"/>
                    <w:gridCol w:w="769"/>
                    <w:gridCol w:w="636"/>
                  </w:tblGrid>
                  <w:tr>
                    <w:tc>
                      <w:tcPr>
                        <w:tcW w:type="dxa" w:w="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总放大倍数</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口径</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工作距离</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4X</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0.1</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37.5</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10X</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0.25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7.613</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40X(s)</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0.65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0.632</w:t>
                        </w:r>
                      </w:p>
                    </w:tc>
                  </w:tr>
                  <w:tr>
                    <w:tc>
                      <w:tcPr>
                        <w:tcW w:type="dxa" w:w="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100X(s.oil)</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1.25</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0.198</w:t>
                        </w:r>
                      </w:p>
                    </w:tc>
                  </w:tr>
                </w:tbl>
                <w:p>
                  <w:pPr>
                    <w:pStyle w:val="null3"/>
                  </w:pPr>
                  <w:r>
                    <w:rPr>
                      <w:rFonts w:ascii="宋体" w:hAnsi="宋体" w:cs="宋体" w:eastAsia="宋体"/>
                      <w:sz w:val="24"/>
                    </w:rPr>
                    <w:t>2.目镜：大视场目镜，总放开倍数 WF10X，直径ф18</w:t>
                  </w:r>
                </w:p>
                <w:p>
                  <w:pPr>
                    <w:pStyle w:val="null3"/>
                  </w:pPr>
                  <w:r>
                    <w:rPr>
                      <w:rFonts w:ascii="宋体" w:hAnsi="宋体" w:cs="宋体" w:eastAsia="宋体"/>
                      <w:sz w:val="24"/>
                    </w:rPr>
                    <w:t>3.目镜管长度160mm</w:t>
                  </w:r>
                </w:p>
                <w:p>
                  <w:pPr>
                    <w:pStyle w:val="null3"/>
                  </w:pPr>
                  <w:r>
                    <w:rPr>
                      <w:rFonts w:ascii="宋体" w:hAnsi="宋体" w:cs="宋体" w:eastAsia="宋体"/>
                      <w:sz w:val="24"/>
                    </w:rPr>
                    <w:t>4.平台尺寸：</w:t>
                  </w:r>
                  <w:r>
                    <w:rPr>
                      <w:rFonts w:ascii="宋体" w:hAnsi="宋体" w:cs="宋体" w:eastAsia="宋体"/>
                      <w:sz w:val="24"/>
                    </w:rPr>
                    <w:t>≥</w:t>
                  </w:r>
                  <w:r>
                    <w:rPr>
                      <w:rFonts w:ascii="宋体" w:hAnsi="宋体" w:cs="宋体" w:eastAsia="宋体"/>
                      <w:sz w:val="24"/>
                    </w:rPr>
                    <w:t>140X140mm,移动范围:</w:t>
                  </w:r>
                  <w:r>
                    <w:rPr>
                      <w:rFonts w:ascii="宋体" w:hAnsi="宋体" w:cs="宋体" w:eastAsia="宋体"/>
                      <w:sz w:val="24"/>
                    </w:rPr>
                    <w:t>≥</w:t>
                  </w:r>
                  <w:r>
                    <w:rPr>
                      <w:rFonts w:ascii="宋体" w:hAnsi="宋体" w:cs="宋体" w:eastAsia="宋体"/>
                      <w:sz w:val="24"/>
                    </w:rPr>
                    <w:t>75X45mm</w:t>
                  </w:r>
                </w:p>
                <w:p>
                  <w:pPr>
                    <w:pStyle w:val="null3"/>
                  </w:pPr>
                  <w:r>
                    <w:rPr>
                      <w:rFonts w:ascii="宋体" w:hAnsi="宋体" w:cs="宋体" w:eastAsia="宋体"/>
                      <w:sz w:val="24"/>
                    </w:rPr>
                    <w:t>5.阿贝聚光镜 NA=1.25 带可变光栏(选配柯勒照明)</w:t>
                  </w:r>
                </w:p>
                <w:p>
                  <w:pPr>
                    <w:pStyle w:val="null3"/>
                  </w:pPr>
                  <w:r>
                    <w:rPr>
                      <w:rFonts w:ascii="宋体" w:hAnsi="宋体" w:cs="宋体" w:eastAsia="宋体"/>
                      <w:sz w:val="24"/>
                    </w:rPr>
                    <w:t>6.粗微同轴调范围：</w:t>
                  </w:r>
                  <w:r>
                    <w:rPr>
                      <w:rFonts w:ascii="宋体" w:hAnsi="宋体" w:cs="宋体" w:eastAsia="宋体"/>
                      <w:sz w:val="24"/>
                    </w:rPr>
                    <w:t>≥</w:t>
                  </w:r>
                  <w:r>
                    <w:rPr>
                      <w:rFonts w:ascii="宋体" w:hAnsi="宋体" w:cs="宋体" w:eastAsia="宋体"/>
                      <w:sz w:val="24"/>
                    </w:rPr>
                    <w:t>30mm</w:t>
                  </w:r>
                </w:p>
                <w:p>
                  <w:pPr>
                    <w:pStyle w:val="null3"/>
                  </w:pPr>
                  <w:r>
                    <w:rPr>
                      <w:rFonts w:ascii="宋体" w:hAnsi="宋体" w:cs="宋体" w:eastAsia="宋体"/>
                      <w:sz w:val="24"/>
                    </w:rPr>
                    <w:t>7.照明:6V 20W 可调光卤素灯</w:t>
                  </w:r>
                </w:p>
              </w:tc>
            </w:tr>
          </w:tbl>
          <w:p/>
        </w:tc>
      </w:tr>
    </w:tbl>
    <w:p>
      <w:pPr>
        <w:pStyle w:val="null3"/>
      </w:pPr>
      <w:r>
        <w:rPr/>
        <w:t>标的名称：干眼治疗仪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干眼治疗仪招标参数</w:t>
            </w:r>
          </w:p>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▲一体机功能：超声雾化</w:t>
            </w:r>
            <w:r>
              <w:rPr>
                <w:rFonts w:ascii="宋体" w:hAnsi="宋体" w:cs="宋体" w:eastAsia="宋体"/>
                <w:sz w:val="24"/>
              </w:rPr>
              <w:t>功能，氧疗功能，热敷功能，冷风功能，整机一体化设计，自带制氧，无须额外添加制氧机</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治疗方式：超声雾化模块，氧疗模块，热敷、冷风模块一体化同步治疗，自由切换</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驱动气体：氧气或空气</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自动风量控制</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温度预设范围：</w:t>
            </w:r>
            <w:r>
              <w:rPr>
                <w:rFonts w:ascii="宋体" w:hAnsi="宋体" w:cs="宋体" w:eastAsia="宋体"/>
                <w:sz w:val="24"/>
              </w:rPr>
              <w:t>≤45°</w:t>
            </w:r>
          </w:p>
          <w:p>
            <w:pPr>
              <w:pStyle w:val="null3"/>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w:t>
            </w:r>
            <w:r>
              <w:rPr>
                <w:rFonts w:ascii="宋体" w:hAnsi="宋体" w:cs="宋体" w:eastAsia="宋体"/>
                <w:sz w:val="24"/>
              </w:rPr>
              <w:t>管路：双层加热导丝内壁夹层，管腔通透无阻碍。加热导丝高温不直接裸露与药物接触，不改变药物的性质。</w:t>
            </w:r>
          </w:p>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具有温度管理功能，管路端口内置隐藏式温控探头。</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w:t>
            </w:r>
            <w:r>
              <w:rPr>
                <w:rFonts w:ascii="宋体" w:hAnsi="宋体" w:cs="宋体" w:eastAsia="宋体"/>
                <w:sz w:val="24"/>
              </w:rPr>
              <w:t>具有空氧混合器功能氧气流量</w:t>
            </w:r>
            <w:r>
              <w:rPr>
                <w:rFonts w:ascii="宋体" w:hAnsi="宋体" w:cs="宋体" w:eastAsia="宋体"/>
                <w:sz w:val="24"/>
              </w:rPr>
              <w:t>1L/min-3L/min可分3档氧气流量调节</w:t>
            </w:r>
          </w:p>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整机噪声</w:t>
            </w:r>
            <w:r>
              <w:rPr>
                <w:rFonts w:ascii="宋体" w:hAnsi="宋体" w:cs="宋体" w:eastAsia="宋体"/>
                <w:sz w:val="24"/>
              </w:rPr>
              <w:t>: ≤50dB</w:t>
            </w:r>
          </w:p>
          <w:p>
            <w:pPr>
              <w:pStyle w:val="null3"/>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眼罩可调节，具有双眼或单眼单独雾化功能</w:t>
            </w:r>
          </w:p>
          <w:p>
            <w:pPr>
              <w:pStyle w:val="null3"/>
              <w:jc w:val="both"/>
            </w:pPr>
            <w:r>
              <w:rPr>
                <w:rFonts w:ascii="宋体" w:hAnsi="宋体" w:cs="宋体" w:eastAsia="宋体"/>
                <w:sz w:val="24"/>
              </w:rPr>
              <w:t>11</w:t>
            </w:r>
            <w:r>
              <w:rPr>
                <w:rFonts w:ascii="宋体" w:hAnsi="宋体" w:cs="宋体" w:eastAsia="宋体"/>
                <w:sz w:val="24"/>
              </w:rPr>
              <w:t>.</w:t>
            </w:r>
            <w:r>
              <w:rPr>
                <w:rFonts w:ascii="宋体" w:hAnsi="宋体" w:cs="宋体" w:eastAsia="宋体"/>
                <w:sz w:val="24"/>
              </w:rPr>
              <w:t>LED显示屏，有倒计时提示</w:t>
            </w:r>
          </w:p>
          <w:p>
            <w:pPr>
              <w:pStyle w:val="null3"/>
              <w:jc w:val="both"/>
            </w:pPr>
            <w:r>
              <w:rPr>
                <w:rFonts w:ascii="宋体" w:hAnsi="宋体" w:cs="宋体" w:eastAsia="宋体"/>
                <w:sz w:val="24"/>
              </w:rPr>
              <w:t>12</w:t>
            </w:r>
            <w:r>
              <w:rPr>
                <w:rFonts w:ascii="宋体" w:hAnsi="宋体" w:cs="宋体" w:eastAsia="宋体"/>
                <w:sz w:val="24"/>
              </w:rPr>
              <w:t>.</w:t>
            </w:r>
            <w:r>
              <w:rPr>
                <w:rFonts w:ascii="宋体" w:hAnsi="宋体" w:cs="宋体" w:eastAsia="宋体"/>
                <w:sz w:val="24"/>
              </w:rPr>
              <w:t>配备眼罩</w:t>
            </w:r>
            <w:r>
              <w:rPr>
                <w:rFonts w:ascii="宋体" w:hAnsi="宋体" w:cs="宋体" w:eastAsia="宋体"/>
                <w:sz w:val="24"/>
              </w:rPr>
              <w:t>≥10</w:t>
            </w:r>
            <w:r>
              <w:rPr>
                <w:rFonts w:ascii="宋体" w:hAnsi="宋体" w:cs="宋体" w:eastAsia="宋体"/>
                <w:sz w:val="24"/>
              </w:rPr>
              <w:t>个</w:t>
            </w:r>
          </w:p>
          <w:p>
            <w:pPr>
              <w:pStyle w:val="null3"/>
              <w:jc w:val="both"/>
            </w:pPr>
            <w:r>
              <w:rPr>
                <w:rFonts w:ascii="宋体" w:hAnsi="宋体" w:cs="宋体" w:eastAsia="宋体"/>
                <w:sz w:val="24"/>
              </w:rPr>
              <w:t>13</w:t>
            </w:r>
            <w:r>
              <w:rPr>
                <w:rFonts w:ascii="宋体" w:hAnsi="宋体" w:cs="宋体" w:eastAsia="宋体"/>
                <w:sz w:val="24"/>
              </w:rPr>
              <w:t>.</w:t>
            </w:r>
            <w:r>
              <w:rPr>
                <w:rFonts w:ascii="宋体" w:hAnsi="宋体" w:cs="宋体" w:eastAsia="宋体"/>
                <w:sz w:val="24"/>
              </w:rPr>
              <w:t>管路同整机质保。</w:t>
            </w:r>
          </w:p>
        </w:tc>
      </w:tr>
    </w:tbl>
    <w:p>
      <w:pPr>
        <w:pStyle w:val="null3"/>
      </w:pPr>
      <w:r>
        <w:rPr/>
        <w:t>标的名称：激光治疗仪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color w:val="000000"/>
              </w:rPr>
              <w:t>激光治疗仪招标</w:t>
            </w:r>
            <w:r>
              <w:rPr>
                <w:rFonts w:ascii="宋体" w:hAnsi="宋体" w:cs="宋体" w:eastAsia="宋体"/>
                <w:sz w:val="24"/>
                <w:color w:val="000000"/>
              </w:rPr>
              <w:t>参数</w:t>
            </w:r>
          </w:p>
          <w:p>
            <w:pPr>
              <w:pStyle w:val="null3"/>
              <w:jc w:val="both"/>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激光波长：</w:t>
            </w:r>
            <w:r>
              <w:rPr>
                <w:rFonts w:ascii="宋体" w:hAnsi="宋体" w:cs="宋体" w:eastAsia="宋体"/>
                <w:sz w:val="24"/>
                <w:color w:val="000000"/>
              </w:rPr>
              <w:t>1064 nm±5 nm</w:t>
            </w:r>
          </w:p>
          <w:p>
            <w:pPr>
              <w:pStyle w:val="null3"/>
              <w:jc w:val="both"/>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激光模式：多模</w:t>
            </w:r>
          </w:p>
          <w:p>
            <w:pPr>
              <w:pStyle w:val="null3"/>
              <w:jc w:val="both"/>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激光脉冲输出的时间特性</w:t>
            </w:r>
          </w:p>
          <w:p>
            <w:pPr>
              <w:pStyle w:val="null3"/>
              <w:jc w:val="both"/>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激光脉冲输出方式：单脉冲、双脉冲和</w:t>
            </w:r>
            <w:r>
              <w:rPr>
                <w:rFonts w:ascii="宋体" w:hAnsi="宋体" w:cs="宋体" w:eastAsia="宋体"/>
                <w:sz w:val="24"/>
                <w:color w:val="000000"/>
              </w:rPr>
              <w:t>3脉冲。</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▲激光脉冲宽度：4.5ns，允差±10%。</w:t>
            </w:r>
          </w:p>
          <w:p>
            <w:pPr>
              <w:pStyle w:val="null3"/>
              <w:jc w:val="both"/>
            </w:pP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激光脉冲序列脉冲间隔时间：双脉冲和</w:t>
            </w:r>
            <w:r>
              <w:rPr>
                <w:rFonts w:ascii="宋体" w:hAnsi="宋体" w:cs="宋体" w:eastAsia="宋体"/>
                <w:sz w:val="24"/>
                <w:color w:val="000000"/>
              </w:rPr>
              <w:t>3脉冲的脉冲间隔时间</w:t>
            </w:r>
            <w:r>
              <w:rPr>
                <w:rFonts w:ascii="宋体" w:hAnsi="宋体" w:cs="宋体" w:eastAsia="宋体"/>
                <w:sz w:val="24"/>
              </w:rPr>
              <w:t>≤</w:t>
            </w:r>
            <w:r>
              <w:rPr>
                <w:rFonts w:ascii="宋体" w:hAnsi="宋体" w:cs="宋体" w:eastAsia="宋体"/>
                <w:sz w:val="24"/>
                <w:color w:val="000000"/>
              </w:rPr>
              <w:t>40μs。</w:t>
            </w:r>
          </w:p>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激光脉冲序列的最大可发射重复频率：</w:t>
            </w:r>
            <w:r>
              <w:rPr>
                <w:rFonts w:ascii="宋体" w:hAnsi="宋体" w:cs="宋体" w:eastAsia="宋体"/>
                <w:sz w:val="24"/>
              </w:rPr>
              <w:t>2.5Hz，</w:t>
            </w:r>
            <w:r>
              <w:rPr>
                <w:rFonts w:ascii="宋体" w:hAnsi="宋体" w:cs="宋体" w:eastAsia="宋体"/>
                <w:sz w:val="24"/>
              </w:rPr>
              <w:t>允许偏差</w:t>
            </w:r>
            <w:r>
              <w:rPr>
                <w:rFonts w:ascii="宋体" w:hAnsi="宋体" w:cs="宋体" w:eastAsia="宋体"/>
                <w:sz w:val="24"/>
              </w:rPr>
              <w:t>±20%。</w:t>
            </w:r>
          </w:p>
          <w:p>
            <w:pPr>
              <w:pStyle w:val="null3"/>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▲激光输出能量（眼球前）：</w:t>
            </w:r>
          </w:p>
          <w:p>
            <w:pPr>
              <w:pStyle w:val="null3"/>
              <w:ind w:left="420" w:firstLine="4"/>
              <w:jc w:val="both"/>
            </w:pPr>
            <w:r>
              <w:rPr>
                <w:rFonts w:ascii="宋体" w:hAnsi="宋体" w:cs="宋体" w:eastAsia="宋体"/>
                <w:sz w:val="24"/>
              </w:rPr>
              <w:t>a) 单脉冲最大输出能量：11mJ，</w:t>
            </w:r>
            <w:r>
              <w:rPr>
                <w:rFonts w:ascii="宋体" w:hAnsi="宋体" w:cs="宋体" w:eastAsia="宋体"/>
                <w:sz w:val="24"/>
              </w:rPr>
              <w:t>允许偏差</w:t>
            </w:r>
            <w:r>
              <w:rPr>
                <w:rFonts w:ascii="宋体" w:hAnsi="宋体" w:cs="宋体" w:eastAsia="宋体"/>
                <w:sz w:val="24"/>
              </w:rPr>
              <w:t>±20%</w:t>
            </w:r>
            <w:r>
              <w:rPr>
                <w:rFonts w:ascii="宋体" w:hAnsi="宋体" w:cs="宋体" w:eastAsia="宋体"/>
                <w:sz w:val="24"/>
              </w:rPr>
              <w:t>；</w:t>
            </w:r>
          </w:p>
          <w:p>
            <w:pPr>
              <w:pStyle w:val="null3"/>
              <w:ind w:left="420"/>
              <w:jc w:val="both"/>
            </w:pPr>
            <w:r>
              <w:rPr>
                <w:rFonts w:ascii="宋体" w:hAnsi="宋体" w:cs="宋体" w:eastAsia="宋体"/>
                <w:sz w:val="24"/>
              </w:rPr>
              <w:t>b) 双脉冲最大输出能量：19 mJ，</w:t>
            </w:r>
            <w:r>
              <w:rPr>
                <w:rFonts w:ascii="宋体" w:hAnsi="宋体" w:cs="宋体" w:eastAsia="宋体"/>
                <w:sz w:val="24"/>
              </w:rPr>
              <w:t>允许偏差</w:t>
            </w:r>
            <w:r>
              <w:rPr>
                <w:rFonts w:ascii="宋体" w:hAnsi="宋体" w:cs="宋体" w:eastAsia="宋体"/>
                <w:sz w:val="24"/>
              </w:rPr>
              <w:t>±20%</w:t>
            </w:r>
            <w:r>
              <w:rPr>
                <w:rFonts w:ascii="宋体" w:hAnsi="宋体" w:cs="宋体" w:eastAsia="宋体"/>
                <w:sz w:val="24"/>
              </w:rPr>
              <w:t>；</w:t>
            </w:r>
          </w:p>
          <w:p>
            <w:pPr>
              <w:pStyle w:val="null3"/>
              <w:ind w:left="420"/>
              <w:jc w:val="both"/>
            </w:pPr>
            <w:r>
              <w:rPr>
                <w:rFonts w:ascii="宋体" w:hAnsi="宋体" w:cs="宋体" w:eastAsia="宋体"/>
                <w:sz w:val="24"/>
              </w:rPr>
              <w:t xml:space="preserve">c) </w:t>
            </w:r>
            <w:r>
              <w:rPr>
                <w:rFonts w:ascii="宋体" w:hAnsi="宋体" w:cs="宋体" w:eastAsia="宋体"/>
                <w:sz w:val="24"/>
              </w:rPr>
              <w:t>3脉冲最大输出能量：28 mJ，</w:t>
            </w:r>
            <w:r>
              <w:rPr>
                <w:rFonts w:ascii="宋体" w:hAnsi="宋体" w:cs="宋体" w:eastAsia="宋体"/>
                <w:sz w:val="24"/>
              </w:rPr>
              <w:t>允许偏差</w:t>
            </w:r>
            <w:r>
              <w:rPr>
                <w:rFonts w:ascii="宋体" w:hAnsi="宋体" w:cs="宋体" w:eastAsia="宋体"/>
                <w:sz w:val="24"/>
              </w:rPr>
              <w:t>±20%</w:t>
            </w:r>
            <w:r>
              <w:rPr>
                <w:rFonts w:ascii="宋体" w:hAnsi="宋体" w:cs="宋体" w:eastAsia="宋体"/>
                <w:sz w:val="24"/>
              </w:rPr>
              <w:t>；</w:t>
            </w:r>
          </w:p>
          <w:p>
            <w:pPr>
              <w:pStyle w:val="null3"/>
              <w:ind w:left="420"/>
              <w:jc w:val="both"/>
            </w:pPr>
            <w:r>
              <w:rPr>
                <w:rFonts w:ascii="宋体" w:hAnsi="宋体" w:cs="宋体" w:eastAsia="宋体"/>
                <w:sz w:val="24"/>
              </w:rPr>
              <w:t>d) 输出能量调节：</w:t>
            </w:r>
            <w:r>
              <w:rPr>
                <w:rFonts w:ascii="宋体" w:hAnsi="宋体" w:cs="宋体" w:eastAsia="宋体"/>
                <w:sz w:val="24"/>
              </w:rPr>
              <w:t>100%～6% 七档可调，</w:t>
            </w:r>
            <w:r>
              <w:rPr>
                <w:rFonts w:ascii="宋体" w:hAnsi="宋体" w:cs="宋体" w:eastAsia="宋体"/>
                <w:sz w:val="24"/>
              </w:rPr>
              <w:t>实际输出与预置值允许偏差</w:t>
            </w:r>
            <w:r>
              <w:rPr>
                <w:rFonts w:ascii="宋体" w:hAnsi="宋体" w:cs="宋体" w:eastAsia="宋体"/>
                <w:sz w:val="24"/>
              </w:rPr>
              <w:t>±20%。</w:t>
            </w:r>
          </w:p>
          <w:p>
            <w:pPr>
              <w:pStyle w:val="null3"/>
              <w:jc w:val="both"/>
            </w:pPr>
            <w:r>
              <w:rPr>
                <w:rFonts w:ascii="宋体" w:hAnsi="宋体" w:cs="宋体" w:eastAsia="宋体"/>
                <w:sz w:val="24"/>
              </w:rPr>
              <w:t xml:space="preserve">  </w:t>
            </w:r>
            <w:r>
              <w:rPr>
                <w:rFonts w:ascii="宋体" w:hAnsi="宋体" w:cs="宋体" w:eastAsia="宋体"/>
                <w:sz w:val="24"/>
              </w:rPr>
              <w:t>激光输出能量复现性：</w:t>
            </w:r>
            <w:r>
              <w:rPr>
                <w:rFonts w:ascii="宋体" w:hAnsi="宋体" w:cs="宋体" w:eastAsia="宋体"/>
                <w:sz w:val="24"/>
              </w:rPr>
              <w:t>R</w:t>
            </w:r>
            <w:r>
              <w:rPr>
                <w:rFonts w:ascii="宋体" w:hAnsi="宋体" w:cs="宋体" w:eastAsia="宋体"/>
                <w:sz w:val="24"/>
                <w:vertAlign w:val="subscript"/>
              </w:rPr>
              <w:t>P</w:t>
            </w:r>
            <w:r>
              <w:rPr>
                <w:rFonts w:ascii="宋体" w:hAnsi="宋体" w:cs="宋体" w:eastAsia="宋体"/>
                <w:sz w:val="24"/>
              </w:rPr>
              <w:t xml:space="preserve"> ≤±10 % 。</w:t>
            </w:r>
          </w:p>
          <w:p>
            <w:pPr>
              <w:pStyle w:val="null3"/>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▲激光光束汇聚角：18°，</w:t>
            </w:r>
            <w:r>
              <w:rPr>
                <w:rFonts w:ascii="宋体" w:hAnsi="宋体" w:cs="宋体" w:eastAsia="宋体"/>
                <w:sz w:val="24"/>
              </w:rPr>
              <w:t>允许偏差</w:t>
            </w:r>
            <w:r>
              <w:rPr>
                <w:rFonts w:ascii="宋体" w:hAnsi="宋体" w:cs="宋体" w:eastAsia="宋体"/>
                <w:sz w:val="24"/>
              </w:rPr>
              <w:t>±20%。</w:t>
            </w:r>
          </w:p>
          <w:p>
            <w:pPr>
              <w:pStyle w:val="null3"/>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焦平面光斑直径：</w:t>
            </w:r>
            <w:r>
              <w:rPr>
                <w:rFonts w:ascii="宋体" w:hAnsi="宋体" w:cs="宋体" w:eastAsia="宋体"/>
                <w:sz w:val="24"/>
              </w:rPr>
              <w:t>30μm，允许偏差±20%。</w:t>
            </w:r>
          </w:p>
          <w:p>
            <w:pPr>
              <w:pStyle w:val="null3"/>
              <w:jc w:val="both"/>
            </w:pPr>
            <w:r>
              <w:rPr>
                <w:rFonts w:ascii="宋体" w:hAnsi="宋体" w:cs="宋体" w:eastAsia="宋体"/>
                <w:sz w:val="24"/>
              </w:rPr>
              <w:t>11</w:t>
            </w:r>
            <w:r>
              <w:rPr>
                <w:rFonts w:ascii="宋体" w:hAnsi="宋体" w:cs="宋体" w:eastAsia="宋体"/>
                <w:sz w:val="24"/>
              </w:rPr>
              <w:t>.</w:t>
            </w:r>
            <w:r>
              <w:rPr>
                <w:rFonts w:ascii="宋体" w:hAnsi="宋体" w:cs="宋体" w:eastAsia="宋体"/>
                <w:sz w:val="24"/>
              </w:rPr>
              <w:t>瞄</w:t>
            </w:r>
            <w:r>
              <w:rPr>
                <w:rFonts w:ascii="宋体" w:hAnsi="宋体" w:cs="宋体" w:eastAsia="宋体"/>
                <w:sz w:val="24"/>
              </w:rPr>
              <w:t>准激光波长：</w:t>
            </w:r>
            <w:r>
              <w:rPr>
                <w:rFonts w:ascii="宋体" w:hAnsi="宋体" w:cs="宋体" w:eastAsia="宋体"/>
                <w:sz w:val="24"/>
              </w:rPr>
              <w:t>630 nm～655 nm</w:t>
            </w:r>
          </w:p>
          <w:p>
            <w:pPr>
              <w:pStyle w:val="null3"/>
              <w:jc w:val="both"/>
            </w:pPr>
            <w:r>
              <w:rPr>
                <w:rFonts w:ascii="宋体" w:hAnsi="宋体" w:cs="宋体" w:eastAsia="宋体"/>
                <w:sz w:val="24"/>
              </w:rPr>
              <w:t>12</w:t>
            </w:r>
            <w:r>
              <w:rPr>
                <w:rFonts w:ascii="宋体" w:hAnsi="宋体" w:cs="宋体" w:eastAsia="宋体"/>
                <w:sz w:val="24"/>
              </w:rPr>
              <w:t>.</w:t>
            </w:r>
            <w:r>
              <w:rPr>
                <w:rFonts w:ascii="宋体" w:hAnsi="宋体" w:cs="宋体" w:eastAsia="宋体"/>
                <w:sz w:val="24"/>
              </w:rPr>
              <w:t>瞄准激光的输出功率</w:t>
            </w:r>
            <w:r>
              <w:rPr>
                <w:rFonts w:ascii="宋体" w:hAnsi="宋体" w:cs="宋体" w:eastAsia="宋体"/>
                <w:sz w:val="24"/>
              </w:rPr>
              <w:t>PC：≤0.4 mW</w:t>
            </w:r>
          </w:p>
          <w:p>
            <w:pPr>
              <w:pStyle w:val="null3"/>
              <w:jc w:val="both"/>
            </w:pPr>
            <w:r>
              <w:rPr>
                <w:rFonts w:ascii="宋体" w:hAnsi="宋体" w:cs="宋体" w:eastAsia="宋体"/>
                <w:sz w:val="24"/>
              </w:rPr>
              <w:t>13</w:t>
            </w:r>
            <w:r>
              <w:rPr>
                <w:rFonts w:ascii="宋体" w:hAnsi="宋体" w:cs="宋体" w:eastAsia="宋体"/>
                <w:sz w:val="24"/>
              </w:rPr>
              <w:t>.</w:t>
            </w:r>
            <w:r>
              <w:rPr>
                <w:rFonts w:ascii="宋体" w:hAnsi="宋体" w:cs="宋体" w:eastAsia="宋体"/>
                <w:sz w:val="24"/>
              </w:rPr>
              <w:t>▲配备专用囊膜镜、虹膜镜</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合同签订后30天，并完成安装、调试、培训、验收。</w:t>
      </w:r>
    </w:p>
    <w:p>
      <w:pPr>
        <w:pStyle w:val="null3"/>
        <w:outlineLvl w:val="3"/>
      </w:pPr>
      <w:r>
        <w:rPr>
          <w:sz w:val="24"/>
          <w:b/>
        </w:rPr>
        <w:t>3.4.2交货地点</w:t>
      </w:r>
    </w:p>
    <w:p>
      <w:pPr>
        <w:pStyle w:val="null3"/>
      </w:pPr>
      <w:r>
        <w:rPr/>
        <w:t>采购包1：</w:t>
      </w:r>
    </w:p>
    <w:p>
      <w:pPr>
        <w:pStyle w:val="null3"/>
      </w:pPr>
      <w:r>
        <w:rPr/>
        <w:t>西北大学第一医院指定地点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设备安装调试完毕并经招标人验收合格后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设备验收合格并正常运行一年后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设备验收合格并正常运行二年后</w:t>
      </w:r>
      <w:r>
        <w:rPr/>
        <w:t xml:space="preserve"> ，达到付款条件起 </w:t>
      </w:r>
      <w:r>
        <w:rPr/>
        <w:t>30</w:t>
      </w:r>
      <w:r>
        <w:rPr/>
        <w:t xml:space="preserve"> 日内，支付合同总金额的 </w:t>
      </w:r>
      <w:r>
        <w:rPr/>
        <w:t>30.00</w:t>
      </w:r>
      <w:r>
        <w:rPr/>
        <w:t>%。</w:t>
      </w:r>
    </w:p>
    <w:p>
      <w:pPr>
        <w:pStyle w:val="null3"/>
        <w:outlineLvl w:val="3"/>
      </w:pPr>
      <w:r>
        <w:rPr>
          <w:sz w:val="24"/>
          <w:b/>
        </w:rPr>
        <w:t>3.4.5验收标准和方法</w:t>
      </w:r>
    </w:p>
    <w:p>
      <w:pPr>
        <w:pStyle w:val="null3"/>
      </w:pPr>
      <w:r>
        <w:rPr/>
        <w:t>采购包1：</w:t>
      </w:r>
    </w:p>
    <w:p>
      <w:pPr>
        <w:pStyle w:val="null3"/>
      </w:pPr>
      <w:r>
        <w:rPr/>
        <w:t>（一）乙方提供的设备要求：自出厂日期当月起2年内的全新设备。 （二）货物到达招标人指定地点后，招标人根据合同要求，进行外观验收，确认规格、型号和数量。双方须在约定的时间和地点共同开箱检验。 （三）货物安装、调试并正常运行后，由中标单位进行自检，合格后能够正常使用时通知甲方。 （四）招标人确认中标单位的自检内容后，进行最终验收，验收合格后，填写验收单作为对货物的最终认可。 （五）中标单位向招标人提交货物实施过程中的所有资料，以便招标人日后管理和维护。 （六）若合同设备外箱包装受损、包装箱件数不符、设备有质量或技术问题，中标单位应按照招标人要求，采取补足、更换或退货处理措施，并承担由此发生的一切损失和费用。 （七）验收依据：合同正文、合同附件、招标文件、投标文件。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（一）自验收合格之日起，原厂质保至少2年。提供永久的技术咨询、服务和备品备件。 （二）质保期内若主要配件故障，更换后配件的质保期从更换之日起重新计算。 （三）质保期过后只收取配件费用，免服务费。 （四）中标单位对招标人购买的设备至少每半年进行一次免费维护保养，并提供维护保养记录。</w:t>
      </w:r>
    </w:p>
    <w:p>
      <w:pPr>
        <w:pStyle w:val="null3"/>
        <w:outlineLvl w:val="3"/>
      </w:pPr>
      <w:r>
        <w:rPr>
          <w:sz w:val="24"/>
          <w:b/>
        </w:rPr>
        <w:t>3.4.8违约责任与解决争议的方法</w:t>
      </w:r>
    </w:p>
    <w:p>
      <w:pPr>
        <w:pStyle w:val="null3"/>
      </w:pPr>
      <w:r>
        <w:rPr/>
        <w:t>采购包1：</w:t>
      </w:r>
    </w:p>
    <w:p>
      <w:pPr>
        <w:pStyle w:val="null3"/>
      </w:pPr>
      <w:r>
        <w:rPr/>
        <w:t>按照合同要求执行</w:t>
      </w:r>
    </w:p>
    <w:p>
      <w:pPr>
        <w:pStyle w:val="null3"/>
        <w:jc w:val="left"/>
        <w:outlineLvl w:val="2"/>
      </w:pPr>
      <w:r>
        <w:rPr>
          <w:sz w:val="28"/>
          <w:b/>
        </w:rPr>
        <w:t>3.5其他要求</w:t>
      </w:r>
    </w:p>
    <w:p>
      <w:pPr>
        <w:pStyle w:val="null3"/>
      </w:pPr>
      <w:r>
        <w:rPr/>
        <w:t>知识产权 ：招标人在中华人民共和国境内使用中标单位提供的货物时免受第三方提出的侵犯其专利权或其它知识产权的起诉。如果第三方提出侵权指控，投标人应承担由此而引起的一切法律责任和费用。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其他证明材料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其他证明材料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投标人为向招标人提供货物及配套服务的法人或其他组织</w:t>
            </w:r>
          </w:p>
        </w:tc>
        <w:tc>
          <w:tcPr>
            <w:tcW w:type="dxa" w:w="1661"/>
          </w:tcPr>
          <w:p>
            <w:pPr>
              <w:pStyle w:val="null3"/>
            </w:pPr>
            <w:r>
              <w:rPr/>
              <w:t>其他证明材料</w:t>
            </w:r>
          </w:p>
        </w:tc>
      </w:tr>
      <w:tr>
        <w:tc>
          <w:tcPr>
            <w:tcW w:type="dxa" w:w="831"/>
          </w:tcPr>
          <w:p>
            <w:pPr>
              <w:pStyle w:val="null3"/>
            </w:pPr>
            <w:r>
              <w:rPr/>
              <w:t>2</w:t>
            </w:r>
          </w:p>
        </w:tc>
        <w:tc>
          <w:tcPr>
            <w:tcW w:type="dxa" w:w="2492"/>
          </w:tcPr>
          <w:p>
            <w:pPr>
              <w:pStyle w:val="null3"/>
            </w:pPr>
            <w:r>
              <w:rPr/>
              <w:t>投标人资格要求</w:t>
            </w:r>
          </w:p>
        </w:tc>
        <w:tc>
          <w:tcPr>
            <w:tcW w:type="dxa" w:w="3322"/>
          </w:tcPr>
          <w:p>
            <w:pPr>
              <w:pStyle w:val="null3"/>
            </w:pPr>
            <w:r>
              <w:rPr/>
              <w:t>投标人为代理商的应出具医疗器械经营许可证（或医疗器械经营备案凭证）和生产厂商的医疗器械生产许可证（或医疗器械生产备案凭证）；投标人为生产厂商的应出具医疗器械生产许可证（或医疗器械生产备案凭证）</w:t>
            </w:r>
          </w:p>
        </w:tc>
        <w:tc>
          <w:tcPr>
            <w:tcW w:type="dxa" w:w="1661"/>
          </w:tcPr>
          <w:p>
            <w:pPr>
              <w:pStyle w:val="null3"/>
            </w:pPr>
            <w:r>
              <w:rPr/>
              <w:t>其他证明材料</w:t>
            </w:r>
          </w:p>
        </w:tc>
      </w:tr>
      <w:tr>
        <w:tc>
          <w:tcPr>
            <w:tcW w:type="dxa" w:w="831"/>
          </w:tcPr>
          <w:p>
            <w:pPr>
              <w:pStyle w:val="null3"/>
            </w:pPr>
            <w:r>
              <w:rPr/>
              <w:t>3</w:t>
            </w:r>
          </w:p>
        </w:tc>
        <w:tc>
          <w:tcPr>
            <w:tcW w:type="dxa" w:w="2492"/>
          </w:tcPr>
          <w:p>
            <w:pPr>
              <w:pStyle w:val="null3"/>
            </w:pPr>
            <w:r>
              <w:rPr/>
              <w:t>投标人资格要求</w:t>
            </w:r>
          </w:p>
        </w:tc>
        <w:tc>
          <w:tcPr>
            <w:tcW w:type="dxa" w:w="3322"/>
          </w:tcPr>
          <w:p>
            <w:pPr>
              <w:pStyle w:val="null3"/>
            </w:pPr>
            <w:r>
              <w:rPr/>
              <w:t>所投产品如属于医疗器械应出具医疗器械注册证或医疗器械备案凭证</w:t>
            </w:r>
          </w:p>
        </w:tc>
        <w:tc>
          <w:tcPr>
            <w:tcW w:type="dxa" w:w="1661"/>
          </w:tcPr>
          <w:p>
            <w:pPr>
              <w:pStyle w:val="null3"/>
            </w:pPr>
            <w:r>
              <w:rPr/>
              <w:t>其他证明材料</w:t>
            </w:r>
          </w:p>
        </w:tc>
      </w:tr>
      <w:tr>
        <w:tc>
          <w:tcPr>
            <w:tcW w:type="dxa" w:w="831"/>
          </w:tcPr>
          <w:p>
            <w:pPr>
              <w:pStyle w:val="null3"/>
            </w:pPr>
            <w:r>
              <w:rPr/>
              <w:t>4</w:t>
            </w:r>
          </w:p>
        </w:tc>
        <w:tc>
          <w:tcPr>
            <w:tcW w:type="dxa" w:w="2492"/>
          </w:tcPr>
          <w:p>
            <w:pPr>
              <w:pStyle w:val="null3"/>
            </w:pPr>
            <w:r>
              <w:rPr/>
              <w:t>投标人资格要求</w:t>
            </w:r>
          </w:p>
        </w:tc>
        <w:tc>
          <w:tcPr>
            <w:tcW w:type="dxa" w:w="3322"/>
          </w:tcPr>
          <w:p>
            <w:pPr>
              <w:pStyle w:val="null3"/>
            </w:pPr>
            <w:r>
              <w:rPr/>
              <w:t>所投产品如为进口产品的须提供“进”字号医疗器械注册证以及完整的授权链证明材料</w:t>
            </w:r>
          </w:p>
        </w:tc>
        <w:tc>
          <w:tcPr>
            <w:tcW w:type="dxa" w:w="1661"/>
          </w:tcPr>
          <w:p>
            <w:pPr>
              <w:pStyle w:val="null3"/>
            </w:pPr>
            <w:r>
              <w:rPr/>
              <w:t>其他证明材料</w:t>
            </w:r>
          </w:p>
        </w:tc>
      </w:tr>
      <w:tr>
        <w:tc>
          <w:tcPr>
            <w:tcW w:type="dxa" w:w="831"/>
          </w:tcPr>
          <w:p>
            <w:pPr>
              <w:pStyle w:val="null3"/>
            </w:pPr>
            <w:r>
              <w:rPr/>
              <w:t>5</w:t>
            </w:r>
          </w:p>
        </w:tc>
        <w:tc>
          <w:tcPr>
            <w:tcW w:type="dxa" w:w="2492"/>
          </w:tcPr>
          <w:p>
            <w:pPr>
              <w:pStyle w:val="null3"/>
            </w:pPr>
            <w:r>
              <w:rPr/>
              <w:t>投标人资格要求</w:t>
            </w:r>
          </w:p>
        </w:tc>
        <w:tc>
          <w:tcPr>
            <w:tcW w:type="dxa" w:w="3322"/>
          </w:tcPr>
          <w:p>
            <w:pPr>
              <w:pStyle w:val="null3"/>
            </w:pPr>
            <w:r>
              <w:rPr/>
              <w:t>本项目招标文件中允许提供的进口产品已做进口论证，接受进口产品的投标。本项目未做进口论证的产品，投标人所投的任何进口产品均不被接受</w:t>
            </w:r>
          </w:p>
        </w:tc>
        <w:tc>
          <w:tcPr>
            <w:tcW w:type="dxa" w:w="1661"/>
          </w:tcPr>
          <w:p>
            <w:pPr>
              <w:pStyle w:val="null3"/>
            </w:pPr>
            <w:r>
              <w:rPr/>
              <w:t>其他证明材料</w:t>
            </w:r>
          </w:p>
        </w:tc>
      </w:tr>
      <w:tr>
        <w:tc>
          <w:tcPr>
            <w:tcW w:type="dxa" w:w="831"/>
          </w:tcPr>
          <w:p>
            <w:pPr>
              <w:pStyle w:val="null3"/>
            </w:pPr>
            <w:r>
              <w:rPr/>
              <w:t>6</w:t>
            </w:r>
          </w:p>
        </w:tc>
        <w:tc>
          <w:tcPr>
            <w:tcW w:type="dxa" w:w="2492"/>
          </w:tcPr>
          <w:p>
            <w:pPr>
              <w:pStyle w:val="null3"/>
            </w:pPr>
            <w:r>
              <w:rPr/>
              <w:t>信用信息</w:t>
            </w:r>
          </w:p>
        </w:tc>
        <w:tc>
          <w:tcPr>
            <w:tcW w:type="dxa" w:w="3322"/>
          </w:tcPr>
          <w:p>
            <w:pPr>
              <w:pStyle w:val="null3"/>
            </w:pPr>
            <w:r>
              <w:rPr/>
              <w:t>投标人信用要求：截止至投标文件递交截止时间之前，投标人未在“信用中国”网站中被列入“信用服务”查询栏目中严重失信主体名单以及重点领域严重失信主体名单</w:t>
            </w:r>
          </w:p>
        </w:tc>
        <w:tc>
          <w:tcPr>
            <w:tcW w:type="dxa" w:w="1661"/>
          </w:tcPr>
          <w:p>
            <w:pPr>
              <w:pStyle w:val="null3"/>
            </w:pPr>
            <w:r>
              <w:rPr/>
              <w:t>其他证明材料</w:t>
            </w:r>
          </w:p>
        </w:tc>
      </w:tr>
      <w:tr>
        <w:tc>
          <w:tcPr>
            <w:tcW w:type="dxa" w:w="831"/>
          </w:tcPr>
          <w:p>
            <w:pPr>
              <w:pStyle w:val="null3"/>
            </w:pPr>
            <w:r>
              <w:rPr/>
              <w:t>7</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其他证明材料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投标文件应按招标文件要求电子签章的</w:t>
            </w:r>
          </w:p>
        </w:tc>
        <w:tc>
          <w:tcPr>
            <w:tcW w:type="dxa" w:w="3322"/>
          </w:tcPr>
          <w:p>
            <w:pPr>
              <w:pStyle w:val="null3"/>
            </w:pPr>
            <w:r>
              <w:rPr/>
              <w:t>投标人应按招标文件要求对投标文件进行电子签章</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招标文件中规定的最高限价</w:t>
            </w:r>
          </w:p>
        </w:tc>
        <w:tc>
          <w:tcPr>
            <w:tcW w:type="dxa" w:w="3322"/>
          </w:tcPr>
          <w:p>
            <w:pPr>
              <w:pStyle w:val="null3"/>
            </w:pPr>
            <w:r>
              <w:rPr/>
              <w:t>投标报价不得超过招标文件中规定的最高限价。</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产品技术指标评审</w:t>
            </w:r>
          </w:p>
        </w:tc>
        <w:tc>
          <w:tcPr>
            <w:tcW w:type="dxa" w:w="2492"/>
          </w:tcPr>
          <w:p>
            <w:pPr>
              <w:pStyle w:val="null3"/>
            </w:pPr>
            <w:r>
              <w:rPr/>
              <w:t>根据产品技术和性能响应情况打分，完全满足采购技术要求的，得20分；标记为“▲”为重要技术条款，“▲”技术指标每负偏离一项扣1分，非“▲”技术指标每负偏离一项扣0.5分，扣完为止。（包含但不限于投标人出具的产品技术说明书或产品彩页、使用说明书、第三方出具的检验报告或证明等技术指标和参数证明或支持文件为准，投标人应在投标文件中给出明确的证明材料索引。）</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采购方案（二）</w:t>
            </w:r>
          </w:p>
        </w:tc>
      </w:tr>
      <w:tr>
        <w:tc>
          <w:tcPr>
            <w:tcW w:type="dxa" w:w="831"/>
            <w:vMerge/>
          </w:tcPr>
          <w:p/>
        </w:tc>
        <w:tc>
          <w:tcPr>
            <w:tcW w:type="dxa" w:w="1661"/>
          </w:tcPr>
          <w:p>
            <w:pPr>
              <w:pStyle w:val="null3"/>
            </w:pPr>
            <w:r>
              <w:rPr/>
              <w:t>实施方案</w:t>
            </w:r>
          </w:p>
        </w:tc>
        <w:tc>
          <w:tcPr>
            <w:tcW w:type="dxa" w:w="2492"/>
          </w:tcPr>
          <w:p>
            <w:pPr>
              <w:pStyle w:val="null3"/>
            </w:pPr>
            <w:r>
              <w:rPr/>
              <w:t>根据投标人针对本项目提供的供货、安装调试、验收组织、人员配备等方面制订具体的实施方案，做出合理计划及制订工作保障措施，进行评审：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采购方案（二）</w:t>
            </w:r>
          </w:p>
        </w:tc>
      </w:tr>
      <w:tr>
        <w:tc>
          <w:tcPr>
            <w:tcW w:type="dxa" w:w="831"/>
            <w:vMerge/>
          </w:tcPr>
          <w:p/>
        </w:tc>
        <w:tc>
          <w:tcPr>
            <w:tcW w:type="dxa" w:w="1661"/>
          </w:tcPr>
          <w:p>
            <w:pPr>
              <w:pStyle w:val="null3"/>
            </w:pPr>
            <w:r>
              <w:rPr/>
              <w:t>产品选型、功能配置等</w:t>
            </w:r>
          </w:p>
        </w:tc>
        <w:tc>
          <w:tcPr>
            <w:tcW w:type="dxa" w:w="2492"/>
          </w:tcPr>
          <w:p>
            <w:pPr>
              <w:pStyle w:val="null3"/>
            </w:pPr>
            <w:r>
              <w:rPr/>
              <w:t>所投产品选型合理、配置齐全，整体功能完备且满足使用要求、提供了响应产品技术支持文件（提供生产厂家确认的、相应的功能证明材料），有“详细的生产厂家及产地配置清单”，根据响应情况得3.1-5分；所投产品选型较为合理，配置较齐全，整体功能基本满足使用要求、提供了响应产品技术支持文件（提供生产厂家确认的、相应的功能证明材料），有“详细的生产厂家及产地配置清单”，根据响应情况得1.1-3分；选型配置差，产品功能较难满足招标文件要求得0.1-1分。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采购方案（二）</w:t>
            </w:r>
          </w:p>
        </w:tc>
      </w:tr>
      <w:tr>
        <w:tc>
          <w:tcPr>
            <w:tcW w:type="dxa" w:w="831"/>
            <w:vMerge/>
          </w:tcPr>
          <w:p/>
        </w:tc>
        <w:tc>
          <w:tcPr>
            <w:tcW w:type="dxa" w:w="1661"/>
          </w:tcPr>
          <w:p>
            <w:pPr>
              <w:pStyle w:val="null3"/>
            </w:pPr>
            <w:r>
              <w:rPr/>
              <w:t>履约能力</w:t>
            </w:r>
          </w:p>
        </w:tc>
        <w:tc>
          <w:tcPr>
            <w:tcW w:type="dxa" w:w="2492"/>
          </w:tcPr>
          <w:p>
            <w:pPr>
              <w:pStyle w:val="null3"/>
            </w:pPr>
            <w:r>
              <w:rPr/>
              <w:t>1.投标人提供能够证明其产品的来源、渠道合法有效的证明材料，进行评审： 证明材料完整详尽、安全可行，完全满足项目要求的得3.1-5分； 证明材料不完整，基本能满足项目要求的得1.1-3分； 证明材料有较多欠缺的得0.1-1分； 未提供相关证明材料的得0分。 2.项目实施安排合理，投标人针对本次采购任务有具体的供货组织安排，详细的交货方案、财力调配、运输、与采购人的配合度等方案说明。专家根据资料提供情况，进行评审： 交货方案科学合理、安全可行，完全满足项目要求的得3.1-5分； 交货方案有一定的可行性，基本能满足项目要求的得1.1-3分； 交货方案有较多欠缺的得0-1分； 未提供的得0分。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采购方案（二）</w:t>
            </w:r>
          </w:p>
        </w:tc>
      </w:tr>
      <w:tr>
        <w:tc>
          <w:tcPr>
            <w:tcW w:type="dxa" w:w="831"/>
            <w:vMerge/>
          </w:tcPr>
          <w:p/>
        </w:tc>
        <w:tc>
          <w:tcPr>
            <w:tcW w:type="dxa" w:w="1661"/>
          </w:tcPr>
          <w:p>
            <w:pPr>
              <w:pStyle w:val="null3"/>
            </w:pPr>
            <w:r>
              <w:rPr/>
              <w:t>安装、调试和履约验收方案</w:t>
            </w:r>
          </w:p>
        </w:tc>
        <w:tc>
          <w:tcPr>
            <w:tcW w:type="dxa" w:w="2492"/>
          </w:tcPr>
          <w:p>
            <w:pPr>
              <w:pStyle w:val="null3"/>
            </w:pPr>
            <w:r>
              <w:rPr/>
              <w:t>投标人提供的安装、履约验收方案进行评审。 安装、履约验收方案科学可行，完全满足项目要求的得3.1-5分； 安装、履约验收方案有一定的可行性，基本能满足项目要求的得1.1-3分； 安装、履约验收方案有较多欠缺的得0.1-1分；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采购方案（二）</w:t>
            </w:r>
          </w:p>
        </w:tc>
      </w:tr>
      <w:tr>
        <w:tc>
          <w:tcPr>
            <w:tcW w:type="dxa" w:w="831"/>
            <w:vMerge/>
          </w:tcPr>
          <w:p/>
        </w:tc>
        <w:tc>
          <w:tcPr>
            <w:tcW w:type="dxa" w:w="1661"/>
          </w:tcPr>
          <w:p>
            <w:pPr>
              <w:pStyle w:val="null3"/>
            </w:pPr>
            <w:r>
              <w:rPr/>
              <w:t>售后服务及培训</w:t>
            </w:r>
          </w:p>
        </w:tc>
        <w:tc>
          <w:tcPr>
            <w:tcW w:type="dxa" w:w="2492"/>
          </w:tcPr>
          <w:p>
            <w:pPr>
              <w:pStyle w:val="null3"/>
            </w:pPr>
            <w:r>
              <w:rPr/>
              <w:t>1.具有完善的售后服务保障体系，本地化服务能力, 人员配置、以及备品、备件供应计划，设备（产品）发生故障后的补救措施等方面，具有明确的承诺且符合实际需求。提供售后方案的同时，须提供相关的佐证材料，如与生产厂商签订的质保合同或原厂质保承诺书等进行评审： 售后方案内容完整详细，完全满足本项目使用需求得3.1-5分； 售后方案内容基本满足本项目使用需求得1.1-3分； 售后方案内容部分满足本项目使用需求得0.1-1分； 未提供的得0分。 2.免费为使用单位培训操作维护人员，制定完善的技术培训方案和措施（包括培训计划、时间、地点、培训人数等），培训内容有层次，培训方式合理，能保证使用单位熟练操作、维护和正常使用等，根据方案和措施的完整性、合理性、先进性等进行评审： 有详细的人员安排及执行计划方案，培训时长、方式等科学合理有保障、针对性强得3.1-5分； 有较为详细流程方案，培训时长、方式较为合理，有一定的针对性及可行性，能够满足培训需求的得1.1-3分； 培训方案简略，培训计划及流程有较多欠缺的得0.1-1分； 未提供方案的得0分。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采购方案（二）</w:t>
            </w:r>
          </w:p>
        </w:tc>
      </w:tr>
      <w:tr>
        <w:tc>
          <w:tcPr>
            <w:tcW w:type="dxa" w:w="831"/>
            <w:vMerge/>
          </w:tcPr>
          <w:p/>
        </w:tc>
        <w:tc>
          <w:tcPr>
            <w:tcW w:type="dxa" w:w="1661"/>
          </w:tcPr>
          <w:p>
            <w:pPr>
              <w:pStyle w:val="null3"/>
            </w:pPr>
            <w:r>
              <w:rPr/>
              <w:t>业绩</w:t>
            </w:r>
          </w:p>
        </w:tc>
        <w:tc>
          <w:tcPr>
            <w:tcW w:type="dxa" w:w="2492"/>
          </w:tcPr>
          <w:p>
            <w:pPr>
              <w:pStyle w:val="null3"/>
            </w:pPr>
            <w:r>
              <w:rPr/>
              <w:t>提供所投同类产品2021年6月1日至今同类项目的业绩合同，每提供一项有效合同的得3分，投标人需提供合同的复印件或扫描件加盖公章，未提供的或无效合同均不得分，满分15分。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采购方案（二）</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 （注：满足招标文件要求且投标价格最低的投标报价为评标基准价。）最低报价不是中标的唯一依据。因落实政府采购政策进行价格调整的，以调整后的价格计算评标基准价和投标报价。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详见附件：采购方案（二）</w:t>
      </w:r>
    </w:p>
    <w:p>
      <w:pPr>
        <w:pStyle w:val="null3"/>
        <w:ind w:firstLine="960"/>
      </w:pPr>
      <w:r>
        <w:rPr/>
        <w:t>详见附件：其他证明材料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