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版本号：240617001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（服务类）</w:t>
      </w:r>
      <w:r>
        <w:br/>
      </w:r>
      <w:r>
        <w:br/>
      </w:r>
      <w:r>
        <w:br/>
      </w:r>
      <w:r>
        <w:br/>
      </w:r>
      <w:r>
        <w:br/>
      </w:r>
      <w:r>
        <w:br/>
      </w:r>
      <w:r>
        <w:br/>
      </w:r>
      <w:r>
        <w:br/>
      </w:r>
      <w:r>
        <w:br/>
      </w:r>
      <w:r>
        <w:br/>
      </w:r>
      <w:r>
        <w:br/>
      </w:r>
    </w:p>
    <w:p>
      <w:pPr>
        <w:pStyle w:val="null3"/>
        <w:jc w:val="center"/>
        <w:outlineLvl w:val="2"/>
      </w:pPr>
      <w:r>
        <w:rPr>
          <w:sz w:val="28"/>
          <w:b/>
        </w:rPr>
        <w:t>采购项目名称：</w:t>
      </w:r>
      <w:r>
        <w:rPr>
          <w:sz w:val="28"/>
          <w:b/>
        </w:rPr>
        <w:t>云上应用与信息服务平台维护(二次)</w:t>
      </w:r>
    </w:p>
    <w:p>
      <w:pPr>
        <w:pStyle w:val="null3"/>
        <w:jc w:val="center"/>
        <w:outlineLvl w:val="2"/>
      </w:pPr>
      <w:r>
        <w:rPr>
          <w:sz w:val="28"/>
          <w:b/>
        </w:rPr>
        <w:t>采购项目编号：</w:t>
      </w:r>
      <w:r>
        <w:rPr>
          <w:sz w:val="28"/>
          <w:b/>
        </w:rPr>
        <w:t>中赞招字（2024）第30号.1B1</w:t>
      </w:r>
      <w:r>
        <w:br/>
      </w:r>
      <w:r>
        <w:br/>
      </w:r>
      <w:r>
        <w:br/>
      </w:r>
    </w:p>
    <w:p>
      <w:pPr>
        <w:pStyle w:val="null3"/>
        <w:jc w:val="center"/>
        <w:outlineLvl w:val="2"/>
      </w:pPr>
      <w:r>
        <w:rPr>
          <w:sz w:val="28"/>
          <w:b/>
        </w:rPr>
        <w:t>陕西省高速公路收费中心</w:t>
      </w:r>
    </w:p>
    <w:p>
      <w:pPr>
        <w:pStyle w:val="null3"/>
        <w:jc w:val="center"/>
        <w:outlineLvl w:val="2"/>
      </w:pPr>
      <w:r>
        <w:rPr>
          <w:sz w:val="28"/>
          <w:b/>
        </w:rPr>
        <w:t>中赞国际项目管理有限公司</w:t>
      </w:r>
      <w:r>
        <w:rPr>
          <w:sz w:val="28"/>
          <w:b/>
        </w:rPr>
        <w:t>共同编制</w:t>
      </w:r>
    </w:p>
    <w:p>
      <w:pPr>
        <w:pStyle w:val="null3"/>
        <w:jc w:val="center"/>
        <w:outlineLvl w:val="2"/>
      </w:pPr>
      <w:r>
        <w:rPr>
          <w:sz w:val="28"/>
          <w:b/>
        </w:rPr>
        <w:t>2024年06月02日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中赞国际项目管理有限公司</w:t>
      </w:r>
      <w:r>
        <w:rPr/>
        <w:t>（以下简称“代理机构”）受</w:t>
      </w:r>
      <w:r>
        <w:rPr/>
        <w:t>陕西省高速公路收费中心</w:t>
      </w:r>
      <w:r>
        <w:rPr/>
        <w:t>委托，拟对</w:t>
      </w:r>
      <w:r>
        <w:rPr/>
        <w:t>云上应用与信息服务平台维护(二次)</w:t>
      </w:r>
      <w:r>
        <w:rPr/>
        <w:t>采用竞争性磋商采购方式进行采购，兹邀请供应商参加本项目的竞争性磋商。</w:t>
      </w:r>
    </w:p>
    <w:p>
      <w:pPr>
        <w:pStyle w:val="null3"/>
        <w:outlineLvl w:val="2"/>
      </w:pPr>
      <w:r>
        <w:rPr>
          <w:sz w:val="28"/>
          <w:b/>
        </w:rPr>
        <w:t>一、项目编号：</w:t>
      </w:r>
      <w:r>
        <w:rPr>
          <w:sz w:val="28"/>
          <w:b/>
        </w:rPr>
        <w:t>中赞招字（2024）第30号.1B1</w:t>
      </w:r>
    </w:p>
    <w:p>
      <w:pPr>
        <w:pStyle w:val="null3"/>
        <w:outlineLvl w:val="2"/>
      </w:pPr>
      <w:r>
        <w:rPr>
          <w:sz w:val="28"/>
          <w:b/>
        </w:rPr>
        <w:t>二、项目名称：</w:t>
      </w:r>
      <w:r>
        <w:rPr>
          <w:sz w:val="28"/>
          <w:b/>
        </w:rPr>
        <w:t>云上应用与信息服务平台维护(二次)</w:t>
      </w:r>
    </w:p>
    <w:p>
      <w:pPr>
        <w:pStyle w:val="null3"/>
        <w:outlineLvl w:val="2"/>
      </w:pPr>
      <w:r>
        <w:rPr>
          <w:sz w:val="28"/>
          <w:b/>
        </w:rPr>
        <w:t>三、磋商项目简介</w:t>
      </w:r>
    </w:p>
    <w:p>
      <w:pPr>
        <w:pStyle w:val="null3"/>
        <w:ind w:firstLine="480"/>
      </w:pPr>
      <w:r>
        <w:rPr/>
        <w:t>云上应用与信息服务平台维护项目预算为109万元，由省级视频云联网监测系统维护升级费用（预算：38万元）、基于ETC门架的交通情况调查应用系统（预算：5万元）、高速公路超速筛查处理系统（预算：22万元）、交通情况调查应用系统（预算：27.5万元）、互联网+高速公路公众出行服务平台（预算：16.5万元）五部分内容组成。 （1）省级视频云联网监测系统：系统部署在云端,主要对接路段视频上云网关，汇集全省视频图像，发布流媒体服务，并将上云数据进行展示以及运行监测，解决全省高速公路视频资源的汇聚接入与分发，完成与部级视频联网云平台对接，实现视频联网共享和控制信令交互。实现人工智能分析，为业务应用提供人工智能分析结果。系统采用B/S架构，采用云数据库，提供主备架构，图像数据使用云对象存储，采用云安全产品，包含防火墙、堡垒机、日志审计、漏洞扫描等，为系统提供多维度安全防护服务。 （2）基于ETC门架的交通情况调查应用系统：基于ETC门架的交通情况调查应用系统包含数据完整性检验、指标计算、数据转化和推送三方面功能。将ETC门架数据应用至交调系统，不仅使交通量调查数据更加精准，并且节约了交调站的建设和维护成本。系统架构为B/S，无外网访问没有域名。部署在陕西省未央区高速公路收费中心 421 机房内，系统网络架构采用 MPLS 技术并依托于陕西省高速公路行业专网而搭建的专用网络。承载的数据类型为交通数据，数据的采集方式为线下程序生成，系统数据量为289GB，系统数据月增量为10GB，数据存储方式为集中存储，对用户密码等信息采用了MD5加密存储，数据备份的方式为每周三全量备份到存储服务器上，数据不销毁永久留存，通过堡垒机对系统安全进行保护。软件环境：操作系统为Windows Server 2012，使用tomcat9，jdk8，MySQL5.7,oracle11g。 （3）高速公路超速筛查处理系统：系统架构为B/S，无外网访问没有域名。部署在陕西省未央区高速公路收费中心 421 机房内，系统网络架构采用 MPLS 技术并依托于陕西省高速公路行业专网而搭建的专用网络。承载的数据类型为交通数据，数据的采集方式为线下程序生成，系统数据量为144GB，系统数据月增量为10GB，数据存储方式为集中存储，对用户密码等信息采用了MD5加密存储，数据备份的方式为每周三全量备份到存储服务器上，数据不销毁永久留存，图片留存两天的，通过堡垒机对系统安全进行保护。软件环境：操作系统为Windows Server 2012使用tomcat9，jdk8，MySQL5.7,oracle11g。 （4）交通情况调查应用系统：系统部署在陕西省未央区高速公路收费中心421机房内，用于实现陕西高速公路交通调查数据信息自动化采集和展示，为宏观政策制定、经济运行分析、公路规划建设与养护、路网运行评价与管理、交通应急处置、公众出行提供有力支撑。 （5）互联网+高速公路公众出行服务平台：平台主要包括陕西高速APP、微信陕西12122小程 序、陕西公众出行管理后台三部分，为公众提供路况信息、高速救援、高速简图、车友爆料等服务。系统部署在阿里云上，采用云数据库mysql、云应用服务器centos，基于CS+BS+LNMP架构，服务器每天自动快照，保留7日快照，系统更新或软件部署更新有问题时可及时回滚。系统数据主要包括系统信息和用户信息，当前存储于阿里云服务的RDS数据库，总量为11GB，月增量为0.1GB，数据采用全量隔天自动备份与日志实时自动备份，数据保留60天。网络安全防护使用服务器自带的云安全防火墙。其中陕西高速APP、微信陕西12122小程序主要是面向公众提供服务；陕西公众出行管理后台是App和小程序的总后台，对App和小程序展示的信息进行后台管理。</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采购包1（云上应用与信息服务平台维护）：属于专门面向中小企业采购。</w:t>
      </w:r>
    </w:p>
    <w:p>
      <w:pPr>
        <w:pStyle w:val="null3"/>
        <w:ind w:firstLine="480"/>
      </w:pPr>
      <w:r>
        <w:rPr/>
        <w:t>（三）本项目的特定资格要求：</w:t>
      </w:r>
    </w:p>
    <w:p>
      <w:pPr>
        <w:pStyle w:val="null3"/>
      </w:pPr>
      <w:r>
        <w:rPr/>
        <w:t>采购包1：</w:t>
      </w:r>
    </w:p>
    <w:p>
      <w:pPr>
        <w:pStyle w:val="null3"/>
      </w:pPr>
      <w:r>
        <w:rPr/>
        <w:t>1、信用记录：供应商不得在“信用中国” 网站被列入失信被执行人名单、重大税收违法案件当事人名单和不得在“中国政府采购网”被列入政府采购严重违法失信行为记录名单。</w:t>
      </w:r>
    </w:p>
    <w:p>
      <w:pPr>
        <w:pStyle w:val="null3"/>
      </w:pPr>
      <w:r>
        <w:rPr/>
        <w:t>2、法定代表人委托授权书\身份证明：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p>
      <w:pPr>
        <w:pStyle w:val="null3"/>
      </w:pPr>
      <w:r>
        <w:rPr/>
        <w:t>3、有效的主体资格证明：提供合格有效的法人或者其他组织的营业执照等证明文件或自然人的身份证明。</w:t>
      </w:r>
    </w:p>
    <w:p>
      <w:pPr>
        <w:pStyle w:val="null3"/>
      </w:pPr>
      <w:r>
        <w:rPr/>
        <w:t>4、财务状况报告：（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p>
      <w:pPr>
        <w:pStyle w:val="null3"/>
      </w:pPr>
      <w:r>
        <w:rPr/>
        <w:t>5、税收缴纳证明：提供递交响应文件截止日期前十二个月（递交响应文件截止时间当月不计入）内已缴存的至少一个月的纳税证明或完税证明，依法免税的单位应提供相关证明材料。</w:t>
      </w:r>
    </w:p>
    <w:p>
      <w:pPr>
        <w:pStyle w:val="null3"/>
      </w:pPr>
      <w:r>
        <w:rPr/>
        <w:t>6、社会保障资金缴纳证明：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p>
      <w:pPr>
        <w:pStyle w:val="null3"/>
      </w:pPr>
      <w:r>
        <w:rPr/>
        <w:t>7、无重大违法记录声明：近3年内在经营活动中没有重大违法记录的书面声明。</w:t>
      </w:r>
    </w:p>
    <w:p>
      <w:pPr>
        <w:pStyle w:val="null3"/>
      </w:pPr>
      <w:r>
        <w:rPr/>
        <w:t>8、具有履行合同所必需的设备和专业技术能力：提交履行合同所必需的设备和专业技术能力的书面声明。</w:t>
      </w:r>
    </w:p>
    <w:p>
      <w:pPr>
        <w:pStyle w:val="null3"/>
      </w:pPr>
      <w:r>
        <w:rPr/>
        <w:t>9、本项目不接受联合体响应：非联合体投标承诺书。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t xml:space="preserve"> 注：获取的磋商文件主体格式包括pdf、word两种格式版本，其中以pdf格式为准。</w:t>
      </w:r>
    </w:p>
    <w:p>
      <w:pPr>
        <w:pStyle w:val="null3"/>
        <w:outlineLvl w:val="2"/>
      </w:pPr>
      <w:r>
        <w:rPr>
          <w:sz w:val="28"/>
          <w:b/>
        </w:rPr>
        <w:t>八、首次响应文件提交截止时间及开启时间、地点、方式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陕西省高速公路收费中心</w:t>
      </w:r>
    </w:p>
    <w:p>
      <w:pPr>
        <w:pStyle w:val="null3"/>
      </w:pPr>
      <w:r>
        <w:rPr/>
        <w:t xml:space="preserve"> 地址： </w:t>
      </w:r>
      <w:r>
        <w:rPr/>
        <w:t>西安市未央区未央路208号</w:t>
      </w:r>
    </w:p>
    <w:p>
      <w:pPr>
        <w:pStyle w:val="null3"/>
      </w:pPr>
      <w:r>
        <w:rPr/>
        <w:t xml:space="preserve"> 邮编： </w:t>
      </w:r>
      <w:r>
        <w:rPr/>
        <w:t>710000</w:t>
      </w:r>
    </w:p>
    <w:p>
      <w:pPr>
        <w:pStyle w:val="null3"/>
      </w:pPr>
      <w:r>
        <w:rPr/>
        <w:t xml:space="preserve"> 联系人： </w:t>
      </w:r>
      <w:r>
        <w:rPr/>
        <w:t>陕西省高速公路收费中心办公室</w:t>
      </w:r>
    </w:p>
    <w:p>
      <w:pPr>
        <w:pStyle w:val="null3"/>
      </w:pPr>
      <w:r>
        <w:rPr/>
        <w:t xml:space="preserve"> 联系电话： </w:t>
      </w:r>
      <w:r>
        <w:rPr/>
        <w:t>029-86531101</w:t>
      </w:r>
    </w:p>
    <w:p>
      <w:pPr>
        <w:pStyle w:val="null3"/>
        <w:outlineLvl w:val="3"/>
      </w:pPr>
      <w:r>
        <w:rPr>
          <w:sz w:val="24"/>
          <w:b/>
        </w:rPr>
        <w:t>代理机构：</w:t>
      </w:r>
      <w:r>
        <w:rPr>
          <w:sz w:val="24"/>
          <w:b/>
        </w:rPr>
        <w:t>中赞国际项目管理有限公司</w:t>
      </w:r>
    </w:p>
    <w:p>
      <w:pPr>
        <w:pStyle w:val="null3"/>
      </w:pPr>
      <w:r>
        <w:rPr/>
        <w:t xml:space="preserve"> 地址： </w:t>
      </w:r>
      <w:r>
        <w:rPr/>
        <w:t>陕西省西安市未央区陕西省西安市未央区未央路老三届首座大厦2号1幢12220室</w:t>
      </w:r>
    </w:p>
    <w:p>
      <w:pPr>
        <w:pStyle w:val="null3"/>
      </w:pPr>
      <w:r>
        <w:rPr/>
        <w:t xml:space="preserve"> 邮编： </w:t>
      </w:r>
      <w:r>
        <w:rPr/>
        <w:t>710000</w:t>
      </w:r>
    </w:p>
    <w:p>
      <w:pPr>
        <w:pStyle w:val="null3"/>
      </w:pPr>
      <w:r>
        <w:rPr/>
        <w:t xml:space="preserve"> 联系人： </w:t>
      </w:r>
      <w:r>
        <w:rPr/>
        <w:t>张琪</w:t>
      </w:r>
    </w:p>
    <w:p>
      <w:pPr>
        <w:pStyle w:val="null3"/>
      </w:pPr>
      <w:r>
        <w:rPr/>
        <w:t xml:space="preserve"> 联系电话： </w:t>
      </w:r>
      <w:r>
        <w:rPr/>
        <w:t>029-81629798</w:t>
      </w:r>
    </w:p>
    <w:p>
      <w:pPr>
        <w:pStyle w:val="null3"/>
        <w:outlineLvl w:val="3"/>
      </w:pPr>
      <w:r>
        <w:rPr>
          <w:sz w:val="24"/>
          <w:b/>
        </w:rPr>
        <w:t>采购监督机构：</w:t>
      </w:r>
      <w:r>
        <w:rPr>
          <w:sz w:val="24"/>
          <w:b/>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采购包1：1,090,000.00元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 xml:space="preserve"> 2.本项目采购的</w:t>
            </w:r>
            <w:r>
              <w:rPr/>
              <w:t>无</w:t>
            </w:r>
            <w:r>
              <w:rPr/>
              <w:t>产品属于节能产品政府采购品目清单中应强制采购的产品范围，供应商应当提供国家确定的认证机构出具的、处于有效期之内的节能产品认证证书，否则作无效响应处理。</w:t>
            </w:r>
          </w:p>
          <w:p>
            <w:pPr>
              <w:pStyle w:val="null3"/>
            </w:pPr>
            <w:r>
              <w:rPr/>
              <w:t xml:space="preserve"> 3.本项目采购的</w:t>
            </w:r>
            <w:r>
              <w:rPr/>
              <w:t>无</w:t>
            </w:r>
            <w:r>
              <w:rPr/>
              <w:t>产品属于节能产品政府采购品目清单中应优先采购的产品范围，本项目采购的</w:t>
            </w:r>
            <w:r>
              <w:rPr/>
              <w:t>无</w:t>
            </w:r>
            <w:r>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w:t>
            </w:r>
          </w:p>
          <w:p>
            <w:pPr>
              <w:pStyle w:val="null3"/>
            </w:pPr>
            <w:r>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t>核心产品清单详见第三章。</w:t>
            </w:r>
          </w:p>
          <w:p>
            <w:pPr>
              <w:pStyle w:val="null3"/>
            </w:pPr>
            <w:r>
              <w:rPr/>
              <w:t>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采购包1保证金金额：20,000.00元</w:t>
            </w:r>
          </w:p>
          <w:p>
            <w:pPr>
              <w:pStyle w:val="null3"/>
            </w:pPr>
            <w:r>
              <w:rPr/>
              <w:t>缴交渠道：转账、支票、汇票等（需通过实体账户、户名及开户行信息）</w:t>
            </w:r>
          </w:p>
          <w:p>
            <w:pPr>
              <w:pStyle w:val="null3"/>
            </w:pPr>
            <w:r>
              <w:rPr/>
              <w:t>开户名称：中赞国际项目管理有限公司</w:t>
            </w:r>
          </w:p>
          <w:p>
            <w:pPr>
              <w:pStyle w:val="null3"/>
            </w:pPr>
            <w:r>
              <w:rPr/>
              <w:t>开户银行：招商银行股份有限公司西安未央路支行</w:t>
            </w:r>
          </w:p>
          <w:p>
            <w:pPr>
              <w:pStyle w:val="null3"/>
            </w:pPr>
            <w:r>
              <w:rPr/>
              <w:t>银行账号：129912141810202</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响应有效期（实质性要求）</w:t>
            </w:r>
          </w:p>
        </w:tc>
        <w:tc>
          <w:tcPr>
            <w:tcW w:type="dxa" w:w="5004"/>
          </w:tcPr>
          <w:p>
            <w:pPr>
              <w:pStyle w:val="null3"/>
            </w:pPr>
            <w:r>
              <w:rPr/>
              <w:t>提交首次响应文件的截止之日起不少于</w:t>
            </w:r>
            <w:r>
              <w:rPr/>
              <w:t>90</w:t>
            </w:r>
            <w:r>
              <w:rPr/>
              <w:t>天。</w:t>
            </w:r>
          </w:p>
        </w:tc>
      </w:tr>
      <w:tr>
        <w:tc>
          <w:tcPr>
            <w:tcW w:type="dxa" w:w="1051"/>
          </w:tcPr>
          <w:p>
            <w:pPr>
              <w:pStyle w:val="null3"/>
            </w:pPr>
            <w:r>
              <w:rPr/>
              <w:t>13</w:t>
            </w:r>
          </w:p>
        </w:tc>
        <w:tc>
          <w:tcPr>
            <w:tcW w:type="dxa" w:w="2252"/>
          </w:tcPr>
          <w:p>
            <w:pPr>
              <w:pStyle w:val="null3"/>
            </w:pPr>
            <w:r>
              <w:rPr/>
              <w:t>招标代理服务费（实质性要求）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成交供应商按照国家计委关于印发《招标代理服务收费管理暂行办法》的通知（计价格〔2002〕1980号）、《国家发展和改革委员会办公厅关于招标代理服务收费有关问题的通知》（发改办价格〔2003〕857号）文件取费标准优惠5%向招标代理机构一次性支付招标代理服务费。</w:t>
            </w:r>
          </w:p>
        </w:tc>
      </w:tr>
      <w:tr>
        <w:tc>
          <w:tcPr>
            <w:tcW w:type="dxa" w:w="1051"/>
          </w:tcPr>
          <w:p>
            <w:pPr>
              <w:pStyle w:val="null3"/>
            </w:pPr>
            <w:r>
              <w:rPr/>
              <w:t>14</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15</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16</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17</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18</w:t>
            </w:r>
          </w:p>
        </w:tc>
        <w:tc>
          <w:tcPr>
            <w:tcW w:type="dxa" w:w="2252"/>
          </w:tcPr>
          <w:p>
            <w:pPr>
              <w:pStyle w:val="null3"/>
            </w:pPr>
            <w:r>
              <w:rPr/>
              <w:t>是否组织潜在供应商现场考察</w:t>
            </w:r>
          </w:p>
        </w:tc>
        <w:tc>
          <w:tcPr>
            <w:tcW w:type="dxa" w:w="5004"/>
          </w:tcPr>
          <w:p>
            <w:pPr>
              <w:pStyle w:val="null3"/>
            </w:pPr>
            <w:r>
              <w:rPr/>
              <w:t>采购包1：组织现场踏勘：是</w:t>
            </w:r>
          </w:p>
          <w:p>
            <w:pPr>
              <w:pStyle w:val="null3"/>
              <w:ind w:firstLine="975"/>
            </w:pPr>
            <w:r>
              <w:rPr/>
              <w:t>踏勘时间：2024-06-12 15:00:00</w:t>
            </w:r>
          </w:p>
          <w:p>
            <w:pPr>
              <w:pStyle w:val="null3"/>
              <w:ind w:firstLine="975"/>
            </w:pPr>
            <w:r>
              <w:rPr/>
              <w:t>踏勘地点：陕西省高速公路收费中心</w:t>
            </w:r>
          </w:p>
          <w:p>
            <w:pPr>
              <w:pStyle w:val="null3"/>
              <w:ind w:firstLine="975"/>
            </w:pPr>
            <w:r>
              <w:rPr/>
              <w:t>联系人：赵妍</w:t>
            </w:r>
          </w:p>
          <w:p>
            <w:pPr>
              <w:pStyle w:val="null3"/>
              <w:ind w:firstLine="975"/>
            </w:pPr>
            <w:r>
              <w:rPr/>
              <w:t>联系电话号码： 029-86250115</w:t>
            </w:r>
          </w:p>
        </w:tc>
      </w:tr>
      <w:tr>
        <w:tc>
          <w:tcPr>
            <w:tcW w:type="dxa" w:w="1051"/>
          </w:tcPr>
          <w:p>
            <w:pPr>
              <w:pStyle w:val="null3"/>
            </w:pPr>
            <w:r>
              <w:rPr/>
              <w:t>19</w:t>
            </w:r>
          </w:p>
        </w:tc>
        <w:tc>
          <w:tcPr>
            <w:tcW w:type="dxa" w:w="2252"/>
          </w:tcPr>
          <w:p>
            <w:pPr>
              <w:pStyle w:val="null3"/>
            </w:pPr>
            <w:r>
              <w:rPr/>
              <w:t>特殊情况</w:t>
            </w:r>
          </w:p>
        </w:tc>
        <w:tc>
          <w:tcPr>
            <w:tcW w:type="dxa" w:w="5004"/>
          </w:tcPr>
          <w:p>
            <w:pPr>
              <w:pStyle w:val="null3"/>
            </w:pPr>
            <w:r>
              <w:rPr/>
              <w:t xml:space="preserve">出现下列情形之一的，采购人或者代理机构应当中止电子化采购活动，并保留相关证明材料备查： </w:t>
            </w:r>
          </w:p>
          <w:p>
            <w:pPr>
              <w:pStyle w:val="null3"/>
            </w:pPr>
            <w:r>
              <w:rPr/>
              <w:t>（一）交易系统发生故障（包括感染病毒、应用或数据库出错）而无法正常使用的；</w:t>
            </w:r>
          </w:p>
          <w:p>
            <w:pPr>
              <w:pStyle w:val="null3"/>
            </w:pPr>
            <w:r>
              <w:rPr/>
              <w:t>（二）因组织场所停电、断网等原因，导致采购活动无法继续通过交易系统实施的；</w:t>
            </w:r>
          </w:p>
          <w:p>
            <w:pPr>
              <w:pStyle w:val="null3"/>
            </w:pPr>
            <w:r>
              <w:rPr/>
              <w:t>（三）其他无法保证电子化交易的公平、公正和安全的情况。</w:t>
            </w:r>
          </w:p>
          <w:p>
            <w:pPr>
              <w:pStyle w:val="null3"/>
            </w:pPr>
            <w:r>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陕西省高速公路收费中心</w:t>
      </w:r>
      <w:r>
        <w:rPr/>
        <w:t>和</w:t>
      </w:r>
      <w:r>
        <w:rPr/>
        <w:t>中赞国际项目管理有限公司</w:t>
      </w:r>
      <w:r>
        <w:rPr/>
        <w:t>享有。对磋商文件中供应商参加本次政府采购活动应当具备的条件，磋商项目技术、服务、商务及其他要求，评审细则及标准由</w:t>
      </w:r>
      <w:r>
        <w:rPr/>
        <w:t>陕西省高速公路收费中心</w:t>
      </w:r>
      <w:r>
        <w:rPr/>
        <w:t>负责解释。除上述磋商文件内容，其他内容由</w:t>
      </w:r>
      <w:r>
        <w:rPr/>
        <w:t>中赞国际项目管理有限公司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陕西省高速公路收费中心</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中赞国际项目管理有限公司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sz w:val="24"/>
          <w:b/>
        </w:rPr>
        <w:t xml:space="preserve"> 2.2.3响应费用（实质性要求）</w:t>
      </w:r>
    </w:p>
    <w:p>
      <w:pPr>
        <w:pStyle w:val="null3"/>
        <w:ind w:firstLine="480"/>
      </w:pPr>
      <w:r>
        <w:rPr/>
        <w:t>供应商应自行承担参加竞争性磋商采购活动的全部费用。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ind w:firstLine="480"/>
        <w:jc w:val="left"/>
      </w:pPr>
      <w:r>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本次项目均以人民币报价。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 xml:space="preserve"> 一、供应商的报价是供应商响应磋商项目要求的全部工作内容的价格体现，包括供应商完成本项目所需的一切费用。</w:t>
      </w:r>
    </w:p>
    <w:p>
      <w:pPr>
        <w:pStyle w:val="null3"/>
        <w:ind w:firstLine="480"/>
      </w:pPr>
      <w:r>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三、供应商完成响应文件编制后，应按照响应文件第1章明确的签章要求，使用互认的证书及签章对响应文件进行电子签章和加密。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jc w:val="left"/>
      </w:pPr>
      <w:r>
        <w:rPr/>
        <w:t xml:space="preserve"> 开标/开启前30分钟内，供应商需登录项目电子化交易系统-“供应商开标大厅”-进入开标选择对应项目包组操作签到，签到完成后等待代理机构开标/开启。</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一、合同一经签订，双方应严格履行合同规定的义务。</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2.6.7履约验收方案</w:t>
      </w:r>
    </w:p>
    <w:p>
      <w:pPr>
        <w:pStyle w:val="null3"/>
      </w:pPr>
      <w:r>
        <w:rPr/>
        <w:t>采购包1：</w:t>
      </w:r>
    </w:p>
    <w:p>
      <w:pPr>
        <w:pStyle w:val="null3"/>
      </w:pPr>
      <w:r>
        <w:rPr/>
        <w:t>采购人照政府采购合同规定的技术、服务、安全标准组织对供应商履约情况进行验收，并出具验收书。</w:t>
      </w:r>
    </w:p>
    <w:p>
      <w:pPr>
        <w:pStyle w:val="null3"/>
        <w:outlineLvl w:val="3"/>
      </w:pPr>
      <w:r>
        <w:rPr>
          <w:sz w:val="24"/>
          <w:b/>
        </w:rPr>
        <w:t>2.6.8资金支付</w:t>
      </w:r>
    </w:p>
    <w:p>
      <w:pPr>
        <w:pStyle w:val="null3"/>
        <w:ind w:firstLine="480"/>
      </w:pPr>
      <w:r>
        <w:rPr/>
        <w:t>采购人按财政部门的相关规定及采购合同的约定进行支付。</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八、未按照磋商文件确定的事项签订政府采购合同；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供应商有上述情形的，按照规定追究法律责任，具有前述一至十一条情形之一的，其响应文件无效，或取消被确认为成交供应商的资格或认定成交无效。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根据委托代理协议约定，供应商对采购文件中采购需求的询问、质疑由 </w:t>
      </w:r>
      <w:r>
        <w:rPr/>
        <w:t>中赞国际项目管理有限公司</w:t>
      </w:r>
      <w:r>
        <w:rPr/>
        <w:t xml:space="preserve"> 负责答复；供应商对除采购需求外的采购文件的询问、质疑由</w:t>
      </w:r>
      <w:r>
        <w:rPr/>
        <w:t>中赞国际项目管理有限公司</w:t>
      </w:r>
      <w:r>
        <w:rPr/>
        <w:t xml:space="preserve"> 负责答复；供应商对采购过程、采购结果的询问、质疑由 </w:t>
      </w:r>
      <w:r>
        <w:rPr/>
        <w:t>中赞国际项目管理有限公司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t xml:space="preserve"> （一）对可以质疑的采购文件提出质疑的，为收到采购文件之日或者采购文件公告期限届满之日；</w:t>
      </w:r>
    </w:p>
    <w:p>
      <w:pPr>
        <w:pStyle w:val="null3"/>
        <w:ind w:firstLine="480"/>
        <w:jc w:val="left"/>
      </w:pPr>
      <w:r>
        <w:rPr/>
        <w:t>（二）对采购过程提出质疑的，为各采购程序环节结束之日；</w:t>
      </w:r>
    </w:p>
    <w:p>
      <w:pPr>
        <w:pStyle w:val="null3"/>
        <w:ind w:firstLine="480"/>
        <w:jc w:val="left"/>
      </w:pPr>
      <w:r>
        <w:rPr/>
        <w:t xml:space="preserve"> （三）对中标或者成交结果提出质疑的，为中标或者成交结果公告期限届满之日。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ind w:firstLine="480"/>
      </w:pPr>
      <w:r>
        <w:rPr/>
        <w:t>接收质疑函方式：书面形式。</w:t>
      </w:r>
    </w:p>
    <w:p>
      <w:pPr>
        <w:pStyle w:val="null3"/>
      </w:pPr>
      <w:r>
        <w:rPr/>
        <w:t>答复主体：代理机构</w:t>
      </w:r>
    </w:p>
    <w:p>
      <w:pPr>
        <w:pStyle w:val="null3"/>
      </w:pPr>
      <w:r>
        <w:rPr/>
        <w:t>联系人：张琪</w:t>
      </w:r>
    </w:p>
    <w:p>
      <w:pPr>
        <w:pStyle w:val="null3"/>
      </w:pPr>
      <w:r>
        <w:rPr/>
        <w:t>联系电话：029-81629798</w:t>
      </w:r>
    </w:p>
    <w:p>
      <w:pPr>
        <w:pStyle w:val="null3"/>
      </w:pPr>
      <w:r>
        <w:rPr/>
        <w:t>地址：陕西省西安市未央区未央路老三届首座大厦2号1幢12220室</w:t>
      </w:r>
    </w:p>
    <w:p>
      <w:pPr>
        <w:pStyle w:val="null3"/>
      </w:pPr>
      <w:r>
        <w:rPr/>
        <w:t>邮编：710000</w:t>
      </w:r>
    </w:p>
    <w:p>
      <w:pPr>
        <w:pStyle w:val="null3"/>
        <w:ind w:firstLine="480"/>
      </w:pPr>
      <w:r>
        <w:rPr/>
        <w:t>注：根据《中华人民共和国政府采购法》的规定，供应商质疑不得超出磋商文件、采购过程、采购结果的范围。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3.1采购项目概况</w:t>
      </w:r>
    </w:p>
    <w:p>
      <w:pPr>
        <w:pStyle w:val="null3"/>
        <w:ind w:firstLine="480"/>
      </w:pPr>
      <w:r>
        <w:rPr/>
        <w:t>云上应用与信息服务平台维护项目预算为109万元，由省级视频云联网监测系统维护升级费用（预算：38万元）、基于ETC门架的交通情况调查应用系统（预算：5万元）、高速公路超速筛查处理系统（预算：22万元）、交通情况调查应用系统（预算：27.5万元）、互联网+高速公路公众出行服务平台（预算：16.5万元）五部分内容组成。 （1）省级视频云联网监测系统：系统部署在云端,主要对接路段视频上云网关，汇集全省视频图像，发布流媒体服务，并将上云数据进行展示以及运行监测，解决全省高速公路视频资源的汇聚接入与分发，完成与部级视频联网云平台对接，实现视频联网共享和控制信令交互。实现人工智能分析，为业务应用提供人工智能分析结果。系统采用B/S架构，采用云数据库，提供主备架构，图像数据使用云对象存储，采用云安全产品，包含防火墙、堡垒机、日志审计、漏洞扫描等，为系统提供多维度安全防护服务。 （2）基于ETC门架的交通情况调查应用系统：基于ETC门架的交通情况调查应用系统包含数据完整性检验、指标计算、数据转化和推送三方面功能。将ETC门架数据应用至交调系统，不仅使交通量调查数据更加精准，并且节约了交调站的建设和维护成本。系统架构为B/S，无外网访问没有域名。部署在陕西省未央区高速公路收费中心 421 机房内，系统网络架构采用 MPLS 技术并依托于陕西省高速公路行业专网而搭建的专用网络。承载的数据类型为交通数据，数据的采集方式为线下程序生成，系统数据量为289GB，系统数据月增量为10GB，数据存储方式为集中存储，对用户密码等信息采用了MD5加密存储，数据备份的方式为每周三全量备份到存储服务器上，数据不销毁永久留存，通过堡垒机对系统安全进行保护。软件环境：操作系统为Windows Server 2012，使用tomcat9，jdk8，MySQL5.7,oracle11g。 （3）高速公路超速筛查处理系统：系统架构为B/S，无外网访问没有域名。部署在陕西省未央区高速公路收费中心 421 机房内，系统网络架构采用 MPLS 技术并依托于陕西省高速公路行业专网而搭建的专用网络。承载的数据类型为交通数据，数据的采集方式为线下程序生成，系统数据量为144GB，系统数据月增量为10GB，数据存储方式为集中存储，对用户密码等信息采用了MD5加密存储，数据备份的方式为每周三全量备份到存储服务器上，数据不销毁永久留存，图片留存两天的，通过堡垒机对系统安全进行保护。软件环境：操作系统为Windows Server 2012使用tomcat9，jdk8，MySQL5.7,oracle11g。 （4）交通情况调查应用系统：系统部署在陕西省未央区高速公路收费中心421机房内，用于实现陕西高速公路交通调查数据信息自动化采集和展示，为宏观政策制定、经济运行分析、公路规划建设与养护、路网运行评价与管理、交通应急处置、公众出行提供有力支撑。 （5）互联网+高速公路公众出行服务平台：平台主要包括陕西高速APP、微信陕西12122小程序、陕西公众出行管理后台三部分，为公众提供路况信息、高速救援、高速简图、车友爆料等服务。系统部署在阿里云上，采用云数据库mysql、云应用服务器centos，基于CS+BS+LNMP架构，服务器每天自动快照，保留7日快照，系统更新或软件部署更新有问题时可及时回滚。系统数据主要包括系统信息和用户信息，当前存储于阿里云服务的RDS数据库，总量为11GB，月增量为0.1GB，数据采用全量隔天自动备份与日志实时自动备份，数据保留60天。网络安全防护使用服务器自带的云安全防火墙。其中陕西高速APP、微信陕西12122小程序主要是面向公众提供服务；陕西公众出行管理后台是App和小程序的总后台，对App和小程序展示的信息进行后台管理。</w:t>
      </w:r>
    </w:p>
    <w:p>
      <w:pPr>
        <w:pStyle w:val="null3"/>
        <w:outlineLvl w:val="2"/>
      </w:pPr>
      <w:r>
        <w:rPr>
          <w:sz w:val="28"/>
          <w:b/>
        </w:rPr>
        <w:t>3.2服务内容及服务要求</w:t>
      </w:r>
    </w:p>
    <w:p>
      <w:pPr>
        <w:pStyle w:val="null3"/>
        <w:outlineLvl w:val="3"/>
      </w:pPr>
      <w:r>
        <w:rPr>
          <w:sz w:val="24"/>
          <w:b/>
        </w:rPr>
        <w:t>3.2.1服务内容</w:t>
      </w:r>
    </w:p>
    <w:p>
      <w:pPr>
        <w:pStyle w:val="null3"/>
      </w:pPr>
      <w:r>
        <w:rPr/>
        <w:t>采购包1：</w:t>
      </w:r>
    </w:p>
    <w:p>
      <w:pPr>
        <w:pStyle w:val="null3"/>
      </w:pPr>
      <w:r>
        <w:rPr/>
        <w:t>采购包预算金额（元）: 1,090,000.00</w:t>
      </w:r>
    </w:p>
    <w:p>
      <w:pPr>
        <w:pStyle w:val="null3"/>
      </w:pPr>
      <w:r>
        <w:rPr/>
        <w:t>采购包最高限价（元）: 1,090,000.00</w:t>
      </w:r>
    </w:p>
    <w:p>
      <w:pPr>
        <w:pStyle w:val="null3"/>
      </w:pPr>
      <w:r>
        <w:rPr/>
        <w:t>供应商报价不允许超过标的金额</w:t>
      </w:r>
    </w:p>
    <w:p>
      <w:pPr>
        <w:pStyle w:val="null3"/>
      </w:pPr>
      <w:r>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序号</w:t>
            </w:r>
          </w:p>
        </w:tc>
        <w:tc>
          <w:tcPr>
            <w:tcW w:type="dxa" w:w="831"/>
          </w:tcPr>
          <w:p>
            <w:pPr>
              <w:pStyle w:val="null3"/>
            </w:pPr>
            <w:r>
              <w:rPr/>
              <w:t>标的名称</w:t>
            </w:r>
          </w:p>
        </w:tc>
        <w:tc>
          <w:tcPr>
            <w:tcW w:type="dxa" w:w="831"/>
          </w:tcPr>
          <w:p>
            <w:pPr>
              <w:pStyle w:val="null3"/>
            </w:pPr>
            <w:r>
              <w:rPr/>
              <w:t>数量</w:t>
            </w:r>
          </w:p>
        </w:tc>
        <w:tc>
          <w:tcPr>
            <w:tcW w:type="dxa" w:w="831"/>
          </w:tcPr>
          <w:p>
            <w:pPr>
              <w:pStyle w:val="null3"/>
            </w:pPr>
            <w:r>
              <w:rPr/>
              <w:t>标的金额 （元）</w:t>
            </w:r>
          </w:p>
        </w:tc>
        <w:tc>
          <w:tcPr>
            <w:tcW w:type="dxa" w:w="831"/>
          </w:tcPr>
          <w:p>
            <w:pPr>
              <w:pStyle w:val="null3"/>
            </w:pPr>
            <w:r>
              <w:rPr/>
              <w:t>计量单位</w:t>
            </w:r>
          </w:p>
        </w:tc>
        <w:tc>
          <w:tcPr>
            <w:tcW w:type="dxa" w:w="831"/>
          </w:tcPr>
          <w:p>
            <w:pPr>
              <w:pStyle w:val="null3"/>
            </w:pPr>
            <w:r>
              <w:rPr/>
              <w:t>所属行业</w:t>
            </w:r>
          </w:p>
        </w:tc>
        <w:tc>
          <w:tcPr>
            <w:tcW w:type="dxa" w:w="831"/>
          </w:tcPr>
          <w:p>
            <w:pPr>
              <w:pStyle w:val="null3"/>
            </w:pPr>
            <w:r>
              <w:rPr/>
              <w:t>是否核心产品</w:t>
            </w:r>
          </w:p>
        </w:tc>
        <w:tc>
          <w:tcPr>
            <w:tcW w:type="dxa" w:w="831"/>
          </w:tcPr>
          <w:p>
            <w:pPr>
              <w:pStyle w:val="null3"/>
            </w:pPr>
            <w:r>
              <w:rPr/>
              <w:t>是否允许进口产品</w:t>
            </w:r>
          </w:p>
        </w:tc>
        <w:tc>
          <w:tcPr>
            <w:tcW w:type="dxa" w:w="831"/>
          </w:tcPr>
          <w:p>
            <w:pPr>
              <w:pStyle w:val="null3"/>
            </w:pPr>
            <w:r>
              <w:rPr/>
              <w:t>是否属于节能产品</w:t>
            </w:r>
          </w:p>
        </w:tc>
        <w:tc>
          <w:tcPr>
            <w:tcW w:type="dxa" w:w="831"/>
          </w:tcPr>
          <w:p>
            <w:pPr>
              <w:pStyle w:val="null3"/>
            </w:pPr>
            <w:r>
              <w:rPr/>
              <w:t>是否属于环境标志产品</w:t>
            </w:r>
          </w:p>
        </w:tc>
      </w:tr>
      <w:tr>
        <w:tc>
          <w:tcPr>
            <w:tcW w:type="dxa" w:w="831"/>
          </w:tcPr>
          <w:p>
            <w:pPr>
              <w:pStyle w:val="null3"/>
            </w:pPr>
            <w:r>
              <w:rPr/>
              <w:t>1</w:t>
            </w:r>
          </w:p>
        </w:tc>
        <w:tc>
          <w:tcPr>
            <w:tcW w:type="dxa" w:w="831"/>
          </w:tcPr>
          <w:p>
            <w:pPr>
              <w:pStyle w:val="null3"/>
            </w:pPr>
            <w:r>
              <w:rPr/>
              <w:t>云上应用与信息服务平台维护</w:t>
            </w:r>
          </w:p>
        </w:tc>
        <w:tc>
          <w:tcPr>
            <w:tcW w:type="dxa" w:w="831"/>
          </w:tcPr>
          <w:p>
            <w:pPr>
              <w:pStyle w:val="null3"/>
              <w:jc w:val="right"/>
            </w:pPr>
            <w:r>
              <w:rPr/>
              <w:t>1.00</w:t>
            </w:r>
          </w:p>
        </w:tc>
        <w:tc>
          <w:tcPr>
            <w:tcW w:type="dxa" w:w="831"/>
          </w:tcPr>
          <w:p>
            <w:pPr>
              <w:pStyle w:val="null3"/>
              <w:jc w:val="right"/>
            </w:pPr>
            <w:r>
              <w:rPr/>
              <w:t>1,090,000.00</w:t>
            </w:r>
          </w:p>
        </w:tc>
        <w:tc>
          <w:tcPr>
            <w:tcW w:type="dxa" w:w="831"/>
          </w:tcPr>
          <w:p>
            <w:pPr>
              <w:pStyle w:val="null3"/>
            </w:pPr>
            <w:r>
              <w:rPr/>
              <w:t>项</w:t>
            </w:r>
          </w:p>
        </w:tc>
        <w:tc>
          <w:tcPr>
            <w:tcW w:type="dxa" w:w="831"/>
          </w:tcPr>
          <w:p>
            <w:pPr>
              <w:pStyle w:val="null3"/>
            </w:pPr>
            <w:r>
              <w:rPr/>
              <w:t>软件和信息技术服务业</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c>
          <w:tcPr>
            <w:tcW w:type="dxa" w:w="831"/>
          </w:tcPr>
          <w:p>
            <w:pPr>
              <w:pStyle w:val="null3"/>
            </w:pPr>
            <w:r>
              <w:rPr/>
              <w:t>否</w:t>
            </w:r>
          </w:p>
        </w:tc>
      </w:tr>
    </w:tbl>
    <w:p>
      <w:pPr>
        <w:pStyle w:val="null3"/>
        <w:outlineLvl w:val="2"/>
      </w:pPr>
      <w:r>
        <w:rPr>
          <w:sz w:val="28"/>
          <w:b/>
        </w:rPr>
        <w:t>3.2.2服务要求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标的名称：云上应用与信息服务平台维护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pPr>
              <w:pStyle w:val="null3"/>
            </w:pPr>
            <w:r>
              <w:rPr/>
              <w:t>★</w:t>
            </w:r>
          </w:p>
        </w:tc>
        <w:tc>
          <w:tcPr>
            <w:tcW w:type="dxa" w:w="2769"/>
          </w:tcPr>
          <w:p>
            <w:pPr>
              <w:pStyle w:val="null3"/>
            </w:pPr>
            <w:r>
              <w:rPr/>
              <w:t>1</w:t>
            </w:r>
          </w:p>
        </w:tc>
        <w:tc>
          <w:tcPr>
            <w:tcW w:type="dxa" w:w="2769"/>
          </w:tcPr>
          <w:p>
            <w:pPr>
              <w:pStyle w:val="null3"/>
              <w:ind w:firstLine="422"/>
              <w:jc w:val="left"/>
            </w:pPr>
            <w:r>
              <w:rPr>
                <w:rFonts w:ascii="宋体" w:hAnsi="宋体" w:cs="宋体" w:eastAsia="宋体"/>
                <w:sz w:val="21"/>
                <w:b/>
              </w:rPr>
              <w:t>服务内容</w:t>
            </w:r>
          </w:p>
          <w:p>
            <w:pPr>
              <w:pStyle w:val="null3"/>
              <w:ind w:firstLine="400"/>
              <w:jc w:val="both"/>
            </w:pPr>
            <w:r>
              <w:rPr>
                <w:rFonts w:ascii="宋体" w:hAnsi="宋体" w:cs="宋体" w:eastAsia="宋体"/>
                <w:sz w:val="20"/>
              </w:rPr>
              <w:t>本服务需要维护</w:t>
            </w:r>
            <w:r>
              <w:rPr>
                <w:rFonts w:ascii="宋体" w:hAnsi="宋体" w:cs="宋体" w:eastAsia="宋体"/>
                <w:sz w:val="20"/>
              </w:rPr>
              <w:t>“省级视频云联网监测系统”、“基于ETC门架的交通情况调查应用系统”、“高速公路超速筛查处理系统”、“交通情况调查应用系统”、“互联网+高速公路公众出行服务平台”共五个系统。各系统的维护要求如下：</w:t>
            </w:r>
          </w:p>
          <w:p>
            <w:pPr>
              <w:pStyle w:val="null3"/>
              <w:ind w:firstLine="402"/>
              <w:jc w:val="both"/>
            </w:pPr>
            <w:r>
              <w:rPr>
                <w:rFonts w:ascii="宋体" w:hAnsi="宋体" w:cs="宋体" w:eastAsia="宋体"/>
                <w:sz w:val="20"/>
                <w:b/>
              </w:rPr>
              <w:t>1.省级视频云联网监测系统维护升级技术服务要求包含但不限于如下内容。</w:t>
            </w:r>
          </w:p>
          <w:p>
            <w:pPr>
              <w:pStyle w:val="null3"/>
              <w:ind w:firstLine="400"/>
              <w:jc w:val="both"/>
            </w:pPr>
            <w:r>
              <w:rPr>
                <w:rFonts w:ascii="宋体" w:hAnsi="宋体" w:cs="宋体" w:eastAsia="宋体"/>
                <w:sz w:val="20"/>
              </w:rPr>
              <w:t>（</w:t>
            </w:r>
            <w:r>
              <w:rPr>
                <w:rFonts w:ascii="宋体" w:hAnsi="宋体" w:cs="宋体" w:eastAsia="宋体"/>
                <w:sz w:val="20"/>
              </w:rPr>
              <w:t>1）对省级视频云平台进行日常维护与定期升级，包括省级视频云平台后台服务的检查、维护与升级，保证系统的稳定运行；</w:t>
            </w:r>
          </w:p>
          <w:p>
            <w:pPr>
              <w:pStyle w:val="null3"/>
              <w:ind w:firstLine="400"/>
              <w:jc w:val="both"/>
            </w:pPr>
            <w:r>
              <w:rPr>
                <w:rFonts w:ascii="宋体" w:hAnsi="宋体" w:cs="宋体" w:eastAsia="宋体"/>
                <w:sz w:val="20"/>
              </w:rPr>
              <w:t>（</w:t>
            </w:r>
            <w:r>
              <w:rPr>
                <w:rFonts w:ascii="宋体" w:hAnsi="宋体" w:cs="宋体" w:eastAsia="宋体"/>
                <w:sz w:val="20"/>
              </w:rPr>
              <w:t>2）对服务支撑软件如：操作系统、数据库、对象存储、文件存储、负载均衡、互联网带宽等云资源进行日常维护及故障诊断处理；</w:t>
            </w:r>
          </w:p>
          <w:p>
            <w:pPr>
              <w:pStyle w:val="null3"/>
              <w:ind w:firstLine="400"/>
              <w:jc w:val="both"/>
            </w:pPr>
            <w:r>
              <w:rPr>
                <w:rFonts w:ascii="宋体" w:hAnsi="宋体" w:cs="宋体" w:eastAsia="宋体"/>
                <w:sz w:val="20"/>
              </w:rPr>
              <w:t>（</w:t>
            </w:r>
            <w:r>
              <w:rPr>
                <w:rFonts w:ascii="宋体" w:hAnsi="宋体" w:cs="宋体" w:eastAsia="宋体"/>
                <w:sz w:val="20"/>
              </w:rPr>
              <w:t>3）定期备份操作系统配置文件和重要数据；定期备份数据库数据，以防止数据丢失；</w:t>
            </w:r>
          </w:p>
          <w:p>
            <w:pPr>
              <w:pStyle w:val="null3"/>
              <w:ind w:firstLine="400"/>
              <w:jc w:val="both"/>
            </w:pPr>
            <w:r>
              <w:rPr>
                <w:rFonts w:ascii="宋体" w:hAnsi="宋体" w:cs="宋体" w:eastAsia="宋体"/>
                <w:sz w:val="20"/>
              </w:rPr>
              <w:t>（</w:t>
            </w:r>
            <w:r>
              <w:rPr>
                <w:rFonts w:ascii="宋体" w:hAnsi="宋体" w:cs="宋体" w:eastAsia="宋体"/>
                <w:sz w:val="20"/>
              </w:rPr>
              <w:t>4）每周对云主机进行巡检与维护</w:t>
            </w:r>
            <w:r>
              <w:rPr>
                <w:rFonts w:ascii="宋体" w:hAnsi="宋体" w:cs="宋体" w:eastAsia="宋体"/>
                <w:sz w:val="20"/>
              </w:rPr>
              <w:t>，</w:t>
            </w:r>
            <w:r>
              <w:rPr>
                <w:rFonts w:ascii="宋体" w:hAnsi="宋体" w:cs="宋体" w:eastAsia="宋体"/>
                <w:sz w:val="20"/>
              </w:rPr>
              <w:t>检查云主机资源使用情况，针对安全漏洞补丁及时进行更新；检查网络带宽使用情况；</w:t>
            </w:r>
          </w:p>
          <w:p>
            <w:pPr>
              <w:pStyle w:val="null3"/>
              <w:ind w:firstLine="400"/>
              <w:jc w:val="both"/>
            </w:pPr>
            <w:r>
              <w:rPr>
                <w:rFonts w:ascii="宋体" w:hAnsi="宋体" w:cs="宋体" w:eastAsia="宋体"/>
                <w:sz w:val="20"/>
              </w:rPr>
              <w:t>（</w:t>
            </w:r>
            <w:r>
              <w:rPr>
                <w:rFonts w:ascii="宋体" w:hAnsi="宋体" w:cs="宋体" w:eastAsia="宋体"/>
                <w:sz w:val="20"/>
              </w:rPr>
              <w:t>5）每天统计全省高速公路各路段摄像机上云情况，并反馈指定工作群中；</w:t>
            </w:r>
          </w:p>
          <w:p>
            <w:pPr>
              <w:pStyle w:val="null3"/>
              <w:ind w:firstLine="400"/>
              <w:jc w:val="both"/>
            </w:pPr>
            <w:r>
              <w:rPr>
                <w:rFonts w:ascii="宋体" w:hAnsi="宋体" w:cs="宋体" w:eastAsia="宋体"/>
                <w:sz w:val="20"/>
              </w:rPr>
              <w:t>（</w:t>
            </w:r>
            <w:r>
              <w:rPr>
                <w:rFonts w:ascii="宋体" w:hAnsi="宋体" w:cs="宋体" w:eastAsia="宋体"/>
                <w:sz w:val="20"/>
              </w:rPr>
              <w:t>6）根据业务使用要求，对省级视频云平台网络安全产品相关配置进行调整和更新；</w:t>
            </w:r>
          </w:p>
          <w:p>
            <w:pPr>
              <w:pStyle w:val="null3"/>
              <w:ind w:firstLine="400"/>
              <w:jc w:val="both"/>
            </w:pPr>
            <w:r>
              <w:rPr>
                <w:rFonts w:ascii="宋体" w:hAnsi="宋体" w:cs="宋体" w:eastAsia="宋体"/>
                <w:sz w:val="20"/>
              </w:rPr>
              <w:t>（</w:t>
            </w:r>
            <w:r>
              <w:rPr>
                <w:rFonts w:ascii="宋体" w:hAnsi="宋体" w:cs="宋体" w:eastAsia="宋体"/>
                <w:sz w:val="20"/>
              </w:rPr>
              <w:t>7）针对路段新增视频图像，提供视频上云对接调试服务，完成和路段上云网关和部平台的对接上传；</w:t>
            </w:r>
          </w:p>
          <w:p>
            <w:pPr>
              <w:pStyle w:val="null3"/>
              <w:ind w:firstLine="400"/>
              <w:jc w:val="both"/>
            </w:pPr>
            <w:r>
              <w:rPr>
                <w:rFonts w:ascii="宋体" w:hAnsi="宋体" w:cs="宋体" w:eastAsia="宋体"/>
                <w:sz w:val="20"/>
              </w:rPr>
              <w:t>（</w:t>
            </w:r>
            <w:r>
              <w:rPr>
                <w:rFonts w:ascii="宋体" w:hAnsi="宋体" w:cs="宋体" w:eastAsia="宋体"/>
                <w:sz w:val="20"/>
              </w:rPr>
              <w:t>8）提供7*8小时现场运维值守工作，每日巡检上云摄像机整体在线率情况、视频点播情况、流媒体服务负载情况，对发现问题及时处理；</w:t>
            </w:r>
          </w:p>
          <w:p>
            <w:pPr>
              <w:pStyle w:val="null3"/>
              <w:ind w:firstLine="400"/>
              <w:jc w:val="both"/>
            </w:pPr>
            <w:r>
              <w:rPr>
                <w:rFonts w:ascii="宋体" w:hAnsi="宋体" w:cs="宋体" w:eastAsia="宋体"/>
                <w:sz w:val="20"/>
              </w:rPr>
              <w:t>（</w:t>
            </w:r>
            <w:r>
              <w:rPr>
                <w:rFonts w:ascii="宋体" w:hAnsi="宋体" w:cs="宋体" w:eastAsia="宋体"/>
                <w:sz w:val="20"/>
              </w:rPr>
              <w:t>9）实时监测省级视频云平台的运行环境，包含CPU使用情况、内存占用情况、网络出入口流量使用情况、服务运行情况以及重要业务指标运行情况，针对异常情况及时预警；</w:t>
            </w:r>
          </w:p>
          <w:p>
            <w:pPr>
              <w:pStyle w:val="null3"/>
              <w:ind w:firstLine="400"/>
              <w:jc w:val="both"/>
            </w:pPr>
            <w:r>
              <w:rPr>
                <w:rFonts w:ascii="宋体" w:hAnsi="宋体" w:cs="宋体" w:eastAsia="宋体"/>
                <w:sz w:val="20"/>
              </w:rPr>
              <w:t>（</w:t>
            </w:r>
            <w:r>
              <w:rPr>
                <w:rFonts w:ascii="宋体" w:hAnsi="宋体" w:cs="宋体" w:eastAsia="宋体"/>
                <w:sz w:val="20"/>
              </w:rPr>
              <w:t>10）提供节假日、重大突发事件的现场技术保障、技术支持工作和系统操作使用培训；</w:t>
            </w:r>
          </w:p>
          <w:p>
            <w:pPr>
              <w:pStyle w:val="null3"/>
              <w:ind w:firstLine="400"/>
              <w:jc w:val="both"/>
            </w:pPr>
            <w:r>
              <w:rPr>
                <w:rFonts w:ascii="宋体" w:hAnsi="宋体" w:cs="宋体" w:eastAsia="宋体"/>
                <w:sz w:val="20"/>
              </w:rPr>
              <w:t>（</w:t>
            </w:r>
            <w:r>
              <w:rPr>
                <w:rFonts w:ascii="宋体" w:hAnsi="宋体" w:cs="宋体" w:eastAsia="宋体"/>
                <w:sz w:val="20"/>
              </w:rPr>
              <w:t>11）开发高速公路服务区出入口卡口监测设施数据接入模块，实现数据采集与传输、数据分析与展示、多类型监测预警及报警、数据存储管理等，帮助管理人员了解服务区的车流量、车流速度、拥堵情况等关键指标。当出现异常情况时，如车流量超过限制、设备故障、重点车辆驶入驶出等，平台能够立即发出预警或报警信息，提醒管理人员及时采取措施进行处理，确保服务区的正常运营，帮助服务区管理者实时掌握服务区的运行状态，及时发现和解决潜在问题，提高服务区的运营效率和服务质量。</w:t>
            </w:r>
          </w:p>
          <w:p>
            <w:pPr>
              <w:pStyle w:val="null3"/>
              <w:ind w:firstLine="402"/>
              <w:jc w:val="both"/>
            </w:pPr>
            <w:r>
              <w:rPr>
                <w:rFonts w:ascii="宋体" w:hAnsi="宋体" w:cs="宋体" w:eastAsia="宋体"/>
                <w:sz w:val="20"/>
                <w:b/>
              </w:rPr>
              <w:t>2.基于ETC门架的交通情况调查应用系统技术服务要求包含但不限于如下内容。</w:t>
            </w:r>
          </w:p>
          <w:p>
            <w:pPr>
              <w:pStyle w:val="null3"/>
              <w:ind w:firstLine="400"/>
              <w:jc w:val="both"/>
            </w:pPr>
            <w:r>
              <w:rPr>
                <w:rFonts w:ascii="宋体" w:hAnsi="宋体" w:cs="宋体" w:eastAsia="宋体"/>
                <w:sz w:val="20"/>
              </w:rPr>
              <w:t>（</w:t>
            </w:r>
            <w:r>
              <w:rPr>
                <w:rFonts w:ascii="宋体" w:hAnsi="宋体" w:cs="宋体" w:eastAsia="宋体"/>
                <w:sz w:val="20"/>
              </w:rPr>
              <w:t>1）基础数据维护要求</w:t>
            </w:r>
          </w:p>
          <w:p>
            <w:pPr>
              <w:pStyle w:val="null3"/>
              <w:ind w:firstLine="400"/>
              <w:jc w:val="both"/>
            </w:pPr>
            <w:r>
              <w:rPr>
                <w:rFonts w:ascii="宋体" w:hAnsi="宋体" w:cs="宋体" w:eastAsia="宋体"/>
                <w:sz w:val="20"/>
              </w:rPr>
              <w:t>服务期内，高速公路路网收费站、</w:t>
            </w:r>
            <w:r>
              <w:rPr>
                <w:rFonts w:ascii="宋体" w:hAnsi="宋体" w:cs="宋体" w:eastAsia="宋体"/>
                <w:sz w:val="20"/>
              </w:rPr>
              <w:t>ETC门架等信息有调整或有新开通路段时，及时维护本系统所需的ETC门架基础信息表、ETC门架连接关系表、收费单元连接关系表等，且应符合“陕西省公路交通情况调查系统”（以下简称“交调系统”）对基础信息表结构的要求。</w:t>
            </w:r>
          </w:p>
          <w:p>
            <w:pPr>
              <w:pStyle w:val="null3"/>
              <w:ind w:firstLine="400"/>
              <w:jc w:val="both"/>
            </w:pPr>
            <w:r>
              <w:rPr>
                <w:rFonts w:ascii="宋体" w:hAnsi="宋体" w:cs="宋体" w:eastAsia="宋体"/>
                <w:sz w:val="20"/>
              </w:rPr>
              <w:t>（</w:t>
            </w:r>
            <w:r>
              <w:rPr>
                <w:rFonts w:ascii="宋体" w:hAnsi="宋体" w:cs="宋体" w:eastAsia="宋体"/>
                <w:sz w:val="20"/>
              </w:rPr>
              <w:t>2）系统功能要求</w:t>
            </w:r>
          </w:p>
          <w:p>
            <w:pPr>
              <w:pStyle w:val="null3"/>
              <w:ind w:firstLine="400"/>
              <w:jc w:val="both"/>
            </w:pPr>
            <w:r>
              <w:rPr>
                <w:rFonts w:ascii="宋体" w:hAnsi="宋体" w:cs="宋体" w:eastAsia="宋体"/>
                <w:sz w:val="20"/>
              </w:rPr>
              <w:t>供应商应能配合采购方响应交通运输部规划研究院关于交调系统的相关要求，并及时对系统进行升级。升级内容包含但不限于如下功能。</w:t>
            </w:r>
          </w:p>
          <w:p>
            <w:pPr>
              <w:pStyle w:val="null3"/>
              <w:ind w:firstLine="400"/>
              <w:jc w:val="both"/>
            </w:pPr>
            <w:r>
              <w:rPr>
                <w:rFonts w:ascii="宋体" w:hAnsi="宋体" w:cs="宋体" w:eastAsia="宋体"/>
                <w:sz w:val="20"/>
              </w:rPr>
              <w:t>①服务期内路网有新增ETC门架时，新增ETC门架应及时接入本系统，确保将路网所有在用ETC门架采集的数据均转换成交通量调查指标数据；</w:t>
            </w:r>
          </w:p>
          <w:p>
            <w:pPr>
              <w:pStyle w:val="null3"/>
              <w:ind w:firstLine="400"/>
              <w:jc w:val="both"/>
            </w:pPr>
            <w:r>
              <w:rPr>
                <w:rFonts w:ascii="宋体" w:hAnsi="宋体" w:cs="宋体" w:eastAsia="宋体"/>
                <w:sz w:val="20"/>
              </w:rPr>
              <w:t>②系统应能自动获取新接入的ETC门架采集的数据，完成生产数据的汇总，并能对数据获取的实时性进行校验。数据提取实时性不符合要求时，应能发出预警，提醒运维人员及时处理。</w:t>
            </w:r>
          </w:p>
          <w:p>
            <w:pPr>
              <w:pStyle w:val="null3"/>
              <w:ind w:firstLine="400"/>
              <w:jc w:val="both"/>
            </w:pPr>
            <w:r>
              <w:rPr>
                <w:rFonts w:ascii="宋体" w:hAnsi="宋体" w:cs="宋体" w:eastAsia="宋体"/>
                <w:sz w:val="20"/>
              </w:rPr>
              <w:t>③系统应能对新接入的ETC门架数据的质量进行评估，根据数据质量评估结果建立对应的数据清洗规则，能对非车辆通行记录、重复记录等进行清洗。在数据质量发生变化时，动态调整数据清洗规则，确保数据源准确、完整。</w:t>
            </w:r>
          </w:p>
          <w:p>
            <w:pPr>
              <w:pStyle w:val="null3"/>
              <w:ind w:firstLine="400"/>
              <w:jc w:val="both"/>
            </w:pPr>
            <w:r>
              <w:rPr>
                <w:rFonts w:ascii="宋体" w:hAnsi="宋体" w:cs="宋体" w:eastAsia="宋体"/>
                <w:sz w:val="20"/>
              </w:rPr>
              <w:t>④新接入的ETC门架数据转化的各类指标应能满足交调系统对数据完整率、及时率、准确率的要求。</w:t>
            </w:r>
          </w:p>
          <w:p>
            <w:pPr>
              <w:pStyle w:val="null3"/>
              <w:ind w:firstLine="400"/>
              <w:jc w:val="both"/>
            </w:pPr>
            <w:r>
              <w:rPr>
                <w:rFonts w:ascii="宋体" w:hAnsi="宋体" w:cs="宋体" w:eastAsia="宋体"/>
                <w:sz w:val="20"/>
              </w:rPr>
              <w:t>⑤系统应能将新接入的ETC门架数据转换的各类指标进行相应的转化，使数据结构符合交调系统对数据格式的要求。</w:t>
            </w:r>
          </w:p>
          <w:p>
            <w:pPr>
              <w:pStyle w:val="null3"/>
              <w:ind w:firstLine="400"/>
              <w:jc w:val="both"/>
            </w:pPr>
            <w:r>
              <w:rPr>
                <w:rFonts w:ascii="宋体" w:hAnsi="宋体" w:cs="宋体" w:eastAsia="宋体"/>
                <w:sz w:val="20"/>
              </w:rPr>
              <w:t>⑥系统应能自动将转化后的全量数据推送至交调系统，数据传输的时效性应符合部规划院对时效性的要求，并建立相关指标对数据传输的质量进行评价。</w:t>
            </w:r>
          </w:p>
          <w:p>
            <w:pPr>
              <w:pStyle w:val="null3"/>
              <w:ind w:firstLine="400"/>
              <w:jc w:val="both"/>
            </w:pPr>
            <w:r>
              <w:rPr>
                <w:rFonts w:ascii="宋体" w:hAnsi="宋体" w:cs="宋体" w:eastAsia="宋体"/>
                <w:sz w:val="20"/>
              </w:rPr>
              <w:t>⑦系统应能对推送的数据进行自检，保证数据不重报、不漏报。</w:t>
            </w:r>
          </w:p>
          <w:p>
            <w:pPr>
              <w:pStyle w:val="null3"/>
              <w:ind w:firstLine="400"/>
              <w:jc w:val="both"/>
            </w:pPr>
            <w:r>
              <w:rPr>
                <w:rFonts w:ascii="宋体" w:hAnsi="宋体" w:cs="宋体" w:eastAsia="宋体"/>
                <w:sz w:val="20"/>
              </w:rPr>
              <w:t>（</w:t>
            </w:r>
            <w:r>
              <w:rPr>
                <w:rFonts w:ascii="宋体" w:hAnsi="宋体" w:cs="宋体" w:eastAsia="宋体"/>
                <w:sz w:val="20"/>
              </w:rPr>
              <w:t>3）网络安全要求</w:t>
            </w:r>
          </w:p>
          <w:p>
            <w:pPr>
              <w:pStyle w:val="null3"/>
              <w:ind w:firstLine="400"/>
              <w:jc w:val="both"/>
            </w:pPr>
            <w:r>
              <w:rPr>
                <w:rFonts w:ascii="宋体" w:hAnsi="宋体" w:cs="宋体" w:eastAsia="宋体"/>
                <w:sz w:val="20"/>
              </w:rPr>
              <w:t>由于该系统涉及和省内多个收费公路管理单位系统的数据汇集和融合，因此必须保证数据传输的可靠性，以防止信息的丢失。系统应保障网络应用级安全保密，保证传输数据真实性、完整性和机密性。</w:t>
            </w:r>
          </w:p>
          <w:p>
            <w:pPr>
              <w:pStyle w:val="null3"/>
              <w:ind w:firstLine="400"/>
              <w:jc w:val="both"/>
            </w:pPr>
            <w:r>
              <w:rPr>
                <w:rFonts w:ascii="宋体" w:hAnsi="宋体" w:cs="宋体" w:eastAsia="宋体"/>
                <w:sz w:val="20"/>
              </w:rPr>
              <w:t>（</w:t>
            </w:r>
            <w:r>
              <w:rPr>
                <w:rFonts w:ascii="宋体" w:hAnsi="宋体" w:cs="宋体" w:eastAsia="宋体"/>
                <w:sz w:val="20"/>
              </w:rPr>
              <w:t>4）技术服务要求</w:t>
            </w:r>
          </w:p>
          <w:p>
            <w:pPr>
              <w:pStyle w:val="null3"/>
              <w:ind w:firstLine="400"/>
              <w:jc w:val="both"/>
            </w:pPr>
            <w:r>
              <w:rPr>
                <w:rFonts w:ascii="宋体" w:hAnsi="宋体" w:cs="宋体" w:eastAsia="宋体"/>
                <w:sz w:val="20"/>
              </w:rPr>
              <w:t>开展必要的日常维护工作，确保本系统正常运行。包含但不限于如下工作。</w:t>
            </w:r>
          </w:p>
          <w:p>
            <w:pPr>
              <w:pStyle w:val="null3"/>
              <w:ind w:firstLine="400"/>
              <w:jc w:val="both"/>
            </w:pPr>
            <w:r>
              <w:rPr>
                <w:rFonts w:ascii="宋体" w:hAnsi="宋体" w:cs="宋体" w:eastAsia="宋体"/>
                <w:sz w:val="20"/>
              </w:rPr>
              <w:t>①按日查看联网收费数据推送情况，推送异常时（完整率、及时率、异常率较低），及时响应解决；</w:t>
            </w:r>
          </w:p>
          <w:p>
            <w:pPr>
              <w:pStyle w:val="null3"/>
              <w:ind w:firstLine="400"/>
              <w:jc w:val="both"/>
            </w:pPr>
            <w:r>
              <w:rPr>
                <w:rFonts w:ascii="宋体" w:hAnsi="宋体" w:cs="宋体" w:eastAsia="宋体"/>
                <w:sz w:val="20"/>
              </w:rPr>
              <w:t>②按日查看系统后台分析流程是否正常，系统报错或分析结果异常时，及时响应解决；</w:t>
            </w:r>
          </w:p>
          <w:p>
            <w:pPr>
              <w:pStyle w:val="null3"/>
              <w:ind w:firstLine="400"/>
              <w:jc w:val="both"/>
            </w:pPr>
            <w:r>
              <w:rPr>
                <w:rFonts w:ascii="宋体" w:hAnsi="宋体" w:cs="宋体" w:eastAsia="宋体"/>
                <w:sz w:val="20"/>
              </w:rPr>
              <w:t>③按日查看各类分析指标是否及时推送至交调系统，数据推送异常或有数据积压时，及时响应解决。</w:t>
            </w:r>
          </w:p>
          <w:p>
            <w:pPr>
              <w:pStyle w:val="null3"/>
              <w:ind w:firstLine="402"/>
              <w:jc w:val="both"/>
            </w:pPr>
            <w:r>
              <w:rPr>
                <w:rFonts w:ascii="宋体" w:hAnsi="宋体" w:cs="宋体" w:eastAsia="宋体"/>
                <w:sz w:val="20"/>
                <w:b/>
              </w:rPr>
              <w:t>3.高速公路超速筛查处理系统维护的技术服务要求包含但不限于如下内容。</w:t>
            </w:r>
          </w:p>
          <w:p>
            <w:pPr>
              <w:pStyle w:val="null3"/>
              <w:ind w:firstLine="400"/>
              <w:jc w:val="both"/>
            </w:pPr>
            <w:r>
              <w:rPr>
                <w:rFonts w:ascii="宋体" w:hAnsi="宋体" w:cs="宋体" w:eastAsia="宋体"/>
                <w:sz w:val="20"/>
              </w:rPr>
              <w:t>（</w:t>
            </w:r>
            <w:r>
              <w:rPr>
                <w:rFonts w:ascii="宋体" w:hAnsi="宋体" w:cs="宋体" w:eastAsia="宋体"/>
                <w:sz w:val="20"/>
              </w:rPr>
              <w:t>1）基础数据维护要求</w:t>
            </w:r>
          </w:p>
          <w:p>
            <w:pPr>
              <w:pStyle w:val="null3"/>
              <w:ind w:firstLine="400"/>
              <w:jc w:val="both"/>
            </w:pPr>
            <w:r>
              <w:rPr>
                <w:rFonts w:ascii="宋体" w:hAnsi="宋体" w:cs="宋体" w:eastAsia="宋体"/>
                <w:sz w:val="20"/>
              </w:rPr>
              <w:t>服务期内，高速公路路网收费站、</w:t>
            </w:r>
            <w:r>
              <w:rPr>
                <w:rFonts w:ascii="宋体" w:hAnsi="宋体" w:cs="宋体" w:eastAsia="宋体"/>
                <w:sz w:val="20"/>
              </w:rPr>
              <w:t>ETC门架等信息有调整或有新开通路段时，及时维护本系统所需的ETC门架基础信息表、ETC门架连接关系表，并对连续两个ETC门架之间的距离、限速值信息进行维护，保障超速车辆预判结果的准确性。</w:t>
            </w:r>
          </w:p>
          <w:p>
            <w:pPr>
              <w:pStyle w:val="null3"/>
              <w:ind w:firstLine="400"/>
              <w:jc w:val="both"/>
            </w:pPr>
            <w:r>
              <w:rPr>
                <w:rFonts w:ascii="宋体" w:hAnsi="宋体" w:cs="宋体" w:eastAsia="宋体"/>
                <w:sz w:val="20"/>
              </w:rPr>
              <w:t>（</w:t>
            </w:r>
            <w:r>
              <w:rPr>
                <w:rFonts w:ascii="宋体" w:hAnsi="宋体" w:cs="宋体" w:eastAsia="宋体"/>
                <w:sz w:val="20"/>
              </w:rPr>
              <w:t>2）系统功能要求</w:t>
            </w:r>
          </w:p>
          <w:p>
            <w:pPr>
              <w:pStyle w:val="null3"/>
              <w:ind w:firstLine="400"/>
              <w:jc w:val="both"/>
            </w:pPr>
            <w:r>
              <w:rPr>
                <w:rFonts w:ascii="宋体" w:hAnsi="宋体" w:cs="宋体" w:eastAsia="宋体"/>
                <w:sz w:val="20"/>
              </w:rPr>
              <w:t>供应商应能配合采购方响应陕西省交警总队对本系统的相关要求，并及时对系统进行升级。升级内容包含但不限于如下功能。</w:t>
            </w:r>
          </w:p>
          <w:p>
            <w:pPr>
              <w:pStyle w:val="null3"/>
              <w:ind w:firstLine="400"/>
              <w:jc w:val="both"/>
            </w:pPr>
            <w:r>
              <w:rPr>
                <w:rFonts w:ascii="宋体" w:hAnsi="宋体" w:cs="宋体" w:eastAsia="宋体"/>
                <w:sz w:val="20"/>
              </w:rPr>
              <w:t>①服务期内路网有新增ETC门架时，新增ETC门架应及时接入本系统，确保将路网所有在用ETC门架采集的数据进行数据有效性审查、超速车辆预判，并提取超速嫌疑车辆的图片信息；</w:t>
            </w:r>
          </w:p>
          <w:p>
            <w:pPr>
              <w:pStyle w:val="null3"/>
              <w:ind w:firstLine="400"/>
              <w:jc w:val="both"/>
            </w:pPr>
            <w:r>
              <w:rPr>
                <w:rFonts w:ascii="宋体" w:hAnsi="宋体" w:cs="宋体" w:eastAsia="宋体"/>
                <w:sz w:val="20"/>
              </w:rPr>
              <w:t>②服务期内，新增ETC门架的通行数据、超速嫌疑车辆数据、超速嫌疑车辆的图片信息均应推送给陕西省交警总队，确保将路网所有ETC门架的3类数据推送给陕西省交警总队。</w:t>
            </w:r>
          </w:p>
          <w:p>
            <w:pPr>
              <w:pStyle w:val="null3"/>
              <w:ind w:firstLine="400"/>
              <w:jc w:val="both"/>
            </w:pPr>
            <w:r>
              <w:rPr>
                <w:rFonts w:ascii="宋体" w:hAnsi="宋体" w:cs="宋体" w:eastAsia="宋体"/>
                <w:sz w:val="20"/>
              </w:rPr>
              <w:t>③系统应能对推送的数据进行自检，保证数据不重报、不漏报。</w:t>
            </w:r>
          </w:p>
          <w:p>
            <w:pPr>
              <w:pStyle w:val="null3"/>
              <w:jc w:val="both"/>
            </w:pPr>
            <w:r>
              <w:rPr>
                <w:rFonts w:ascii="宋体" w:hAnsi="宋体" w:cs="宋体" w:eastAsia="宋体"/>
                <w:sz w:val="20"/>
              </w:rPr>
              <w:t>④开发西安绕城高速过境车数据推送模块，实现高速公路联网收费数据的提取、数据清洗、多元数据整合、过境货车数据筛选、过境货车在西安绕城高速及出入外环线行驶的图片数据提取、数据推送等内容，达到西安绕城过境车数据、图片自动推送的目的。</w:t>
            </w:r>
          </w:p>
          <w:p>
            <w:pPr>
              <w:pStyle w:val="null3"/>
              <w:ind w:firstLine="400"/>
              <w:jc w:val="both"/>
            </w:pPr>
            <w:r>
              <w:rPr>
                <w:rFonts w:ascii="宋体" w:hAnsi="宋体" w:cs="宋体" w:eastAsia="宋体"/>
                <w:sz w:val="20"/>
              </w:rPr>
              <w:t>（</w:t>
            </w:r>
            <w:r>
              <w:rPr>
                <w:rFonts w:ascii="宋体" w:hAnsi="宋体" w:cs="宋体" w:eastAsia="宋体"/>
                <w:sz w:val="20"/>
              </w:rPr>
              <w:t>3）技术服务要求</w:t>
            </w:r>
          </w:p>
          <w:p>
            <w:pPr>
              <w:pStyle w:val="null3"/>
              <w:ind w:firstLine="400"/>
              <w:jc w:val="both"/>
            </w:pPr>
            <w:r>
              <w:rPr>
                <w:rFonts w:ascii="宋体" w:hAnsi="宋体" w:cs="宋体" w:eastAsia="宋体"/>
                <w:sz w:val="20"/>
              </w:rPr>
              <w:t>开展必要的日常维护工作，确保本系统正常运行。包含但不限于如下工作。</w:t>
            </w:r>
          </w:p>
          <w:p>
            <w:pPr>
              <w:pStyle w:val="null3"/>
              <w:ind w:firstLine="400"/>
              <w:jc w:val="both"/>
            </w:pPr>
            <w:r>
              <w:rPr>
                <w:rFonts w:ascii="宋体" w:hAnsi="宋体" w:cs="宋体" w:eastAsia="宋体"/>
                <w:sz w:val="20"/>
              </w:rPr>
              <w:t>①按日查看ETC门架通行数据、超速嫌疑车辆数据、超速嫌疑车辆图片信息以及西安绕城高速过境车数据图片的推送情况，推送异常时，及时响应解决；</w:t>
            </w:r>
          </w:p>
          <w:p>
            <w:pPr>
              <w:pStyle w:val="null3"/>
              <w:ind w:firstLine="400"/>
              <w:jc w:val="both"/>
            </w:pPr>
            <w:r>
              <w:rPr>
                <w:rFonts w:ascii="宋体" w:hAnsi="宋体" w:cs="宋体" w:eastAsia="宋体"/>
                <w:sz w:val="20"/>
              </w:rPr>
              <w:t>②按日查看系统后台分析流程是否正常，系统报错或分析结果异常时，及时响应解决；</w:t>
            </w:r>
          </w:p>
          <w:p>
            <w:pPr>
              <w:pStyle w:val="null3"/>
              <w:ind w:firstLine="400"/>
              <w:jc w:val="both"/>
            </w:pPr>
            <w:r>
              <w:rPr>
                <w:rFonts w:ascii="宋体" w:hAnsi="宋体" w:cs="宋体" w:eastAsia="宋体"/>
                <w:sz w:val="20"/>
              </w:rPr>
              <w:t>③在路网结构、路网基础信息、限速标准以及工作要求有变化时，及时维护、更新路网超速及过境车辆判断基础信息表。</w:t>
            </w:r>
          </w:p>
          <w:p>
            <w:pPr>
              <w:pStyle w:val="null3"/>
              <w:ind w:firstLine="402"/>
              <w:jc w:val="both"/>
            </w:pPr>
            <w:r>
              <w:rPr>
                <w:rFonts w:ascii="宋体" w:hAnsi="宋体" w:cs="宋体" w:eastAsia="宋体"/>
                <w:sz w:val="20"/>
                <w:b/>
              </w:rPr>
              <w:t>4.交通情况调查应用系统维护的技术服务要求包含但不限于如下内容</w:t>
            </w:r>
            <w:r>
              <w:rPr>
                <w:rFonts w:ascii="宋体" w:hAnsi="宋体" w:cs="宋体" w:eastAsia="宋体"/>
                <w:sz w:val="20"/>
              </w:rPr>
              <w:t>。</w:t>
            </w:r>
          </w:p>
          <w:p>
            <w:pPr>
              <w:pStyle w:val="null3"/>
              <w:ind w:firstLine="400"/>
              <w:jc w:val="both"/>
            </w:pPr>
            <w:r>
              <w:rPr>
                <w:rFonts w:ascii="宋体" w:hAnsi="宋体" w:cs="宋体" w:eastAsia="宋体"/>
                <w:sz w:val="20"/>
              </w:rPr>
              <w:t>（</w:t>
            </w:r>
            <w:r>
              <w:rPr>
                <w:rFonts w:ascii="宋体" w:hAnsi="宋体" w:cs="宋体" w:eastAsia="宋体"/>
                <w:sz w:val="20"/>
              </w:rPr>
              <w:t>1）日常维护：对系统日常运行中发现的故障、问题等及时修正，保证系统的正常运行和使用；若自动化站点设备因老化等原因对原有的硬件进行升级，需配合厂家进行调试使之能够接入新的硬件设备；对业务人员在使用过程中遇到的问题及时进行技术支持响应。</w:t>
            </w:r>
          </w:p>
          <w:p>
            <w:pPr>
              <w:pStyle w:val="null3"/>
              <w:ind w:firstLine="400"/>
              <w:jc w:val="both"/>
            </w:pPr>
            <w:r>
              <w:rPr>
                <w:rFonts w:ascii="宋体" w:hAnsi="宋体" w:cs="宋体" w:eastAsia="宋体"/>
                <w:sz w:val="20"/>
              </w:rPr>
              <w:t>（</w:t>
            </w:r>
            <w:r>
              <w:rPr>
                <w:rFonts w:ascii="宋体" w:hAnsi="宋体" w:cs="宋体" w:eastAsia="宋体"/>
                <w:sz w:val="20"/>
              </w:rPr>
              <w:t>2）数据维护：包括数据备份（每月进行一次数据备份，防止数据库故障导致数据丢失）；历史数据迁移（由于每年的数据量较大，每年定期对历史数据进行迁移备份，删除短期不使用的历史数据，提升系统运行速度，被迁移的数据要保证在需要使用时能够查询）；基础数据录入（每年根据交调站点的变动，需要录入路线、站点信息、设备等基础数据，每年年末还需要对第二年的基础数据进行初始化)。</w:t>
            </w:r>
          </w:p>
          <w:p>
            <w:pPr>
              <w:pStyle w:val="null3"/>
              <w:ind w:firstLine="400"/>
              <w:jc w:val="both"/>
            </w:pPr>
            <w:r>
              <w:rPr>
                <w:rFonts w:ascii="宋体" w:hAnsi="宋体" w:cs="宋体" w:eastAsia="宋体"/>
                <w:sz w:val="20"/>
              </w:rPr>
              <w:t>（</w:t>
            </w:r>
            <w:r>
              <w:rPr>
                <w:rFonts w:ascii="宋体" w:hAnsi="宋体" w:cs="宋体" w:eastAsia="宋体"/>
                <w:sz w:val="20"/>
              </w:rPr>
              <w:t>3）系统巡查：配备专业维护人员，每月对中心系统巡检一次，查看系统是否运转正常。主要包括应用系统、数据库、数据接收、数据同步等几部分组成，确认系统运转状态正常。</w:t>
            </w:r>
          </w:p>
          <w:p>
            <w:pPr>
              <w:pStyle w:val="null3"/>
              <w:ind w:firstLine="400"/>
              <w:jc w:val="both"/>
            </w:pPr>
            <w:r>
              <w:rPr>
                <w:rFonts w:ascii="宋体" w:hAnsi="宋体" w:cs="宋体" w:eastAsia="宋体"/>
                <w:sz w:val="20"/>
              </w:rPr>
              <w:t>（</w:t>
            </w:r>
            <w:r>
              <w:rPr>
                <w:rFonts w:ascii="宋体" w:hAnsi="宋体" w:cs="宋体" w:eastAsia="宋体"/>
                <w:sz w:val="20"/>
              </w:rPr>
              <w:t>4）现场支持：每年提供1-2次现场技术支持或培训。</w:t>
            </w:r>
          </w:p>
          <w:p>
            <w:pPr>
              <w:pStyle w:val="null3"/>
              <w:ind w:firstLine="402"/>
              <w:jc w:val="both"/>
            </w:pPr>
            <w:r>
              <w:rPr>
                <w:rFonts w:ascii="宋体" w:hAnsi="宋体" w:cs="宋体" w:eastAsia="宋体"/>
                <w:sz w:val="20"/>
                <w:b/>
              </w:rPr>
              <w:t>5.高速公路公众出行服务平台维护的技术服务要求包含但不限于如下内容。</w:t>
            </w:r>
          </w:p>
          <w:p>
            <w:pPr>
              <w:pStyle w:val="null3"/>
              <w:ind w:firstLine="400"/>
              <w:jc w:val="both"/>
            </w:pPr>
            <w:r>
              <w:rPr>
                <w:rFonts w:ascii="宋体" w:hAnsi="宋体" w:cs="宋体" w:eastAsia="宋体"/>
                <w:sz w:val="20"/>
              </w:rPr>
              <w:t>（</w:t>
            </w:r>
            <w:r>
              <w:rPr>
                <w:rFonts w:ascii="宋体" w:hAnsi="宋体" w:cs="宋体" w:eastAsia="宋体"/>
                <w:sz w:val="20"/>
              </w:rPr>
              <w:t>1）云服务器租用：租用1年，含RDS，管理后台和APP、微信云服务器，节假日可临时调整带宽；</w:t>
            </w:r>
          </w:p>
          <w:p>
            <w:pPr>
              <w:pStyle w:val="null3"/>
              <w:ind w:firstLine="400"/>
              <w:jc w:val="both"/>
            </w:pPr>
            <w:r>
              <w:rPr>
                <w:rFonts w:ascii="宋体" w:hAnsi="宋体" w:cs="宋体" w:eastAsia="宋体"/>
                <w:sz w:val="20"/>
              </w:rPr>
              <w:t>（</w:t>
            </w:r>
            <w:r>
              <w:rPr>
                <w:rFonts w:ascii="宋体" w:hAnsi="宋体" w:cs="宋体" w:eastAsia="宋体"/>
                <w:sz w:val="20"/>
              </w:rPr>
              <w:t>2）运行维护：包括陕西12122小程序及微信订阅号、陕西高速APP、陕西公众出行管理后台等日常运维，对各项功能模块和对系统账号及系统后台进行按月巡检；</w:t>
            </w:r>
          </w:p>
          <w:p>
            <w:pPr>
              <w:pStyle w:val="null3"/>
              <w:ind w:firstLine="400"/>
              <w:jc w:val="both"/>
            </w:pPr>
            <w:r>
              <w:rPr>
                <w:rFonts w:ascii="宋体" w:hAnsi="宋体" w:cs="宋体" w:eastAsia="宋体"/>
                <w:sz w:val="20"/>
              </w:rPr>
              <w:t>（</w:t>
            </w:r>
            <w:r>
              <w:rPr>
                <w:rFonts w:ascii="宋体" w:hAnsi="宋体" w:cs="宋体" w:eastAsia="宋体"/>
                <w:sz w:val="20"/>
              </w:rPr>
              <w:t>3）数据和网络安全:检查系统中PHP服务、Nginx服务是否异常；检查网络端口是否异常中断和服务器性能监控；对 redis 数据、MYSQL数据同步进行巡检；对数据库连接数进行巡检，是否超出正常标准；保障24小时安全事件响应，在出现紧急重大间题的情况下，运维方应在最短时间内做出故障响应，第一时间由维护人员启动备份系统，同时将指派具有解决故障能力的软件工程师、数据库工程师以及硬件网络工程师组成的紧急服务小组解决问题；配合开展重要时段网络安全保障、网络安全整改和系统相关各类报表填写。</w:t>
            </w:r>
          </w:p>
          <w:p>
            <w:pPr>
              <w:pStyle w:val="null3"/>
              <w:ind w:firstLine="400"/>
              <w:jc w:val="both"/>
            </w:pPr>
            <w:r>
              <w:rPr>
                <w:rFonts w:ascii="宋体" w:hAnsi="宋体" w:cs="宋体" w:eastAsia="宋体"/>
                <w:sz w:val="20"/>
              </w:rPr>
              <w:t>（</w:t>
            </w:r>
            <w:r>
              <w:rPr>
                <w:rFonts w:ascii="宋体" w:hAnsi="宋体" w:cs="宋体" w:eastAsia="宋体"/>
                <w:sz w:val="20"/>
              </w:rPr>
              <w:t>4）信息更新:系统内各模块展示的信息如有更新，按照采购方要求及时更新，48小时内完成更新录入新通车路段基础信息。</w:t>
            </w:r>
          </w:p>
          <w:p>
            <w:pPr>
              <w:pStyle w:val="null3"/>
              <w:ind w:firstLine="400"/>
              <w:jc w:val="both"/>
            </w:pPr>
            <w:r>
              <w:rPr>
                <w:rFonts w:ascii="宋体" w:hAnsi="宋体" w:cs="宋体" w:eastAsia="宋体"/>
                <w:sz w:val="20"/>
              </w:rPr>
              <w:t>（</w:t>
            </w:r>
            <w:r>
              <w:rPr>
                <w:rFonts w:ascii="宋体" w:hAnsi="宋体" w:cs="宋体" w:eastAsia="宋体"/>
                <w:sz w:val="20"/>
              </w:rPr>
              <w:t>5）推文编辑：微信推文图文消息美工编辑48期，每期至少1篇。</w:t>
            </w:r>
          </w:p>
          <w:p>
            <w:pPr>
              <w:pStyle w:val="null3"/>
              <w:ind w:firstLine="400"/>
              <w:jc w:val="both"/>
            </w:pPr>
            <w:r>
              <w:rPr>
                <w:rFonts w:ascii="宋体" w:hAnsi="宋体" w:cs="宋体" w:eastAsia="宋体"/>
                <w:sz w:val="20"/>
              </w:rPr>
              <w:t>（</w:t>
            </w:r>
            <w:r>
              <w:rPr>
                <w:rFonts w:ascii="宋体" w:hAnsi="宋体" w:cs="宋体" w:eastAsia="宋体"/>
                <w:sz w:val="20"/>
              </w:rPr>
              <w:t>6）APP应用商店管理：根据平台审核发布资质要求，完成陕西高速APP的更新发布服务，保障在服务期内 APP可在苹果、应用宝、360、华为、小米、百度等 6 大应用商店正常下载使用。</w:t>
            </w:r>
          </w:p>
          <w:p>
            <w:pPr>
              <w:pStyle w:val="null3"/>
              <w:jc w:val="both"/>
            </w:pPr>
            <w:r>
              <w:rPr>
                <w:rFonts w:ascii="宋体" w:hAnsi="宋体" w:cs="宋体" w:eastAsia="宋体"/>
                <w:sz w:val="20"/>
              </w:rPr>
              <w:t xml:space="preserve">   （</w:t>
            </w:r>
            <w:r>
              <w:rPr>
                <w:rFonts w:ascii="宋体" w:hAnsi="宋体" w:cs="宋体" w:eastAsia="宋体"/>
                <w:sz w:val="20"/>
              </w:rPr>
              <w:t>7）公众号年审：按照微信公众平台要求，按时完成年度审核，并提供审核证明。</w:t>
            </w:r>
          </w:p>
          <w:p>
            <w:pPr>
              <w:pStyle w:val="null3"/>
              <w:jc w:val="both"/>
            </w:pPr>
            <w:r>
              <w:rPr>
                <w:rFonts w:ascii="宋体" w:hAnsi="宋体" w:cs="宋体" w:eastAsia="宋体"/>
                <w:sz w:val="20"/>
                <w:b/>
              </w:rPr>
              <w:t xml:space="preserve"> </w:t>
            </w:r>
          </w:p>
        </w:tc>
      </w:tr>
      <w:tr>
        <w:tc>
          <w:tcPr>
            <w:tcW w:type="dxa" w:w="2769"/>
          </w:tcPr>
          <w:p>
            <w:pPr>
              <w:pStyle w:val="null3"/>
            </w:pPr>
            <w:r>
              <w:rPr/>
              <w:t>★</w:t>
            </w:r>
          </w:p>
        </w:tc>
        <w:tc>
          <w:tcPr>
            <w:tcW w:type="dxa" w:w="2769"/>
          </w:tcPr>
          <w:p>
            <w:pPr>
              <w:pStyle w:val="null3"/>
            </w:pPr>
            <w:r>
              <w:rPr/>
              <w:t>2</w:t>
            </w:r>
          </w:p>
        </w:tc>
        <w:tc>
          <w:tcPr>
            <w:tcW w:type="dxa" w:w="2769"/>
          </w:tcPr>
          <w:p>
            <w:pPr>
              <w:pStyle w:val="null3"/>
              <w:jc w:val="left"/>
            </w:pPr>
            <w:r>
              <w:rPr>
                <w:rFonts w:ascii="宋体" w:hAnsi="宋体" w:cs="宋体" w:eastAsia="宋体"/>
                <w:sz w:val="20"/>
                <w:b/>
              </w:rPr>
              <w:t>技术支持服务</w:t>
            </w:r>
          </w:p>
          <w:p>
            <w:pPr>
              <w:pStyle w:val="null3"/>
              <w:ind w:firstLine="400"/>
              <w:jc w:val="both"/>
            </w:pPr>
            <w:r>
              <w:rPr>
                <w:rFonts w:ascii="宋体" w:hAnsi="宋体" w:cs="宋体" w:eastAsia="宋体"/>
                <w:sz w:val="20"/>
              </w:rPr>
              <w:t>1.供应商应具备完善的技术支持服务体系，并承诺提供 7*24 小时的电话支持服务、故障处理服务等。</w:t>
            </w:r>
          </w:p>
          <w:p>
            <w:pPr>
              <w:pStyle w:val="null3"/>
              <w:ind w:firstLine="400"/>
              <w:jc w:val="both"/>
            </w:pPr>
            <w:r>
              <w:rPr>
                <w:rFonts w:ascii="宋体" w:hAnsi="宋体" w:cs="宋体" w:eastAsia="宋体"/>
                <w:sz w:val="20"/>
              </w:rPr>
              <w:t>2.提供节假日、重大突发事件的现场技术保障、技术支持工作。</w:t>
            </w:r>
          </w:p>
        </w:tc>
      </w:tr>
    </w:tbl>
    <w:p>
      <w:pPr>
        <w:pStyle w:val="null3"/>
        <w:outlineLvl w:val="2"/>
      </w:pPr>
      <w:r>
        <w:rPr>
          <w:sz w:val="28"/>
          <w:b/>
        </w:rPr>
        <w:t>3.2.3人员配置要求</w:t>
      </w:r>
    </w:p>
    <w:p>
      <w:pPr>
        <w:pStyle w:val="null3"/>
      </w:pPr>
      <w:r>
        <w:rPr/>
        <w:t>采购包1：</w:t>
      </w:r>
    </w:p>
    <w:p>
      <w:pPr>
        <w:pStyle w:val="null3"/>
      </w:pPr>
      <w:r>
        <w:rPr/>
        <w:t>在服务过程中，对于供应商向省中心提供服务过程中所指派具体承担服务的人员，应向省中心提供人员名单、简历、学历等相应证明文件，并保证所提供信息的准确性和有效性。省中心有权对派入人员的资格和相关信息进行审核。为确保省中心服务工作的顺利开展，供应商应对服务人员及现场驻场人员素质整体把关，原则上应满足以下条件： 1.拟投入本项目的相关技术人员需对高速公路网、高速公路业务情况充分熟悉，系统运维人员具备系统运维、升级等相关服务从业能力。 2.为保证服务质量及问题及时响应，服务单位需安排不少于2名运维人员作为本项目的常驻专职服务人员，每日8：30至17:30 （包括周末及节假日）在采购人所在地驻场维护；驻场工程师需具备相应的能力保障服务质量（运维人员需具备至少两年以上系统维护保障项目实施经验）。 3.提供项目组人员递交响应文件截止日期前六个月（递交响应文件截止日期当月不计入）任意一个月的社保证明，以加盖供应商公章的复印件为依据。所报项目组人员一旦确定，不能擅自更改。</w:t>
      </w:r>
    </w:p>
    <w:p>
      <w:pPr>
        <w:pStyle w:val="null3"/>
        <w:outlineLvl w:val="2"/>
      </w:pPr>
      <w:r>
        <w:rPr>
          <w:sz w:val="28"/>
          <w:b/>
        </w:rPr>
        <w:t>3.2.4设施设备要求</w:t>
      </w:r>
    </w:p>
    <w:p>
      <w:pPr>
        <w:pStyle w:val="null3"/>
      </w:pPr>
      <w:r>
        <w:rPr/>
        <w:t>采购包1：</w:t>
      </w:r>
    </w:p>
    <w:p>
      <w:pPr>
        <w:pStyle w:val="null3"/>
      </w:pPr>
      <w:r>
        <w:rPr/>
        <w:t>详见“技术参数与性能指标”。</w:t>
      </w:r>
    </w:p>
    <w:p>
      <w:pPr>
        <w:pStyle w:val="null3"/>
        <w:outlineLvl w:val="2"/>
      </w:pPr>
      <w:r>
        <w:rPr>
          <w:sz w:val="28"/>
          <w:b/>
        </w:rPr>
        <w:t>3.2.5其他要求</w:t>
      </w:r>
    </w:p>
    <w:p>
      <w:pPr>
        <w:pStyle w:val="null3"/>
      </w:pPr>
      <w:r>
        <w:rPr/>
        <w:t>采购包1：</w:t>
      </w:r>
    </w:p>
    <w:p>
      <w:pPr>
        <w:pStyle w:val="null3"/>
      </w:pPr>
      <w:r>
        <w:rPr/>
        <w:t>1.分项价格要求 该项目预算为109.00万元，由省级视频云联网监测系统维护升级费用（预算：38万元）、基于ETC门架的交通情况调查应用系统（预算：5万元）、高速公路超速筛查处理系统（预算：22万元）、交通情况调查应用系统（预算：27.5万元）、互联网+高速公路公众出行服务平台（预算：16.5万元）五部分内容组成。 磋商总报价限价：￥1,090,000.00元 单项限价： （1）省级视频云联网监测系统维护升级费用最高限价：380,000.00元 （2）基于ETC门架的交通情况调查应用系统最高限价：50,000.00元 （3）高速公路超速筛查处理系统最高限价：220,000.00元 （4）交通情况调查应用系统最高限价：275,000.00元 （5）互联网+高速公路公众出行服务平台最高限价：165,000.00元 供应商磋商总报价不得超过磋商总报价限价，单项报价不得超过单项限价，凡报价超过限价的将按不实质性响应采购文件处理。 2.资产要求：供应商应在合同签署一个月内梳理所服务的设备（系统）资产台账、网络拓扑、数据存储备份等系统所有资产和设备及软件配置信息提交采购人，并在服务时间到期前1个月根据系统情况进行更新并提交纸质资料。 3.网络安全要求 供应商具备健全的网络安全服务体系，具有网络安全隐患排查、完善加固、预警监测、应对攻击等服务能力，配备具有相关技术能力的网络安全专职人员，为本项目提供漏洞检测、策略配置、加固整改、安全监测、应急处置等保障措施，确保系统安全稳定运行。供应商未发生过重大网络安全事件，按照要求签署网络安全责任协议。 4.保密要求 项目实施过程中所收集、产生的所有与本项目相关的文档、资料，包括文字、图片、表格、数字等各种形式所属权均归属省中心，供应商必须对所涉及到的内容保密，供应商及服务人员应按照要求签署保密协议。</w:t>
      </w:r>
    </w:p>
    <w:p>
      <w:pPr>
        <w:pStyle w:val="null3"/>
        <w:outlineLvl w:val="2"/>
      </w:pPr>
      <w:r>
        <w:rPr>
          <w:sz w:val="28"/>
          <w:b/>
        </w:rPr>
        <w:t>3.3商务要求</w:t>
      </w:r>
    </w:p>
    <w:p>
      <w:pPr>
        <w:pStyle w:val="null3"/>
        <w:outlineLvl w:val="3"/>
      </w:pPr>
      <w:r>
        <w:rPr>
          <w:sz w:val="24"/>
          <w:b/>
        </w:rPr>
        <w:t>3.3.1服务期限</w:t>
      </w:r>
    </w:p>
    <w:p>
      <w:pPr>
        <w:pStyle w:val="null3"/>
      </w:pPr>
      <w:r>
        <w:rPr/>
        <w:t>采购包1：</w:t>
      </w:r>
    </w:p>
    <w:p>
      <w:pPr>
        <w:pStyle w:val="null3"/>
      </w:pPr>
      <w:r>
        <w:rPr/>
        <w:t>省级视频云联网监测系统、基于ETC门架的交通情况调查应用系统、高速公路超速筛查处理系统、互联网+高速公路公众出行服务平台服务时间2024年11月1日至2025年6月30日；交通情况调查应用系统服务时间自合同签订之日起1年。</w:t>
      </w:r>
    </w:p>
    <w:p>
      <w:pPr>
        <w:pStyle w:val="null3"/>
        <w:outlineLvl w:val="3"/>
      </w:pPr>
      <w:r>
        <w:rPr>
          <w:sz w:val="24"/>
          <w:b/>
        </w:rPr>
        <w:t>3.3.2服务地点</w:t>
      </w:r>
    </w:p>
    <w:p>
      <w:pPr>
        <w:pStyle w:val="null3"/>
      </w:pPr>
      <w:r>
        <w:rPr/>
        <w:t>采购包1：</w:t>
      </w:r>
    </w:p>
    <w:p>
      <w:pPr>
        <w:pStyle w:val="null3"/>
      </w:pPr>
      <w:r>
        <w:rPr/>
        <w:t>陕西省高速公路收费中心</w:t>
      </w:r>
    </w:p>
    <w:p>
      <w:pPr>
        <w:pStyle w:val="null3"/>
        <w:outlineLvl w:val="3"/>
      </w:pPr>
      <w:r>
        <w:rPr>
          <w:sz w:val="24"/>
          <w:b/>
        </w:rPr>
        <w:t>3.3.3考核（验收）标准和方法</w:t>
      </w:r>
    </w:p>
    <w:p>
      <w:pPr>
        <w:pStyle w:val="null3"/>
      </w:pPr>
      <w:r>
        <w:rPr/>
        <w:t>采购包1：</w:t>
      </w:r>
    </w:p>
    <w:p>
      <w:pPr>
        <w:pStyle w:val="null3"/>
      </w:pPr>
      <w:r>
        <w:rPr/>
        <w:t>供应商所提供服务应遵循中华人民共和国及地方的有关法律规范，达到采购人使用要求，由采购人组织验收。验收依据：（1）竞争性磋商文件；（2）磋商响应文件；（3）合同文本；（4）国家有关的验收标准及规范。</w:t>
      </w:r>
    </w:p>
    <w:p>
      <w:pPr>
        <w:pStyle w:val="null3"/>
        <w:outlineLvl w:val="3"/>
      </w:pPr>
      <w:r>
        <w:rPr>
          <w:sz w:val="24"/>
          <w:b/>
        </w:rPr>
        <w:t>3.3.4支付方式</w:t>
      </w:r>
    </w:p>
    <w:p>
      <w:pPr>
        <w:pStyle w:val="null3"/>
      </w:pPr>
      <w:r>
        <w:rPr/>
        <w:t>采购包1：</w:t>
      </w:r>
    </w:p>
    <w:p>
      <w:pPr>
        <w:pStyle w:val="null3"/>
      </w:pPr>
      <w:r>
        <w:rPr/>
        <w:t>分期付款</w:t>
      </w:r>
    </w:p>
    <w:p>
      <w:pPr>
        <w:pStyle w:val="null3"/>
        <w:outlineLvl w:val="3"/>
      </w:pPr>
      <w:r>
        <w:rPr>
          <w:sz w:val="24"/>
          <w:b/>
        </w:rPr>
        <w:t>3.3.5支付约定</w:t>
      </w:r>
    </w:p>
    <w:p>
      <w:pPr>
        <w:pStyle w:val="null3"/>
      </w:pPr>
      <w:r>
        <w:rPr/>
        <w:t>采购包1：</w:t>
      </w:r>
      <w:r>
        <w:rPr/>
        <w:t xml:space="preserve"> 付款条件说明： </w:t>
      </w:r>
      <w:r>
        <w:rPr/>
        <w:t>合同签订10日内，供应商开具全额合同发票，采购人收到发票后15日内支付合同价款的65%</w:t>
      </w:r>
      <w:r>
        <w:rPr/>
        <w:t xml:space="preserve"> ，达到付款条件起 </w:t>
      </w:r>
      <w:r>
        <w:rPr/>
        <w:t>15</w:t>
      </w:r>
      <w:r>
        <w:rPr/>
        <w:t xml:space="preserve"> 日内，支付合同总金额的 </w:t>
      </w:r>
      <w:r>
        <w:rPr/>
        <w:t>65.00</w:t>
      </w:r>
      <w:r>
        <w:rPr/>
        <w:t>%。</w:t>
      </w:r>
    </w:p>
    <w:p>
      <w:pPr>
        <w:pStyle w:val="null3"/>
      </w:pPr>
      <w:r>
        <w:rPr/>
        <w:t>采购包1：</w:t>
      </w:r>
      <w:r>
        <w:rPr/>
        <w:t xml:space="preserve"> 付款条件说明： </w:t>
      </w:r>
      <w:r>
        <w:rPr/>
        <w:t>交通情况调查应用系统第一个月维护期结束后</w:t>
      </w:r>
      <w:r>
        <w:rPr/>
        <w:t xml:space="preserve"> ，达到付款条件起 </w:t>
      </w:r>
      <w:r>
        <w:rPr/>
        <w:t>15</w:t>
      </w:r>
      <w:r>
        <w:rPr/>
        <w:t xml:space="preserve"> 日内，支付合同总金额的 </w:t>
      </w:r>
      <w:r>
        <w:rPr/>
        <w:t>0.70</w:t>
      </w:r>
      <w:r>
        <w:rPr/>
        <w:t>%。</w:t>
      </w:r>
    </w:p>
    <w:p>
      <w:pPr>
        <w:pStyle w:val="null3"/>
      </w:pPr>
      <w:r>
        <w:rPr/>
        <w:t>采购包1：</w:t>
      </w:r>
      <w:r>
        <w:rPr/>
        <w:t xml:space="preserve"> 付款条件说明： </w:t>
      </w:r>
      <w:r>
        <w:rPr/>
        <w:t>交通情况调查应用系统第二个月维护期结束后</w:t>
      </w:r>
      <w:r>
        <w:rPr/>
        <w:t xml:space="preserve"> ，达到付款条件起 </w:t>
      </w:r>
      <w:r>
        <w:rPr/>
        <w:t>15</w:t>
      </w:r>
      <w:r>
        <w:rPr/>
        <w:t xml:space="preserve"> 日内，支付合同总金额的 </w:t>
      </w:r>
      <w:r>
        <w:rPr/>
        <w:t>0.70</w:t>
      </w:r>
      <w:r>
        <w:rPr/>
        <w:t>%。</w:t>
      </w:r>
    </w:p>
    <w:p>
      <w:pPr>
        <w:pStyle w:val="null3"/>
      </w:pPr>
      <w:r>
        <w:rPr/>
        <w:t>采购包1：</w:t>
      </w:r>
      <w:r>
        <w:rPr/>
        <w:t xml:space="preserve"> 付款条件说明： </w:t>
      </w:r>
      <w:r>
        <w:rPr/>
        <w:t>交通情况调查应用系统第三个月维护期结束，并提供季度服务报告后</w:t>
      </w:r>
      <w:r>
        <w:rPr/>
        <w:t xml:space="preserve"> ，达到付款条件起 </w:t>
      </w:r>
      <w:r>
        <w:rPr/>
        <w:t>15</w:t>
      </w:r>
      <w:r>
        <w:rPr/>
        <w:t xml:space="preserve"> 日内，支付合同总金额的 </w:t>
      </w:r>
      <w:r>
        <w:rPr/>
        <w:t>0.70</w:t>
      </w:r>
      <w:r>
        <w:rPr/>
        <w:t>%。</w:t>
      </w:r>
    </w:p>
    <w:p>
      <w:pPr>
        <w:pStyle w:val="null3"/>
      </w:pPr>
      <w:r>
        <w:rPr/>
        <w:t>采购包1：</w:t>
      </w:r>
      <w:r>
        <w:rPr/>
        <w:t xml:space="preserve"> 付款条件说明： </w:t>
      </w:r>
      <w:r>
        <w:rPr/>
        <w:t>交通情况调查应用系统第四个月维护期结束后</w:t>
      </w:r>
      <w:r>
        <w:rPr/>
        <w:t xml:space="preserve"> ，达到付款条件起 </w:t>
      </w:r>
      <w:r>
        <w:rPr/>
        <w:t>15</w:t>
      </w:r>
      <w:r>
        <w:rPr/>
        <w:t xml:space="preserve"> 日内，支付合同总金额的 </w:t>
      </w:r>
      <w:r>
        <w:rPr/>
        <w:t>0.70</w:t>
      </w:r>
      <w:r>
        <w:rPr/>
        <w:t>%。</w:t>
      </w:r>
    </w:p>
    <w:p>
      <w:pPr>
        <w:pStyle w:val="null3"/>
      </w:pPr>
      <w:r>
        <w:rPr/>
        <w:t>采购包1：</w:t>
      </w:r>
      <w:r>
        <w:rPr/>
        <w:t xml:space="preserve"> 付款条件说明： </w:t>
      </w:r>
      <w:r>
        <w:rPr/>
        <w:t>交通情况调查应用系统第五个月维护期结束后，省级视频云联网监测系统维护升级、基于ETC门架的交通情况调查应用系统、高速公路超速筛查处理系统、互联网+高速公路公众出行服务平台第一个月维护期结束后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六个月维护期结束，提供季度服务报告后；省级视频云联网监测系统维护升级、基于ETC门架的交通情况调查应用系统、高速公路超速筛查处理系统、互联网+高速公路公众出行服务平台第二个月维护期结束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七个月维护期结束后，省级视频云联网监测系统维护升级、基于ETC门架的交通情况调查应用系统、高速公路超速筛查处理系统、互联网+高速公路公众出行服务平台第三个月维护期结束，并提供季度服务报告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交通情况调查应用系统第八个月维护期结束后，省级视频云联网监测系统维护升级、基于ETC门架的交通情况调查应用系统、高速公路超速筛查处理系统、互联网+高速公路公众出行服务平台第四个月维护期结束后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九个月维护期结束，提供季度服务报告后；省级视频云联网监测系统维护升级、基于ETC门架的交通情况调查应用系统、高速公路超速筛查处理系统、互联网+高速公路公众出行服务平台第五个月维护期结束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十个月维护期结束后，省级视频云联网监测系统维护升级、基于ETC门架的交通情况调查应用系统、高速公路超速筛查处理系统、互联网+高速公路公众出行服务平台第六个月维护期结束，并提供季度服务报告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交通情况调查应用系统第十一个月维护期结束，提供季度服务报告后；省级视频云联网监测系统维护升级、基于ETC门架的交通情况调查应用系统、高速公路超速筛查处理系统、互联网+高速公路公众出行服务平台第七个月维护期结束后</w:t>
      </w:r>
      <w:r>
        <w:rPr/>
        <w:t xml:space="preserve"> ，达到付款条件起 </w:t>
      </w:r>
      <w:r>
        <w:rPr/>
        <w:t>15</w:t>
      </w:r>
      <w:r>
        <w:rPr/>
        <w:t xml:space="preserve"> 日内，支付合同总金额的 </w:t>
      </w:r>
      <w:r>
        <w:rPr/>
        <w:t>4.00</w:t>
      </w:r>
      <w:r>
        <w:rPr/>
        <w:t>%。</w:t>
      </w:r>
    </w:p>
    <w:p>
      <w:pPr>
        <w:pStyle w:val="null3"/>
      </w:pPr>
      <w:r>
        <w:rPr/>
        <w:t>采购包1：</w:t>
      </w:r>
      <w:r>
        <w:rPr/>
        <w:t xml:space="preserve"> 付款条件说明： </w:t>
      </w:r>
      <w:r>
        <w:rPr/>
        <w:t>服务期满，提供所有付报告并通过验收后</w:t>
      </w:r>
      <w:r>
        <w:rPr/>
        <w:t xml:space="preserve"> ，达到付款条件起 </w:t>
      </w:r>
      <w:r>
        <w:rPr/>
        <w:t>15</w:t>
      </w:r>
      <w:r>
        <w:rPr/>
        <w:t xml:space="preserve"> 日内，支付合同总金额的 </w:t>
      </w:r>
      <w:r>
        <w:rPr/>
        <w:t>4.20</w:t>
      </w:r>
      <w:r>
        <w:rPr/>
        <w:t>%。</w:t>
      </w:r>
    </w:p>
    <w:p>
      <w:pPr>
        <w:pStyle w:val="null3"/>
        <w:outlineLvl w:val="3"/>
      </w:pPr>
      <w:r>
        <w:rPr>
          <w:sz w:val="24"/>
          <w:b/>
        </w:rPr>
        <w:t>3.3.6违约责任及解决争议的方法</w:t>
      </w:r>
    </w:p>
    <w:p>
      <w:pPr>
        <w:pStyle w:val="null3"/>
      </w:pPr>
      <w:r>
        <w:rPr/>
        <w:t>采购包1：</w:t>
      </w:r>
    </w:p>
    <w:p>
      <w:pPr>
        <w:pStyle w:val="null3"/>
      </w:pPr>
      <w:r>
        <w:rPr/>
        <w:t>1.日常系统维护违约责任： （1）应做好巡检，形成巡检记录，因巡检不到位造成故障不能及时发现处置，每次扣除服务费1000元。 （2）节假日、重要活动等特殊时期的保障，应加强值班值守，若发现有人擅离职守，发现1次，每次扣除服务费2000元；未按要求提前进行系统安全检查，由于系统安全问题，造成系统不能正常运行，每次扣除服务费2000元。 （3）未经采购人同意，供应商擅自减少、变更驻场人员，每次扣除维护服务费5000元；供应商驻场人员和节日值班人员擅离职守，迟到、早退、脱岗、未提前请假不到岗的，每人每次扣除维护服务费5000元。 2.网络安全违约责任： 供应商应做到以下要求: (1)彻底清理系统隐患。全面排查清理系统网络安全隐患，确保中高危隐患彻底清零。 (2)全面摸清现网资产。全面摸清系统资产，形成资产台账，定期维护更新资产，确保资产信息准确。 (3)彻底消除口令问题。定期开展口令隐患排查，严格系统密码存储管理，确保口令问题彻底消除。 (4)及时升级安装补丁。定期开展漏洞扫描、渗透测试等工作，及时升级系统存在漏洞的软件，安装最新补丁和杀毒软件，确保系统软件升至最新版本。 (5)强化系统监测能力。充分利用现有监测平台或借助第三方监测手段做好软件/设备状态监测，及时感知并处置异常网络安全行为，确保系统安全运行。 (6)加强系统安全防护。选用技术能力强、安全业务精湛、经验丰富、责任心强的人员做好系统安全防护，采取切实有效的措施，能够及时发现系统异常攻击行为，做好系统安全防守。 (7)做好日常管理工作。完善运维机制，规范运维程序，形成运维记录，做好设备日常巡检、加强意识技能培训开展安全专项服务、备份系统数据配置、做好监测预警处置等日常网络安全工作。 若供应商因上述(1)至(7)条款落实不到位，造成部、省、公安、中心等有关部门通报时，发现并通报1次，扣除服务费5000元;造成网络安全事件时，将按照国家，部、省、中心网络安全相关规定，根据造成的实际损失、影响，上报有关部门同时进行责任追究。</w:t>
      </w:r>
    </w:p>
    <w:p>
      <w:pPr>
        <w:pStyle w:val="null3"/>
        <w:outlineLvl w:val="2"/>
      </w:pPr>
      <w:r>
        <w:rPr>
          <w:sz w:val="28"/>
          <w:b/>
        </w:rPr>
        <w:t>3.4其他要求</w:t>
      </w:r>
    </w:p>
    <w:p>
      <w:pPr>
        <w:pStyle w:val="null3"/>
      </w:pPr>
      <w:r>
        <w:rPr/>
        <w:t>无</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t>供应商需在项目电子化交易系统中按要求填写《投标函》完成承诺并进行电子签章。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参与的供应商（联合体）服务全部由符合政策要求的中小企业承接。</w:t>
            </w:r>
          </w:p>
        </w:tc>
        <w:tc>
          <w:tcPr>
            <w:tcW w:type="dxa" w:w="1661"/>
          </w:tcPr>
          <w:p>
            <w:pPr>
              <w:pStyle w:val="null3"/>
            </w:pPr>
            <w:r>
              <w:rPr/>
              <w:t>中小企业声明函 残疾人福利性单位声明函 监狱企业的证明文件</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信用记录</w:t>
            </w:r>
          </w:p>
        </w:tc>
        <w:tc>
          <w:tcPr>
            <w:tcW w:type="dxa" w:w="3322"/>
          </w:tcPr>
          <w:p>
            <w:pPr>
              <w:pStyle w:val="null3"/>
            </w:pPr>
            <w:r>
              <w:rPr/>
              <w:t>供应商不得在“信用中国” 网站被列入失信被执行人名单、重大税收违法案件当事人名单和不得在“中国政府采购网”被列入政府采购严重违法失信行为记录名单。</w:t>
            </w:r>
          </w:p>
        </w:tc>
        <w:tc>
          <w:tcPr>
            <w:tcW w:type="dxa" w:w="1661"/>
          </w:tcPr>
          <w:p>
            <w:pPr>
              <w:pStyle w:val="null3"/>
            </w:pPr>
            <w:r>
              <w:rPr/>
              <w:t>资格证明文件</w:t>
            </w:r>
          </w:p>
        </w:tc>
      </w:tr>
      <w:tr>
        <w:tc>
          <w:tcPr>
            <w:tcW w:type="dxa" w:w="831"/>
          </w:tcPr>
          <w:p>
            <w:pPr>
              <w:pStyle w:val="null3"/>
            </w:pPr>
            <w:r>
              <w:rPr/>
              <w:t>2</w:t>
            </w:r>
          </w:p>
        </w:tc>
        <w:tc>
          <w:tcPr>
            <w:tcW w:type="dxa" w:w="2492"/>
          </w:tcPr>
          <w:p>
            <w:pPr>
              <w:pStyle w:val="null3"/>
            </w:pPr>
            <w:r>
              <w:rPr/>
              <w:t>法定代表人委托授权书\身份证明</w:t>
            </w:r>
          </w:p>
        </w:tc>
        <w:tc>
          <w:tcPr>
            <w:tcW w:type="dxa" w:w="3322"/>
          </w:tcPr>
          <w:p>
            <w:pPr>
              <w:pStyle w:val="null3"/>
            </w:pPr>
            <w:r>
              <w:rPr/>
              <w:t>供应商应授权合法的人员参加磋商全过程，其中法定代表人直接参加磋商的，须出具法定代表人身份证明，并与营业执照上信息一致。法定代表人授权代表参加磋商的，须出具法定代表人授权委托书。（其他组织或自然人参照执行）</w:t>
            </w:r>
          </w:p>
        </w:tc>
        <w:tc>
          <w:tcPr>
            <w:tcW w:type="dxa" w:w="1661"/>
          </w:tcPr>
          <w:p>
            <w:pPr>
              <w:pStyle w:val="null3"/>
            </w:pPr>
            <w:r>
              <w:rPr/>
              <w:t>资格证明文件</w:t>
            </w:r>
          </w:p>
        </w:tc>
      </w:tr>
      <w:tr>
        <w:tc>
          <w:tcPr>
            <w:tcW w:type="dxa" w:w="831"/>
          </w:tcPr>
          <w:p>
            <w:pPr>
              <w:pStyle w:val="null3"/>
            </w:pPr>
            <w:r>
              <w:rPr/>
              <w:t>3</w:t>
            </w:r>
          </w:p>
        </w:tc>
        <w:tc>
          <w:tcPr>
            <w:tcW w:type="dxa" w:w="2492"/>
          </w:tcPr>
          <w:p>
            <w:pPr>
              <w:pStyle w:val="null3"/>
            </w:pPr>
            <w:r>
              <w:rPr/>
              <w:t>有效的主体资格证明</w:t>
            </w:r>
          </w:p>
        </w:tc>
        <w:tc>
          <w:tcPr>
            <w:tcW w:type="dxa" w:w="3322"/>
          </w:tcPr>
          <w:p>
            <w:pPr>
              <w:pStyle w:val="null3"/>
            </w:pPr>
            <w:r>
              <w:rPr/>
              <w:t>提供合格有效的法人或者其他组织的营业执照等证明文件或自然人的身份证明。</w:t>
            </w:r>
          </w:p>
        </w:tc>
        <w:tc>
          <w:tcPr>
            <w:tcW w:type="dxa" w:w="1661"/>
          </w:tcPr>
          <w:p>
            <w:pPr>
              <w:pStyle w:val="null3"/>
            </w:pPr>
            <w:r>
              <w:rPr/>
              <w:t>资格证明文件</w:t>
            </w:r>
          </w:p>
        </w:tc>
      </w:tr>
      <w:tr>
        <w:tc>
          <w:tcPr>
            <w:tcW w:type="dxa" w:w="831"/>
          </w:tcPr>
          <w:p>
            <w:pPr>
              <w:pStyle w:val="null3"/>
            </w:pPr>
            <w:r>
              <w:rPr/>
              <w:t>4</w:t>
            </w:r>
          </w:p>
        </w:tc>
        <w:tc>
          <w:tcPr>
            <w:tcW w:type="dxa" w:w="2492"/>
          </w:tcPr>
          <w:p>
            <w:pPr>
              <w:pStyle w:val="null3"/>
            </w:pPr>
            <w:r>
              <w:rPr/>
              <w:t>财务状况报告</w:t>
            </w:r>
          </w:p>
        </w:tc>
        <w:tc>
          <w:tcPr>
            <w:tcW w:type="dxa" w:w="3322"/>
          </w:tcPr>
          <w:p>
            <w:pPr>
              <w:pStyle w:val="null3"/>
            </w:pPr>
            <w:r>
              <w:rPr/>
              <w:t>（1）提供2022年度或2023年度的财务审计报告；（2）提供递交响应文件截止日期前三个月内（递交响应文件截止时间当月不计入）其基本存款账户开户银行出具的资信证明及基本存款账户开户许可证（基本账户信息）（3）财政部门认可的政府采购专业担保机构出具的担保函(附开户许可证或开户备案证明或基本账户信息)。以上三形式的证明资料提供任何一种即可。（事业法人仅提供部门决算报告即可）</w:t>
            </w:r>
          </w:p>
        </w:tc>
        <w:tc>
          <w:tcPr>
            <w:tcW w:type="dxa" w:w="1661"/>
          </w:tcPr>
          <w:p>
            <w:pPr>
              <w:pStyle w:val="null3"/>
            </w:pPr>
            <w:r>
              <w:rPr/>
              <w:t>资格证明文件</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提供递交响应文件截止日期前十二个月（递交响应文件截止时间当月不计入）内已缴存的至少一个月的纳税证明或完税证明，依法免税的单位应提供相关证明材料。</w:t>
            </w:r>
          </w:p>
        </w:tc>
        <w:tc>
          <w:tcPr>
            <w:tcW w:type="dxa" w:w="1661"/>
          </w:tcPr>
          <w:p>
            <w:pPr>
              <w:pStyle w:val="null3"/>
            </w:pPr>
            <w:r>
              <w:rPr/>
              <w:t>资格证明文件</w:t>
            </w:r>
          </w:p>
        </w:tc>
      </w:tr>
      <w:tr>
        <w:tc>
          <w:tcPr>
            <w:tcW w:type="dxa" w:w="831"/>
          </w:tcPr>
          <w:p>
            <w:pPr>
              <w:pStyle w:val="null3"/>
            </w:pPr>
            <w:r>
              <w:rPr/>
              <w:t>6</w:t>
            </w:r>
          </w:p>
        </w:tc>
        <w:tc>
          <w:tcPr>
            <w:tcW w:type="dxa" w:w="2492"/>
          </w:tcPr>
          <w:p>
            <w:pPr>
              <w:pStyle w:val="null3"/>
            </w:pPr>
            <w:r>
              <w:rPr/>
              <w:t>社会保障资金缴纳证明</w:t>
            </w:r>
          </w:p>
        </w:tc>
        <w:tc>
          <w:tcPr>
            <w:tcW w:type="dxa" w:w="3322"/>
          </w:tcPr>
          <w:p>
            <w:pPr>
              <w:pStyle w:val="null3"/>
            </w:pPr>
            <w:r>
              <w:rPr/>
              <w:t>提供递交响应文件截止日期前十二个月内（递交响应文件截止时间当月不计入）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t>资格证明文件</w:t>
            </w:r>
          </w:p>
        </w:tc>
      </w:tr>
      <w:tr>
        <w:tc>
          <w:tcPr>
            <w:tcW w:type="dxa" w:w="831"/>
          </w:tcPr>
          <w:p>
            <w:pPr>
              <w:pStyle w:val="null3"/>
            </w:pPr>
            <w:r>
              <w:rPr/>
              <w:t>7</w:t>
            </w:r>
          </w:p>
        </w:tc>
        <w:tc>
          <w:tcPr>
            <w:tcW w:type="dxa" w:w="2492"/>
          </w:tcPr>
          <w:p>
            <w:pPr>
              <w:pStyle w:val="null3"/>
            </w:pPr>
            <w:r>
              <w:rPr/>
              <w:t>无重大违法记录声明</w:t>
            </w:r>
          </w:p>
        </w:tc>
        <w:tc>
          <w:tcPr>
            <w:tcW w:type="dxa" w:w="3322"/>
          </w:tcPr>
          <w:p>
            <w:pPr>
              <w:pStyle w:val="null3"/>
            </w:pPr>
            <w:r>
              <w:rPr/>
              <w:t>近3年内在经营活动中没有重大违法记录的书面声明。</w:t>
            </w:r>
          </w:p>
        </w:tc>
        <w:tc>
          <w:tcPr>
            <w:tcW w:type="dxa" w:w="1661"/>
          </w:tcPr>
          <w:p>
            <w:pPr>
              <w:pStyle w:val="null3"/>
            </w:pPr>
            <w:r>
              <w:rPr/>
              <w:t>资格证明文件</w:t>
            </w:r>
          </w:p>
        </w:tc>
      </w:tr>
      <w:tr>
        <w:tc>
          <w:tcPr>
            <w:tcW w:type="dxa" w:w="831"/>
          </w:tcPr>
          <w:p>
            <w:pPr>
              <w:pStyle w:val="null3"/>
            </w:pPr>
            <w:r>
              <w:rPr/>
              <w:t>8</w:t>
            </w:r>
          </w:p>
        </w:tc>
        <w:tc>
          <w:tcPr>
            <w:tcW w:type="dxa" w:w="2492"/>
          </w:tcPr>
          <w:p>
            <w:pPr>
              <w:pStyle w:val="null3"/>
            </w:pPr>
            <w:r>
              <w:rPr/>
              <w:t>具有履行合同所必需的设备和专业技术能力</w:t>
            </w:r>
          </w:p>
        </w:tc>
        <w:tc>
          <w:tcPr>
            <w:tcW w:type="dxa" w:w="3322"/>
          </w:tcPr>
          <w:p>
            <w:pPr>
              <w:pStyle w:val="null3"/>
            </w:pPr>
            <w:r>
              <w:rPr/>
              <w:t>提交履行合同所必需的设备和专业技术能力的书面声明。</w:t>
            </w:r>
          </w:p>
        </w:tc>
        <w:tc>
          <w:tcPr>
            <w:tcW w:type="dxa" w:w="1661"/>
          </w:tcPr>
          <w:p>
            <w:pPr>
              <w:pStyle w:val="null3"/>
            </w:pPr>
            <w:r>
              <w:rPr/>
              <w:t>资格证明文件</w:t>
            </w:r>
          </w:p>
        </w:tc>
      </w:tr>
      <w:tr>
        <w:tc>
          <w:tcPr>
            <w:tcW w:type="dxa" w:w="831"/>
          </w:tcPr>
          <w:p>
            <w:pPr>
              <w:pStyle w:val="null3"/>
            </w:pPr>
            <w:r>
              <w:rPr/>
              <w:t>9</w:t>
            </w:r>
          </w:p>
        </w:tc>
        <w:tc>
          <w:tcPr>
            <w:tcW w:type="dxa" w:w="2492"/>
          </w:tcPr>
          <w:p>
            <w:pPr>
              <w:pStyle w:val="null3"/>
            </w:pPr>
            <w:r>
              <w:rPr/>
              <w:t>本项目不接受联合体响应</w:t>
            </w:r>
          </w:p>
        </w:tc>
        <w:tc>
          <w:tcPr>
            <w:tcW w:type="dxa" w:w="3322"/>
          </w:tcPr>
          <w:p>
            <w:pPr>
              <w:pStyle w:val="null3"/>
            </w:pPr>
            <w:r>
              <w:rPr/>
              <w:t>非联合体投标承诺书。</w:t>
            </w:r>
          </w:p>
        </w:tc>
        <w:tc>
          <w:tcPr>
            <w:tcW w:type="dxa" w:w="1661"/>
          </w:tcPr>
          <w:p>
            <w:pPr>
              <w:pStyle w:val="null3"/>
            </w:pPr>
            <w:r>
              <w:rPr/>
              <w:t>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t xml:space="preserve"> </w:t>
        <w:br/>
        <w:br w:type="page"/>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三、磋商小组按照磋商文件规定的磋商程序、评分方法和标准进行评审，并独立履行下列职责：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（五）起草资格审查报告、评审报告并进行签署；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 xml:space="preserve"> 6.3.2符合性审查</w:t>
      </w:r>
    </w:p>
    <w:p>
      <w:pPr>
        <w:pStyle w:val="null3"/>
        <w:ind w:firstLine="480"/>
      </w:pPr>
      <w:r>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t xml:space="preserve"> 二、在符合性审查过程中，如果出现磋商小组成员意见不一致的情况，按照少数服从多数的原则确定，但不得违背政府采购基本原则和磋商文件规定。</w:t>
      </w:r>
    </w:p>
    <w:p>
      <w:pPr>
        <w:pStyle w:val="null3"/>
        <w:ind w:firstLine="480"/>
      </w:pPr>
      <w:r>
        <w:rPr/>
        <w:t>三、磋商小组对所有响应文件进行审查后，确定参加磋商的供应商名单。</w:t>
      </w:r>
    </w:p>
    <w:p>
      <w:pPr>
        <w:pStyle w:val="null3"/>
        <w:ind w:firstLine="480"/>
      </w:pPr>
      <w:r>
        <w:rPr/>
        <w:t>符合性审查标准见下表：</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1.在磋商过程中，磋商小组认为供应商报价低于采购预算50%或者低于其他有效供应商报价算术平均价40%，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t>报价明细表 标的清单 报价表</w:t>
            </w:r>
          </w:p>
        </w:tc>
      </w:tr>
      <w:tr>
        <w:tc>
          <w:tcPr>
            <w:tcW w:type="dxa" w:w="831"/>
          </w:tcPr>
          <w:p>
            <w:pPr>
              <w:pStyle w:val="null3"/>
            </w:pPr>
            <w:r>
              <w:rPr/>
              <w:t>2</w:t>
            </w:r>
          </w:p>
        </w:tc>
        <w:tc>
          <w:tcPr>
            <w:tcW w:type="dxa" w:w="2492"/>
          </w:tcPr>
          <w:p>
            <w:pPr>
              <w:pStyle w:val="null3"/>
            </w:pPr>
            <w:r>
              <w:rPr/>
              <w:t>供应商名称</w:t>
            </w:r>
          </w:p>
        </w:tc>
        <w:tc>
          <w:tcPr>
            <w:tcW w:type="dxa" w:w="3322"/>
          </w:tcPr>
          <w:p>
            <w:pPr>
              <w:pStyle w:val="null3"/>
            </w:pPr>
            <w:r>
              <w:rPr/>
              <w:t>供应商名称和公章、营业执照一致</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人员简历表 残疾人福利性单位声明函 报价明细表 服务方案 标的清单 响应函 监狱企业的证明文件</w:t>
            </w:r>
          </w:p>
        </w:tc>
      </w:tr>
      <w:tr>
        <w:tc>
          <w:tcPr>
            <w:tcW w:type="dxa" w:w="831"/>
          </w:tcPr>
          <w:p>
            <w:pPr>
              <w:pStyle w:val="null3"/>
            </w:pPr>
            <w:r>
              <w:rPr/>
              <w:t>3</w:t>
            </w:r>
          </w:p>
        </w:tc>
        <w:tc>
          <w:tcPr>
            <w:tcW w:type="dxa" w:w="2492"/>
          </w:tcPr>
          <w:p>
            <w:pPr>
              <w:pStyle w:val="null3"/>
            </w:pPr>
            <w:r>
              <w:rPr/>
              <w:t>磋商报价</w:t>
            </w:r>
          </w:p>
        </w:tc>
        <w:tc>
          <w:tcPr>
            <w:tcW w:type="dxa" w:w="3322"/>
          </w:tcPr>
          <w:p>
            <w:pPr>
              <w:pStyle w:val="null3"/>
            </w:pPr>
            <w:r>
              <w:rPr/>
              <w:t>未超过项目最高限价，无选择性报价</w:t>
            </w:r>
          </w:p>
        </w:tc>
        <w:tc>
          <w:tcPr>
            <w:tcW w:type="dxa" w:w="1661"/>
          </w:tcPr>
          <w:p>
            <w:pPr>
              <w:pStyle w:val="null3"/>
            </w:pPr>
            <w:r>
              <w:rPr/>
              <w:t>报价明细表 标的清单 报价表</w:t>
            </w:r>
          </w:p>
        </w:tc>
      </w:tr>
      <w:tr>
        <w:tc>
          <w:tcPr>
            <w:tcW w:type="dxa" w:w="831"/>
          </w:tcPr>
          <w:p>
            <w:pPr>
              <w:pStyle w:val="null3"/>
            </w:pPr>
            <w:r>
              <w:rPr/>
              <w:t>4</w:t>
            </w:r>
          </w:p>
        </w:tc>
        <w:tc>
          <w:tcPr>
            <w:tcW w:type="dxa" w:w="2492"/>
          </w:tcPr>
          <w:p>
            <w:pPr>
              <w:pStyle w:val="null3"/>
            </w:pPr>
            <w:r>
              <w:rPr/>
              <w:t>磋商有效期</w:t>
            </w:r>
          </w:p>
        </w:tc>
        <w:tc>
          <w:tcPr>
            <w:tcW w:type="dxa" w:w="3322"/>
          </w:tcPr>
          <w:p>
            <w:pPr>
              <w:pStyle w:val="null3"/>
            </w:pPr>
            <w:r>
              <w:rPr/>
              <w:t>自磋商响应文件递交截止之日起90个日历日</w:t>
            </w:r>
          </w:p>
        </w:tc>
        <w:tc>
          <w:tcPr>
            <w:tcW w:type="dxa" w:w="1661"/>
          </w:tcPr>
          <w:p>
            <w:pPr>
              <w:pStyle w:val="null3"/>
            </w:pPr>
            <w:r>
              <w:rPr/>
              <w:t>响应函</w:t>
            </w:r>
          </w:p>
        </w:tc>
      </w:tr>
      <w:tr>
        <w:tc>
          <w:tcPr>
            <w:tcW w:type="dxa" w:w="831"/>
          </w:tcPr>
          <w:p>
            <w:pPr>
              <w:pStyle w:val="null3"/>
            </w:pPr>
            <w:r>
              <w:rPr/>
              <w:t>5</w:t>
            </w:r>
          </w:p>
        </w:tc>
        <w:tc>
          <w:tcPr>
            <w:tcW w:type="dxa" w:w="2492"/>
          </w:tcPr>
          <w:p>
            <w:pPr>
              <w:pStyle w:val="null3"/>
            </w:pPr>
            <w:r>
              <w:rPr/>
              <w:t>磋商响应文件签署、盖章有效性</w:t>
            </w:r>
          </w:p>
        </w:tc>
        <w:tc>
          <w:tcPr>
            <w:tcW w:type="dxa" w:w="3322"/>
          </w:tcPr>
          <w:p>
            <w:pPr>
              <w:pStyle w:val="null3"/>
            </w:pPr>
            <w:r>
              <w:rPr/>
              <w:t>磋商响应文件的签署、盖章符合竞争性磋商文件要求</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人员简历表 残疾人福利性单位声明函 报价明细表 服务方案 标的清单 响应函 监狱企业的证明文件</w:t>
            </w:r>
          </w:p>
        </w:tc>
      </w:tr>
      <w:tr>
        <w:tc>
          <w:tcPr>
            <w:tcW w:type="dxa" w:w="831"/>
          </w:tcPr>
          <w:p>
            <w:pPr>
              <w:pStyle w:val="null3"/>
            </w:pPr>
            <w:r>
              <w:rPr/>
              <w:t>6</w:t>
            </w:r>
          </w:p>
        </w:tc>
        <w:tc>
          <w:tcPr>
            <w:tcW w:type="dxa" w:w="2492"/>
          </w:tcPr>
          <w:p>
            <w:pPr>
              <w:pStyle w:val="null3"/>
            </w:pPr>
            <w:r>
              <w:rPr/>
              <w:t>服务期</w:t>
            </w:r>
          </w:p>
        </w:tc>
        <w:tc>
          <w:tcPr>
            <w:tcW w:type="dxa" w:w="3322"/>
          </w:tcPr>
          <w:p>
            <w:pPr>
              <w:pStyle w:val="null3"/>
            </w:pPr>
            <w:r>
              <w:rPr/>
              <w:t>符合竞争性磋商文件要求</w:t>
            </w:r>
          </w:p>
        </w:tc>
        <w:tc>
          <w:tcPr>
            <w:tcW w:type="dxa" w:w="1661"/>
          </w:tcPr>
          <w:p>
            <w:pPr>
              <w:pStyle w:val="null3"/>
            </w:pPr>
            <w:r>
              <w:rPr/>
              <w:t>商务响应偏离表 标的清单 报价表</w:t>
            </w:r>
          </w:p>
        </w:tc>
      </w:tr>
      <w:tr>
        <w:tc>
          <w:tcPr>
            <w:tcW w:type="dxa" w:w="831"/>
          </w:tcPr>
          <w:p>
            <w:pPr>
              <w:pStyle w:val="null3"/>
            </w:pPr>
            <w:r>
              <w:rPr/>
              <w:t>7</w:t>
            </w:r>
          </w:p>
        </w:tc>
        <w:tc>
          <w:tcPr>
            <w:tcW w:type="dxa" w:w="2492"/>
          </w:tcPr>
          <w:p>
            <w:pPr>
              <w:pStyle w:val="null3"/>
            </w:pPr>
            <w:r>
              <w:rPr/>
              <w:t>对磋商文件响应程度</w:t>
            </w:r>
          </w:p>
        </w:tc>
        <w:tc>
          <w:tcPr>
            <w:tcW w:type="dxa" w:w="3322"/>
          </w:tcPr>
          <w:p>
            <w:pPr>
              <w:pStyle w:val="null3"/>
            </w:pPr>
            <w:r>
              <w:rPr/>
              <w:t>要求实质性条款完全响应，不能有采购人不能接受的附加条件</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人员简历表 残疾人福利性单位声明函 报价明细表 服务方案 标的清单 响应函 监狱企业的证明文件</w:t>
            </w:r>
          </w:p>
        </w:tc>
      </w:tr>
      <w:tr>
        <w:tc>
          <w:tcPr>
            <w:tcW w:type="dxa" w:w="831"/>
          </w:tcPr>
          <w:p>
            <w:pPr>
              <w:pStyle w:val="null3"/>
            </w:pPr>
            <w:r>
              <w:rPr/>
              <w:t>8</w:t>
            </w:r>
          </w:p>
        </w:tc>
        <w:tc>
          <w:tcPr>
            <w:tcW w:type="dxa" w:w="2492"/>
          </w:tcPr>
          <w:p>
            <w:pPr>
              <w:pStyle w:val="null3"/>
            </w:pPr>
            <w:r>
              <w:rPr/>
              <w:t>投标保证金</w:t>
            </w:r>
          </w:p>
        </w:tc>
        <w:tc>
          <w:tcPr>
            <w:tcW w:type="dxa" w:w="3322"/>
          </w:tcPr>
          <w:p>
            <w:pPr>
              <w:pStyle w:val="null3"/>
            </w:pPr>
            <w:r>
              <w:rPr/>
              <w:t>磋商保证金缴纳凭证</w:t>
            </w:r>
          </w:p>
        </w:tc>
        <w:tc>
          <w:tcPr>
            <w:tcW w:type="dxa" w:w="1661"/>
          </w:tcPr>
          <w:p>
            <w:pPr>
              <w:pStyle w:val="null3"/>
            </w:pPr>
            <w:r>
              <w:rPr/>
              <w:t>投标保证金汇款凭证及基本账户信息</w:t>
            </w:r>
          </w:p>
        </w:tc>
      </w:tr>
      <w:tr>
        <w:tc>
          <w:tcPr>
            <w:tcW w:type="dxa" w:w="831"/>
          </w:tcPr>
          <w:p>
            <w:pPr>
              <w:pStyle w:val="null3"/>
            </w:pPr>
            <w:r>
              <w:rPr/>
              <w:t>9</w:t>
            </w:r>
          </w:p>
        </w:tc>
        <w:tc>
          <w:tcPr>
            <w:tcW w:type="dxa" w:w="2492"/>
          </w:tcPr>
          <w:p>
            <w:pPr>
              <w:pStyle w:val="null3"/>
            </w:pPr>
            <w:r>
              <w:rPr/>
              <w:t>其他</w:t>
            </w:r>
          </w:p>
        </w:tc>
        <w:tc>
          <w:tcPr>
            <w:tcW w:type="dxa" w:w="3322"/>
          </w:tcPr>
          <w:p>
            <w:pPr>
              <w:pStyle w:val="null3"/>
            </w:pPr>
            <w:r>
              <w:rPr/>
              <w:t>不存在法律、法规和磋商文件规定的其他无效情况</w:t>
            </w:r>
          </w:p>
        </w:tc>
        <w:tc>
          <w:tcPr>
            <w:tcW w:type="dxa" w:w="1661"/>
          </w:tcPr>
          <w:p>
            <w:pPr>
              <w:pStyle w:val="null3"/>
            </w:pPr>
            <w:r>
              <w:rPr/>
              <w:t>商务响应偏离表 供应商认为需要提供的其他资料 中小企业声明函 投标保证金汇款凭证及基本账户信息 报价表 响应文件封面 资格证明文件 类似项目业绩 人员简历表 残疾人福利性单位声明函 报价明细表 服务方案 标的清单 响应函 监狱企业的证明文件</w:t>
            </w:r>
          </w:p>
        </w:tc>
      </w:tr>
    </w:tbl>
    <w:p>
      <w:pPr>
        <w:pStyle w:val="null3"/>
        <w:outlineLvl w:val="3"/>
      </w:pPr>
      <w:r>
        <w:rPr>
          <w:sz w:val="24"/>
          <w:b/>
        </w:rPr>
        <w:t>6.3.3磋商</w:t>
      </w:r>
    </w:p>
    <w:p>
      <w:pPr>
        <w:pStyle w:val="null3"/>
        <w:ind w:firstLine="480"/>
      </w:pPr>
      <w:r>
        <w:rPr/>
        <w:t>一、 磋商小组按照磋商文件的规定与邀请参加磋商的供应商分别进行磋商，磋商顺序由磋商小组确定。</w:t>
      </w:r>
    </w:p>
    <w:p>
      <w:pPr>
        <w:pStyle w:val="null3"/>
        <w:ind w:firstLine="480"/>
      </w:pPr>
      <w:r>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jc w:val="left"/>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磋商小组应当按照磋商文件规定的评标细则及标准，对符合性检查合格的响应文件进行商务和技术评估，综合比较和评价。</w:t>
      </w:r>
    </w:p>
    <w:p>
      <w:pPr>
        <w:pStyle w:val="null3"/>
        <w:outlineLvl w:val="3"/>
      </w:pPr>
      <w:r>
        <w:rPr>
          <w:sz w:val="24"/>
          <w:b/>
        </w:rPr>
        <w:t xml:space="preserve"> 6.3.7复核</w:t>
      </w:r>
    </w:p>
    <w:p>
      <w:pPr>
        <w:pStyle w:val="null3"/>
        <w:ind w:firstLine="480"/>
      </w:pPr>
      <w:r>
        <w:rPr/>
        <w:t xml:space="preserve"> 评审结束后，磋商小组应当进行复核，特别要对拟推荐为成交候选供应商的、报价最低的、响应文件被认定为无效的进行重点复核。</w:t>
      </w:r>
    </w:p>
    <w:p>
      <w:pPr>
        <w:pStyle w:val="null3"/>
        <w:ind w:firstLine="480"/>
      </w:pPr>
      <w:r>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sz w:val="24"/>
          <w:b/>
        </w:rPr>
        <w:t>6.3.8推荐成交候选供应商</w:t>
      </w:r>
    </w:p>
    <w:p>
      <w:pPr>
        <w:pStyle w:val="null3"/>
        <w:ind w:firstLine="480"/>
      </w:pPr>
      <w:r>
        <w:rPr/>
        <w:t xml:space="preserve"> 磋商小组应当根据综合评分情况，按照评审得分由高到低顺序推荐如下成交候选供应商，并编写磋商报告。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6.3.9编写磋商报告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6.3.10评审争议处理规则</w:t>
      </w:r>
    </w:p>
    <w:p>
      <w:pPr>
        <w:pStyle w:val="null3"/>
        <w:ind w:firstLine="480"/>
      </w:pPr>
      <w:r>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sz w:val="28"/>
          <w:b/>
        </w:rPr>
        <w:t>6.4评审办法及标准</w:t>
      </w:r>
    </w:p>
    <w:p>
      <w:pPr>
        <w:pStyle w:val="null3"/>
        <w:ind w:firstLine="480"/>
      </w:pPr>
      <w:r>
        <w:rPr/>
        <w:t xml:space="preserve"> 一、磋商小组只对通过资格审查的响应文件，根据磋商文件的要求采用相同的评审程序、评分办法及标准进行评价和比较。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详细评审80.0000分</w:t>
            </w:r>
          </w:p>
          <w:p>
            <w:pPr>
              <w:pStyle w:val="null3"/>
            </w:pPr>
            <w:r>
              <w:rPr/>
              <w:t>报价得分20.0000分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项目需求分析</w:t>
            </w:r>
          </w:p>
        </w:tc>
        <w:tc>
          <w:tcPr>
            <w:tcW w:type="dxa" w:w="2492"/>
          </w:tcPr>
          <w:p>
            <w:pPr>
              <w:pStyle w:val="null3"/>
            </w:pPr>
            <w:r>
              <w:rPr/>
              <w:t>根据供应商针对本项目具体内容、软硬件资源、运行情况和系统环境的理解掌握程度，能否保证相应系统、平台软件日常维护管理的正常开展响应情况进行打分。需求分析全面、透彻得(4-6]分；相对全面、合理得(2-4]分；一般全面、合理，得(0-2]分；未提供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项目总体实施方案</w:t>
            </w:r>
          </w:p>
        </w:tc>
        <w:tc>
          <w:tcPr>
            <w:tcW w:type="dxa" w:w="2492"/>
          </w:tcPr>
          <w:p>
            <w:pPr>
              <w:pStyle w:val="null3"/>
            </w:pPr>
            <w:r>
              <w:rPr/>
              <w:t>供应商需提供科学、完整、合理、规范的服务方案，包括项目总体实施方案设计、标准为依据。方案内容完整，分析全面。总体实施方案设计科学合理、描述条理清晰，可行性、安全性强，完全满足采购需求得(10-15]分；方案内容较完整，分析较全面，可行性较强，满足采购需求得(5-10]分；方案内容一般，可行性一般，基本满足采购需求得(0-5]分;未提供得0分。</w:t>
            </w:r>
          </w:p>
        </w:tc>
        <w:tc>
          <w:tcPr>
            <w:tcW w:type="dxa" w:w="831"/>
          </w:tcPr>
          <w:p>
            <w:pPr>
              <w:pStyle w:val="null3"/>
              <w:jc w:val="right"/>
            </w:pPr>
            <w:r>
              <w:rPr/>
              <w:t>15.0000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运维技术方案</w:t>
            </w:r>
          </w:p>
        </w:tc>
        <w:tc>
          <w:tcPr>
            <w:tcW w:type="dxa" w:w="2492"/>
          </w:tcPr>
          <w:p>
            <w:pPr>
              <w:pStyle w:val="null3"/>
            </w:pPr>
            <w:r>
              <w:rPr/>
              <w:t>运维技术方案科学合理、详细、完整、可行性强、工作进度计划合理、有可操作性，有详细、完善、可行的技术方案得（7-10]分；方案较为合理、完善得(4-7] 分；方案较差、一般得(0-4]；未提供得0分。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质量保证措施</w:t>
            </w:r>
          </w:p>
        </w:tc>
        <w:tc>
          <w:tcPr>
            <w:tcW w:type="dxa" w:w="2492"/>
          </w:tcPr>
          <w:p>
            <w:pPr>
              <w:pStyle w:val="null3"/>
            </w:pPr>
            <w:r>
              <w:rPr/>
              <w:t>质量保证措施内容总体思路清晰合理、可行性强得(6-8]分；质量保证措施总体思路较清晰合理，可行性较强得(3-6]分；质量保证措施总体思路基本清晰合理，可行性一般得(0-3]分；未提供得0分。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人员配置方案</w:t>
            </w:r>
          </w:p>
        </w:tc>
        <w:tc>
          <w:tcPr>
            <w:tcW w:type="dxa" w:w="2492"/>
          </w:tcPr>
          <w:p>
            <w:pPr>
              <w:pStyle w:val="null3"/>
            </w:pPr>
            <w:r>
              <w:rPr/>
              <w:t>供应商应提供详细、完善的项目管理方案，有详细的人员配置方案、健全的组织机构及工作安排，岗位分工明确，专业性强，同类项目经验丰富，得(7-10]分；有详细的人员配置方案、组织机构及工作安排基本完善、合理，岗位分工明确，具有较丰富的同类项目经验，得(4-7]分；有详细的人员配置方案，组织机构及工作安排合理性一般，岗位分工不清晰，缺少同类项目经验，得(0-4]分；未提供得0分。</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服务方案</w:t>
            </w:r>
          </w:p>
          <w:p>
            <w:pPr>
              <w:pStyle w:val="null3"/>
            </w:pPr>
            <w:r>
              <w:rPr/>
              <w:t>人员简历表</w:t>
            </w:r>
          </w:p>
          <w:p>
            <w:pPr>
              <w:pStyle w:val="null3"/>
            </w:pPr>
            <w:r>
              <w:rPr/>
              <w:t>供应商认为需要提供的其他资料</w:t>
            </w:r>
          </w:p>
        </w:tc>
      </w:tr>
      <w:tr>
        <w:tc>
          <w:tcPr>
            <w:tcW w:type="dxa" w:w="831"/>
            <w:vMerge/>
          </w:tcPr>
          <w:p/>
        </w:tc>
        <w:tc>
          <w:tcPr>
            <w:tcW w:type="dxa" w:w="1661"/>
          </w:tcPr>
          <w:p>
            <w:pPr>
              <w:pStyle w:val="null3"/>
            </w:pPr>
            <w:r>
              <w:rPr/>
              <w:t>应急预案</w:t>
            </w:r>
          </w:p>
        </w:tc>
        <w:tc>
          <w:tcPr>
            <w:tcW w:type="dxa" w:w="2492"/>
          </w:tcPr>
          <w:p>
            <w:pPr>
              <w:pStyle w:val="null3"/>
            </w:pPr>
            <w:r>
              <w:rPr/>
              <w:t>针对本项目提供有效、可行的应急方案，应急预案内容完善合理可行、针对性强的得(6-8]分；应急预案内容较完善、较合理可行、针对性较强的得(3-6]分；应急预案内容基本完善、合理、针对性一般的得(0-3]分；未提供得0分。</w:t>
            </w:r>
          </w:p>
        </w:tc>
        <w:tc>
          <w:tcPr>
            <w:tcW w:type="dxa" w:w="831"/>
          </w:tcPr>
          <w:p>
            <w:pPr>
              <w:pStyle w:val="null3"/>
              <w:jc w:val="right"/>
            </w:pPr>
            <w:r>
              <w:rPr/>
              <w:t>8.0000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培训方案</w:t>
            </w:r>
          </w:p>
        </w:tc>
        <w:tc>
          <w:tcPr>
            <w:tcW w:type="dxa" w:w="2492"/>
          </w:tcPr>
          <w:p>
            <w:pPr>
              <w:pStyle w:val="null3"/>
            </w:pPr>
            <w:r>
              <w:rPr/>
              <w:t>在服务期内，有切实可行的培训方案，培训内容应包括意识技能培训、节假日及重大突发事件的现场技术支持工作和系统操作使用培训、在服务期内的现场技术或支持培训。培训方案完善且具体可行得(4-6]分；较完善得(2-4]分；一般得(0-2]分；未提供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售后服务方案</w:t>
            </w:r>
          </w:p>
        </w:tc>
        <w:tc>
          <w:tcPr>
            <w:tcW w:type="dxa" w:w="2492"/>
          </w:tcPr>
          <w:p>
            <w:pPr>
              <w:pStyle w:val="null3"/>
            </w:pPr>
            <w:r>
              <w:rPr/>
              <w:t>有详细明确的售后服务方案，并在后续保障能力、服务及时性等方面有明确的承诺及保证措施。售后服务方案完善且具体可行得(4-6]分；较完善得(2-4]分；一般得(0-2]分；未提供得0分。</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合理化建议</w:t>
            </w:r>
          </w:p>
        </w:tc>
        <w:tc>
          <w:tcPr>
            <w:tcW w:type="dxa" w:w="2492"/>
          </w:tcPr>
          <w:p>
            <w:pPr>
              <w:pStyle w:val="null3"/>
            </w:pPr>
            <w:r>
              <w:rPr/>
              <w:t>有利于本项目工作顺利进行的合理化建议。建议详细合理，针对性强得（3-5] ;建议较简洁，针对性较差得（1-3]分;建议含糊无实质性内容得（0-1]分；未提供得0分。</w:t>
            </w:r>
          </w:p>
        </w:tc>
        <w:tc>
          <w:tcPr>
            <w:tcW w:type="dxa" w:w="831"/>
          </w:tcPr>
          <w:p>
            <w:pPr>
              <w:pStyle w:val="null3"/>
              <w:jc w:val="right"/>
            </w:pPr>
            <w:r>
              <w:rPr/>
              <w:t>5.0000</w:t>
            </w:r>
          </w:p>
        </w:tc>
        <w:tc>
          <w:tcPr>
            <w:tcW w:type="dxa" w:w="831"/>
          </w:tcPr>
          <w:p>
            <w:pPr>
              <w:pStyle w:val="null3"/>
            </w:pPr>
            <w:r>
              <w:rPr/>
              <w:t>主观</w:t>
            </w:r>
          </w:p>
        </w:tc>
        <w:tc>
          <w:tcPr>
            <w:tcW w:type="dxa" w:w="1661"/>
          </w:tcPr>
          <w:p>
            <w:pPr>
              <w:pStyle w:val="null3"/>
            </w:pPr>
            <w:r>
              <w:rPr/>
              <w:t>服务方案</w:t>
            </w:r>
          </w:p>
          <w:p>
            <w:pPr>
              <w:pStyle w:val="null3"/>
            </w:pPr>
            <w:r>
              <w:rPr/>
              <w:t>供应商认为需要提供的其他资料</w:t>
            </w:r>
          </w:p>
        </w:tc>
      </w:tr>
      <w:tr>
        <w:tc>
          <w:tcPr>
            <w:tcW w:type="dxa" w:w="831"/>
            <w:vMerge/>
          </w:tcPr>
          <w:p/>
        </w:tc>
        <w:tc>
          <w:tcPr>
            <w:tcW w:type="dxa" w:w="1661"/>
          </w:tcPr>
          <w:p>
            <w:pPr>
              <w:pStyle w:val="null3"/>
            </w:pPr>
            <w:r>
              <w:rPr/>
              <w:t>业绩</w:t>
            </w:r>
          </w:p>
        </w:tc>
        <w:tc>
          <w:tcPr>
            <w:tcW w:type="dxa" w:w="2492"/>
          </w:tcPr>
          <w:p>
            <w:pPr>
              <w:pStyle w:val="null3"/>
            </w:pPr>
            <w:r>
              <w:rPr/>
              <w:t>如供应商提供2022年至今类似项目业绩，每提供一个有效业绩证明得2分，本项最高得6分。 备注：以加盖投标供应商公章的合同、协议书复印件作为评审依据。</w:t>
            </w:r>
          </w:p>
        </w:tc>
        <w:tc>
          <w:tcPr>
            <w:tcW w:type="dxa" w:w="831"/>
          </w:tcPr>
          <w:p>
            <w:pPr>
              <w:pStyle w:val="null3"/>
              <w:jc w:val="right"/>
            </w:pPr>
            <w:r>
              <w:rPr/>
              <w:t>6.0000</w:t>
            </w:r>
          </w:p>
        </w:tc>
        <w:tc>
          <w:tcPr>
            <w:tcW w:type="dxa" w:w="831"/>
          </w:tcPr>
          <w:p>
            <w:pPr>
              <w:pStyle w:val="null3"/>
            </w:pPr>
            <w:r>
              <w:rPr/>
              <w:t>客观</w:t>
            </w:r>
          </w:p>
        </w:tc>
        <w:tc>
          <w:tcPr>
            <w:tcW w:type="dxa" w:w="1661"/>
          </w:tcPr>
          <w:p>
            <w:pPr>
              <w:pStyle w:val="null3"/>
            </w:pPr>
            <w:r>
              <w:rPr/>
              <w:t>类似项目业绩</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1、满足磋商文件要求且最终报价最低的供应商的价格为磋商基准价，其价格分为满分20分。 2、磋商报价得分=（磋商基准价/最终磋商报价） ×20（因落实政府采购政策进行价格调整的，以调整后的价格计算磋商基准价和磋商报价得分，详见磋商文件政府采购政策评分标准）。</w:t>
            </w:r>
          </w:p>
        </w:tc>
        <w:tc>
          <w:tcPr>
            <w:tcW w:type="dxa" w:w="831"/>
          </w:tcPr>
          <w:p>
            <w:pPr>
              <w:pStyle w:val="null3"/>
              <w:jc w:val="right"/>
            </w:pPr>
            <w:r>
              <w:rPr/>
              <w:t>20.0000</w:t>
            </w:r>
          </w:p>
        </w:tc>
        <w:tc>
          <w:tcPr>
            <w:tcW w:type="dxa" w:w="831"/>
          </w:tcPr>
          <w:p>
            <w:pPr>
              <w:pStyle w:val="null3"/>
            </w:pPr>
            <w:r>
              <w:rPr/>
              <w:t>客观</w:t>
            </w:r>
          </w:p>
        </w:tc>
        <w:tc>
          <w:tcPr>
            <w:tcW w:type="dxa" w:w="1661"/>
          </w:tcPr>
          <w:p>
            <w:pPr>
              <w:pStyle w:val="null3"/>
            </w:pPr>
            <w:r>
              <w:rPr/>
              <w:t>报价表</w:t>
            </w:r>
          </w:p>
          <w:p>
            <w:pPr>
              <w:pStyle w:val="null3"/>
            </w:pPr>
            <w:r>
              <w:rPr/>
              <w:t>标的清单</w:t>
            </w:r>
          </w:p>
          <w:p>
            <w:pPr>
              <w:pStyle w:val="null3"/>
            </w:pPr>
            <w:r>
              <w:rPr/>
              <w:t>报价明细表</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6.5终止采购活动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t>（四）法律法规规定的其他情形。</w:t>
      </w:r>
    </w:p>
    <w:p>
      <w:pPr>
        <w:pStyle w:val="null3"/>
        <w:outlineLvl w:val="2"/>
      </w:pPr>
      <w:r>
        <w:rPr>
          <w:sz w:val="28"/>
          <w:b/>
        </w:rPr>
        <w:t>6.6确定成交供应商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6.7评审专家在政府采购活动中承担以下义务</w:t>
      </w:r>
    </w:p>
    <w:p>
      <w:pPr>
        <w:pStyle w:val="null3"/>
        <w:ind w:firstLine="480"/>
      </w:pPr>
      <w:r>
        <w:rPr/>
        <w:t>（一）遵守评审工作纪律；</w:t>
      </w:r>
    </w:p>
    <w:p>
      <w:pPr>
        <w:pStyle w:val="null3"/>
        <w:ind w:firstLine="480"/>
      </w:pPr>
      <w:r>
        <w:rPr/>
        <w:t>（二）按照客观、公正、审慎的原则，根据采购文件规定的评审程序、评审方法和评审标准进行独立评审；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6.8评审专家在政府采购活动中应当遵守以下工作纪律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（二）评审前，应当将通讯工具或者相关电子设备交由采购组织单位统一保管。</w:t>
      </w:r>
    </w:p>
    <w:p>
      <w:pPr>
        <w:pStyle w:val="null3"/>
        <w:ind w:firstLine="480"/>
      </w:pPr>
      <w:r>
        <w:rPr/>
        <w:t>（三）评审过程中，不得与外界联系，因发生不可预见情况，确实需要与外界联系的，应当在监督人员监督之下办理。</w:t>
      </w:r>
    </w:p>
    <w:p>
      <w:pPr>
        <w:pStyle w:val="null3"/>
        <w:ind w:firstLine="480"/>
      </w:pPr>
      <w:r>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详见附件：资格证明文件</w:t>
      </w:r>
    </w:p>
    <w:p>
      <w:pPr>
        <w:pStyle w:val="null3"/>
        <w:ind w:firstLine="960"/>
      </w:pPr>
      <w:r>
        <w:rPr/>
        <w:t>详见附件：投标保证金汇款凭证及基本账户信息</w:t>
      </w:r>
    </w:p>
    <w:p>
      <w:pPr>
        <w:pStyle w:val="null3"/>
        <w:ind w:firstLine="960"/>
      </w:pPr>
      <w:r>
        <w:rPr/>
        <w:t>详见附件：报价表</w:t>
      </w:r>
    </w:p>
    <w:p>
      <w:pPr>
        <w:pStyle w:val="null3"/>
        <w:ind w:firstLine="960"/>
      </w:pPr>
      <w:r>
        <w:rPr/>
        <w:t>详见附件：标的清单</w:t>
      </w:r>
    </w:p>
    <w:p>
      <w:pPr>
        <w:pStyle w:val="null3"/>
        <w:ind w:firstLine="960"/>
      </w:pPr>
      <w:r>
        <w:rPr/>
        <w:t>详见附件：报价明细表</w:t>
      </w:r>
    </w:p>
    <w:p>
      <w:pPr>
        <w:pStyle w:val="null3"/>
        <w:ind w:firstLine="960"/>
      </w:pPr>
      <w:r>
        <w:rPr/>
        <w:t>详见附件：商务响应偏离表</w:t>
      </w:r>
    </w:p>
    <w:p>
      <w:pPr>
        <w:pStyle w:val="null3"/>
        <w:ind w:firstLine="960"/>
      </w:pPr>
      <w:r>
        <w:rPr/>
        <w:t>详见附件：服务方案</w:t>
      </w:r>
    </w:p>
    <w:p>
      <w:pPr>
        <w:pStyle w:val="null3"/>
        <w:ind w:firstLine="960"/>
      </w:pPr>
      <w:r>
        <w:rPr/>
        <w:t>详见附件：人员简历表</w:t>
      </w:r>
    </w:p>
    <w:p>
      <w:pPr>
        <w:pStyle w:val="null3"/>
        <w:ind w:firstLine="960"/>
      </w:pPr>
      <w:r>
        <w:rPr/>
        <w:t>详见附件：类似项目业绩</w:t>
      </w:r>
    </w:p>
    <w:p>
      <w:pPr>
        <w:pStyle w:val="null3"/>
        <w:ind w:firstLine="960"/>
      </w:pPr>
      <w:r>
        <w:rPr/>
        <w:t>详见附件：供应商认为需要提供的其他资料</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详见附件：《云上应用与信息服务平台维护》合同参考格式及主要条款.docx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