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2024年毕业生宿舍粉刷工程</w:t>
      </w:r>
    </w:p>
    <w:p>
      <w:pPr>
        <w:pStyle w:val="null3"/>
        <w:jc w:val="center"/>
        <w:outlineLvl w:val="2"/>
      </w:pPr>
      <w:r>
        <w:rPr>
          <w:sz w:val="28"/>
          <w:b/>
        </w:rPr>
        <w:t>采购项目编号：</w:t>
      </w:r>
      <w:r>
        <w:rPr>
          <w:sz w:val="28"/>
          <w:b/>
        </w:rPr>
        <w:t>SXZCZB2024-ZCCS-0634</w:t>
      </w:r>
      <w:r>
        <w:br/>
      </w:r>
      <w:r>
        <w:br/>
      </w:r>
      <w:r>
        <w:br/>
      </w:r>
    </w:p>
    <w:p>
      <w:pPr>
        <w:pStyle w:val="null3"/>
        <w:jc w:val="center"/>
        <w:outlineLvl w:val="2"/>
      </w:pPr>
      <w:r>
        <w:rPr>
          <w:sz w:val="28"/>
          <w:b/>
        </w:rPr>
        <w:t>咸阳师范学院</w:t>
      </w:r>
    </w:p>
    <w:p>
      <w:pPr>
        <w:pStyle w:val="null3"/>
        <w:jc w:val="center"/>
        <w:outlineLvl w:val="2"/>
      </w:pPr>
      <w:r>
        <w:rPr>
          <w:sz w:val="28"/>
          <w:b/>
        </w:rPr>
        <w:t>陕西至诚项目管理集团有限公司</w:t>
      </w:r>
      <w:r>
        <w:rPr>
          <w:sz w:val="28"/>
          <w:b/>
        </w:rPr>
        <w:t>共同编制</w:t>
      </w:r>
    </w:p>
    <w:p>
      <w:pPr>
        <w:pStyle w:val="null3"/>
        <w:jc w:val="center"/>
        <w:outlineLvl w:val="2"/>
      </w:pPr>
      <w:r>
        <w:rPr>
          <w:sz w:val="28"/>
          <w:b/>
        </w:rPr>
        <w:t>2024年06月21日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陕西至诚项目管理集团有限公司</w:t>
      </w:r>
      <w:r>
        <w:rPr/>
        <w:t>（以下简称“代理机构”）受</w:t>
      </w:r>
      <w:r>
        <w:rPr/>
        <w:t>咸阳师范学院</w:t>
      </w:r>
      <w:r>
        <w:rPr/>
        <w:t>委托，拟对</w:t>
      </w:r>
      <w:r>
        <w:rPr/>
        <w:t>2024年毕业生宿舍粉刷工程</w:t>
      </w:r>
      <w:r>
        <w:rPr/>
        <w:t>采用竞争性磋商采购方式进行采购，兹邀请供应商参加本项目的竞争性磋商。</w:t>
      </w:r>
    </w:p>
    <w:p>
      <w:pPr>
        <w:pStyle w:val="null3"/>
        <w:outlineLvl w:val="2"/>
      </w:pPr>
      <w:r>
        <w:rPr>
          <w:sz w:val="28"/>
          <w:b/>
        </w:rPr>
        <w:t>一、采购项目编号：</w:t>
      </w:r>
      <w:r>
        <w:rPr>
          <w:sz w:val="28"/>
          <w:b/>
        </w:rPr>
        <w:t>SXZCZB2024-ZCCS-0634</w:t>
      </w:r>
    </w:p>
    <w:p>
      <w:pPr>
        <w:pStyle w:val="null3"/>
        <w:outlineLvl w:val="2"/>
      </w:pPr>
      <w:r>
        <w:rPr>
          <w:sz w:val="28"/>
          <w:b/>
        </w:rPr>
        <w:t>二、采购项目名称：</w:t>
      </w:r>
      <w:r>
        <w:rPr>
          <w:sz w:val="28"/>
          <w:b/>
        </w:rPr>
        <w:t>2024年毕业生宿舍粉刷工程</w:t>
      </w:r>
    </w:p>
    <w:p>
      <w:pPr>
        <w:pStyle w:val="null3"/>
        <w:outlineLvl w:val="2"/>
      </w:pPr>
      <w:r>
        <w:rPr>
          <w:sz w:val="28"/>
          <w:b/>
        </w:rPr>
        <w:t>三、磋商项目简介</w:t>
      </w:r>
    </w:p>
    <w:p>
      <w:pPr>
        <w:pStyle w:val="null3"/>
        <w:ind w:firstLine="480"/>
      </w:pPr>
      <w:r>
        <w:rPr/>
        <w:t>咸阳师范学院2024年毕业生宿舍粉刷工程，粉刷总面积为78397.82平方米，第一标段渭城校区粉刷面积为64021.6平方米，第二标段秦都校区标段粉刷面积14376.22平方米。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采购包1（第一标段（2024年毕业生宿舍粉刷工程-渭城校区））：属于专门面向中小企业采购。</w:t>
      </w:r>
    </w:p>
    <w:p>
      <w:pPr>
        <w:pStyle w:val="null3"/>
      </w:pPr>
      <w:r>
        <w:rPr/>
        <w:t>采购包2（第二标段（2024年毕业生宿舍粉刷工程-秦都校区））：属于专门面向中小企业采购。</w:t>
      </w:r>
    </w:p>
    <w:p>
      <w:pPr>
        <w:pStyle w:val="null3"/>
        <w:ind w:firstLine="480"/>
      </w:pPr>
      <w:r>
        <w:rPr/>
        <w:t>（三）本项目的特定资格要求：</w:t>
      </w:r>
    </w:p>
    <w:p>
      <w:pPr>
        <w:pStyle w:val="null3"/>
      </w:pPr>
      <w:r>
        <w:rPr/>
        <w:t>采购包1：</w:t>
      </w:r>
    </w:p>
    <w:p>
      <w:pPr>
        <w:pStyle w:val="null3"/>
      </w:pPr>
      <w:r>
        <w:rPr/>
        <w:t>1、营业执照：提供合格有效的法人或者其他组织的营业执照等证明文件，自然人的身份证明；</w:t>
      </w:r>
    </w:p>
    <w:p>
      <w:pPr>
        <w:pStyle w:val="null3"/>
      </w:pPr>
      <w:r>
        <w:rPr/>
        <w:t>2、法定代表人授权书：提供法定代表人授权书（附法定代表人、被授权人身份证复印件），法定代表人直接参加投标，须提供法定代表人身份证明及身份证复印件）；</w:t>
      </w:r>
    </w:p>
    <w:p>
      <w:pPr>
        <w:pStyle w:val="null3"/>
      </w:pPr>
      <w:r>
        <w:rPr/>
        <w:t>3、税收缴纳证明：提供磋商截止日前近一年内任意一个月的纳税证明或完税证明（任意税种），依法免税的单位应提供相关证明材料；</w:t>
      </w:r>
    </w:p>
    <w:p>
      <w:pPr>
        <w:pStyle w:val="null3"/>
      </w:pPr>
      <w:r>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t>5、财务审计状况：提供2022年度或2023年经审计的财务审计报告（成立时间至提交磋商响应文件截止时间不足一年的可提供成立后任意时段的资产负债表）或开标时间前六个月内银行出具的资信证明。</w:t>
      </w:r>
    </w:p>
    <w:p>
      <w:pPr>
        <w:pStyle w:val="null3"/>
      </w:pPr>
      <w:r>
        <w:rPr/>
        <w:t>6、相关主体信用记录：供应商通过“信用中国”网站(www.creditchina.gov.cn)、中国政府采购网(www.ccgp.gov.cn)等查询相关主体信用记录；</w:t>
      </w:r>
    </w:p>
    <w:p>
      <w:pPr>
        <w:pStyle w:val="null3"/>
      </w:pPr>
      <w:r>
        <w:rPr/>
        <w:t>7、没有重大违法记录的书面声明：参加政府采购活动前3年内，在经营活动中没有重大违法记录的书面声明;</w:t>
      </w:r>
    </w:p>
    <w:p>
      <w:pPr>
        <w:pStyle w:val="null3"/>
      </w:pPr>
      <w:r>
        <w:rPr/>
        <w:t>8、具有履行合同所必需的设备和专业技术能力的书面承诺：提供具有履行合同所必需的设备和专业技术能力的书面承诺；</w:t>
      </w:r>
    </w:p>
    <w:p>
      <w:pPr>
        <w:pStyle w:val="null3"/>
      </w:pPr>
      <w:r>
        <w:rPr/>
        <w:t>9、供应商资质要求：供应商须具备建筑工程施工总承包三级以上（含三级）或建筑装饰装修工程专业承包二级以上（含二级）资质，具有有效的安全生产许可证；</w:t>
      </w:r>
    </w:p>
    <w:p>
      <w:pPr>
        <w:pStyle w:val="null3"/>
      </w:pPr>
      <w:r>
        <w:rPr/>
        <w:t>10、项目经理要求：拟派项目经理具有建筑工程专业二级及以上注册建造师执业资格，安全考核合格证（B证），且在本单位注册，并提供无在建工程承诺书；</w:t>
      </w:r>
    </w:p>
    <w:p>
      <w:pPr>
        <w:pStyle w:val="null3"/>
      </w:pPr>
      <w:r>
        <w:rPr/>
        <w:t>11、中小企业声明函：本采购包专门面向中小企业采购（提供中小企业声明函）</w:t>
      </w:r>
    </w:p>
    <w:p>
      <w:pPr>
        <w:pStyle w:val="null3"/>
      </w:pPr>
      <w:r>
        <w:rPr/>
        <w:t>12、本项目不接受联合体磋商：本项目不接受联合体磋商（提供承诺书）；</w:t>
      </w:r>
    </w:p>
    <w:p>
      <w:pPr>
        <w:pStyle w:val="null3"/>
      </w:pPr>
      <w:r>
        <w:rPr/>
        <w:t>采购包2：</w:t>
      </w:r>
    </w:p>
    <w:p>
      <w:pPr>
        <w:pStyle w:val="null3"/>
      </w:pPr>
      <w:r>
        <w:rPr/>
        <w:t>1、营业执照：提供合格有效的法人或者其他组织的营业执照等证明文件，自然人的身份证明；</w:t>
      </w:r>
    </w:p>
    <w:p>
      <w:pPr>
        <w:pStyle w:val="null3"/>
      </w:pPr>
      <w:r>
        <w:rPr/>
        <w:t>2、法定代表人授权书：提供法定代表人授权书（附法定代表人、被授权人身份证复印件），法定代表人直接参加投标，须提供法定代表人身份证明及身份证复印件）；</w:t>
      </w:r>
    </w:p>
    <w:p>
      <w:pPr>
        <w:pStyle w:val="null3"/>
      </w:pPr>
      <w:r>
        <w:rPr/>
        <w:t>3、税收缴纳证明：提供磋商截止日前近一年内任意一个月的纳税证明或完税证明（任意税种），依法免税的单位应提供相关证明材料；</w:t>
      </w:r>
    </w:p>
    <w:p>
      <w:pPr>
        <w:pStyle w:val="null3"/>
      </w:pPr>
      <w:r>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t>5、财务审计状况：提供2022年度或2023年经审计的财务审计报告（成立时间至提交磋商响应文件截止时间不足一年的可提供成立后任意时段的资产负债表）或开标时间前六个月内银行出具的资信证明。</w:t>
      </w:r>
    </w:p>
    <w:p>
      <w:pPr>
        <w:pStyle w:val="null3"/>
      </w:pPr>
      <w:r>
        <w:rPr/>
        <w:t>6、相关主体信用记录：供应商通过“信用中国”网站(www.creditchina.gov.cn)、中国政府采购网(www.ccgp.gov.cn)等查询相关主体信用记录；</w:t>
      </w:r>
    </w:p>
    <w:p>
      <w:pPr>
        <w:pStyle w:val="null3"/>
      </w:pPr>
      <w:r>
        <w:rPr/>
        <w:t>7、没有重大违法记录的书面声明：参加政府采购活动前3年内，在经营活动中没有重大违法记录的书面声明;</w:t>
      </w:r>
    </w:p>
    <w:p>
      <w:pPr>
        <w:pStyle w:val="null3"/>
      </w:pPr>
      <w:r>
        <w:rPr/>
        <w:t>8、具有履行合同所必需的设备和专业技术能力的书面承诺：提供具有履行合同所必需的设备和专业技术能力的书面承诺；</w:t>
      </w:r>
    </w:p>
    <w:p>
      <w:pPr>
        <w:pStyle w:val="null3"/>
      </w:pPr>
      <w:r>
        <w:rPr/>
        <w:t>9、供应商资质要求：供应商须具备建筑工程施工总承包三级以上(含三级)或建筑装饰装修工程专业承包二级以上(含二级)资质，具有有效的安全生产许可证;</w:t>
      </w:r>
    </w:p>
    <w:p>
      <w:pPr>
        <w:pStyle w:val="null3"/>
      </w:pPr>
      <w:r>
        <w:rPr/>
        <w:t>10、项目经理要求：拟派项目经理具有建筑工程专业二级及以上注册建造师执业资格，安全考核合格证(B证)，且在本单位注册，并提供无在建工程承诺书;</w:t>
      </w:r>
    </w:p>
    <w:p>
      <w:pPr>
        <w:pStyle w:val="null3"/>
      </w:pPr>
      <w:r>
        <w:rPr/>
        <w:t>11、中小企业声明函：本采购包专门面向中小企业采购(提供中小企业声明函)</w:t>
      </w:r>
    </w:p>
    <w:p>
      <w:pPr>
        <w:pStyle w:val="null3"/>
      </w:pPr>
      <w:r>
        <w:rPr/>
        <w:t>12、本项目不接受联合体磋商：本项目不接受联合体磋商(提供承诺书);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咸阳师范学院</w:t>
      </w:r>
    </w:p>
    <w:p>
      <w:pPr>
        <w:pStyle w:val="null3"/>
      </w:pPr>
      <w:r>
        <w:rPr/>
        <w:t xml:space="preserve"> 地址： </w:t>
      </w:r>
      <w:r>
        <w:rPr/>
        <w:t>陕西省咸阳市渭城区文林路东段1号</w:t>
      </w:r>
    </w:p>
    <w:p>
      <w:pPr>
        <w:pStyle w:val="null3"/>
      </w:pPr>
      <w:r>
        <w:rPr/>
        <w:t xml:space="preserve"> 邮编： </w:t>
      </w:r>
      <w:r>
        <w:rPr/>
        <w:t>712000</w:t>
      </w:r>
    </w:p>
    <w:p>
      <w:pPr>
        <w:pStyle w:val="null3"/>
      </w:pPr>
      <w:r>
        <w:rPr/>
        <w:t xml:space="preserve"> 联系人： </w:t>
      </w:r>
      <w:r>
        <w:rPr/>
        <w:t>乔老师</w:t>
      </w:r>
    </w:p>
    <w:p>
      <w:pPr>
        <w:pStyle w:val="null3"/>
      </w:pPr>
      <w:r>
        <w:rPr/>
        <w:t xml:space="preserve"> 联系电话： </w:t>
      </w:r>
      <w:r>
        <w:rPr/>
        <w:t>029-33720069</w:t>
      </w:r>
    </w:p>
    <w:p>
      <w:pPr>
        <w:pStyle w:val="null3"/>
        <w:outlineLvl w:val="3"/>
      </w:pPr>
      <w:r>
        <w:rPr>
          <w:sz w:val="24"/>
          <w:b/>
        </w:rPr>
        <w:t>代理机构：</w:t>
      </w:r>
      <w:r>
        <w:rPr>
          <w:sz w:val="24"/>
          <w:b/>
        </w:rPr>
        <w:t>陕西至诚项目管理集团有限公司</w:t>
      </w:r>
    </w:p>
    <w:p>
      <w:pPr>
        <w:pStyle w:val="null3"/>
      </w:pPr>
      <w:r>
        <w:rPr/>
        <w:t xml:space="preserve"> 地址： </w:t>
      </w:r>
      <w:r>
        <w:rPr/>
        <w:t>陕西省西安市经济技术开发区未央路171-1号银池道拉斯财富中心21楼</w:t>
      </w:r>
    </w:p>
    <w:p>
      <w:pPr>
        <w:pStyle w:val="null3"/>
      </w:pPr>
      <w:r>
        <w:rPr/>
        <w:t xml:space="preserve"> 邮编： </w:t>
      </w:r>
      <w:r>
        <w:rPr/>
        <w:t>710000</w:t>
      </w:r>
    </w:p>
    <w:p>
      <w:pPr>
        <w:pStyle w:val="null3"/>
      </w:pPr>
      <w:r>
        <w:rPr/>
        <w:t xml:space="preserve"> 联系人： </w:t>
      </w:r>
      <w:r>
        <w:rPr/>
        <w:t>倪沛、刘瑞琦、王欣玫</w:t>
      </w:r>
    </w:p>
    <w:p>
      <w:pPr>
        <w:pStyle w:val="null3"/>
      </w:pPr>
      <w:r>
        <w:rPr/>
        <w:t xml:space="preserve"> 联系电话： </w:t>
      </w:r>
      <w:r>
        <w:rPr/>
        <w:t>029-88219779</w:t>
      </w:r>
    </w:p>
    <w:p>
      <w:pPr>
        <w:pStyle w:val="null3"/>
        <w:outlineLvl w:val="3"/>
      </w:pPr>
      <w:r>
        <w:rPr>
          <w:sz w:val="24"/>
          <w:b/>
        </w:rPr>
        <w:t>采购监督机构：</w:t>
      </w:r>
      <w:r>
        <w:rPr>
          <w:sz w:val="24"/>
          <w:b/>
        </w:rPr>
        <w:t>财政厅政府采购管理处</w:t>
      </w:r>
    </w:p>
    <w:p>
      <w:pPr>
        <w:pStyle w:val="null3"/>
        <w:ind w:firstLine="480"/>
      </w:pPr>
      <w:r>
        <w:rPr/>
        <w:t>联系人：</w:t>
      </w:r>
      <w:r>
        <w:rPr/>
        <w:t>柴老师、张老师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采购包1：691,707.37元</w:t>
            </w:r>
          </w:p>
          <w:p>
            <w:pPr>
              <w:pStyle w:val="null3"/>
            </w:pPr>
            <w:r>
              <w:rPr/>
              <w:t>采购包2：155,655.44元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说明：开工前，按照工程款的5%取整缴纳履约保证金，竣工验收合格后予以无息退还。</w:t>
            </w:r>
          </w:p>
          <w:p>
            <w:pPr>
              <w:pStyle w:val="null3"/>
            </w:pPr>
            <w:r>
              <w:rPr/>
              <w:t>采购包2：缴纳</w:t>
            </w:r>
          </w:p>
          <w:p>
            <w:pPr>
              <w:pStyle w:val="null3"/>
            </w:pPr>
            <w:r>
              <w:rPr/>
              <w:t>本采购包履约保证金为合同金额的5.0%</w:t>
            </w:r>
          </w:p>
          <w:p>
            <w:pPr>
              <w:pStyle w:val="null3"/>
            </w:pPr>
            <w:r>
              <w:rPr/>
              <w:t>说明：开工前，按照工程款的5%取整缴纳履约保证金，竣工验收合格后予以无息退还。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关于印发《招标代理服务收费管理暂行办法的通知》（计价格[ 2002]1980号）”、“《国家发展改革委办公厅关于招标代理服务收费有关问题的通知》（发改价格[2003]857号）”、“国家发展改革委《关于降低部分建设项目收费标准规范收费行为等有关问题的通知》（发改价格[2011]534号）”的规定方式下浮 10 %。</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咸阳师范学院</w:t>
      </w:r>
      <w:r>
        <w:rPr/>
        <w:t>和</w:t>
      </w:r>
      <w:r>
        <w:rPr/>
        <w:t>陕西至诚项目管理集团有限公司</w:t>
      </w:r>
      <w:r>
        <w:rPr/>
        <w:t>享有。对磋商文件中供应商参加本次政府采购活动应当具备的条件，磋商项目技术、服务、商务及其他要求，评审细则及标准由</w:t>
      </w:r>
      <w:r>
        <w:rPr/>
        <w:t>咸阳师范学院</w:t>
      </w:r>
      <w:r>
        <w:rPr/>
        <w:t>负责解释。除上述磋商文件内容，其他内容由</w:t>
      </w:r>
      <w:r>
        <w:rPr/>
        <w:t>陕西至诚项目管理集团有限公司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咸阳师范学院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陕西至诚项目管理集团有限公司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根据磋商文件要求及合同约定执行。</w:t>
      </w:r>
    </w:p>
    <w:p>
      <w:pPr>
        <w:pStyle w:val="null3"/>
      </w:pPr>
      <w:r>
        <w:rPr/>
        <w:t>采购包2：</w:t>
      </w:r>
    </w:p>
    <w:p>
      <w:pPr>
        <w:pStyle w:val="null3"/>
      </w:pPr>
      <w:r>
        <w:rPr/>
        <w:t>根据磋商文件要求及合同约定执行。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陕西至诚项目管理集团有限公司</w:t>
      </w:r>
      <w:r>
        <w:rPr/>
        <w:t xml:space="preserve"> 负责答复；供应商对采购过程的询问、质疑由</w:t>
      </w:r>
      <w:r>
        <w:rPr/>
        <w:t>陕西至诚项目管理集团有限公司</w:t>
      </w:r>
      <w:r>
        <w:rPr/>
        <w:t xml:space="preserve"> 负责答复；供应商对采购结果的询问、质疑由 </w:t>
      </w:r>
      <w:r>
        <w:rPr/>
        <w:t>陕西至诚项目管理集团有限公司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联系人：倪沛、刘瑞琦、王欣玫</w:t>
      </w:r>
    </w:p>
    <w:p>
      <w:pPr>
        <w:pStyle w:val="null3"/>
      </w:pPr>
      <w:r>
        <w:rPr/>
        <w:t>联系电话：029-88219779</w:t>
      </w:r>
    </w:p>
    <w:p>
      <w:pPr>
        <w:pStyle w:val="null3"/>
      </w:pPr>
      <w:r>
        <w:rPr/>
        <w:t>地址：陕西省西安市经济技术开发区未央路171-1号银池道拉斯财富中心21楼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691,707.37</w:t>
      </w:r>
    </w:p>
    <w:p>
      <w:pPr>
        <w:pStyle w:val="null3"/>
      </w:pPr>
      <w:r>
        <w:rPr/>
        <w:t>采购包最高限价（元）: 691,707.37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其他建筑物修缮</w:t>
            </w:r>
          </w:p>
        </w:tc>
        <w:tc>
          <w:tcPr>
            <w:tcW w:type="dxa" w:w="1384"/>
          </w:tcPr>
          <w:p>
            <w:pPr>
              <w:pStyle w:val="null3"/>
              <w:jc w:val="right"/>
            </w:pPr>
            <w:r>
              <w:rPr/>
              <w:t>1.00</w:t>
            </w:r>
          </w:p>
        </w:tc>
        <w:tc>
          <w:tcPr>
            <w:tcW w:type="dxa" w:w="1384"/>
          </w:tcPr>
          <w:p>
            <w:pPr>
              <w:pStyle w:val="null3"/>
              <w:jc w:val="right"/>
            </w:pPr>
            <w:r>
              <w:rPr/>
              <w:t>691,707.37</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155,655.44</w:t>
      </w:r>
    </w:p>
    <w:p>
      <w:pPr>
        <w:pStyle w:val="null3"/>
      </w:pPr>
      <w:r>
        <w:rPr/>
        <w:t>采购包最高限价（元）: 155,655.44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其他建筑物修缮</w:t>
            </w:r>
          </w:p>
        </w:tc>
        <w:tc>
          <w:tcPr>
            <w:tcW w:type="dxa" w:w="1384"/>
          </w:tcPr>
          <w:p>
            <w:pPr>
              <w:pStyle w:val="null3"/>
              <w:jc w:val="right"/>
            </w:pPr>
            <w:r>
              <w:rPr/>
              <w:t>1.00</w:t>
            </w:r>
          </w:p>
        </w:tc>
        <w:tc>
          <w:tcPr>
            <w:tcW w:type="dxa" w:w="1384"/>
          </w:tcPr>
          <w:p>
            <w:pPr>
              <w:pStyle w:val="null3"/>
              <w:jc w:val="right"/>
            </w:pPr>
            <w:r>
              <w:rPr/>
              <w:t>155,655.44</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标的名称：其他建筑物修缮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一、改造内容</w:t>
            </w:r>
          </w:p>
          <w:p>
            <w:pPr>
              <w:pStyle w:val="null3"/>
              <w:ind w:firstLine="480"/>
              <w:jc w:val="both"/>
            </w:pPr>
            <w:r>
              <w:rPr>
                <w:rFonts w:ascii="calibri" w:hAnsi="calibri" w:cs="calibri" w:eastAsia="calibri"/>
                <w:sz w:val="24"/>
              </w:rPr>
              <w:t>1.</w:t>
            </w:r>
            <w:r>
              <w:rPr>
                <w:rFonts w:ascii="宋体" w:hAnsi="宋体" w:cs="宋体" w:eastAsia="宋体"/>
                <w:sz w:val="24"/>
              </w:rPr>
              <w:t>破损、墙皮脱落等情况铲除原墙面墙皮，再用腻子点补墙面，铲除及点补腻子面积按总墙面工程量</w:t>
            </w:r>
            <w:r>
              <w:rPr>
                <w:rFonts w:ascii="calibri" w:hAnsi="calibri" w:cs="calibri" w:eastAsia="calibri"/>
                <w:sz w:val="24"/>
              </w:rPr>
              <w:t>13%</w:t>
            </w:r>
            <w:r>
              <w:rPr>
                <w:rFonts w:ascii="宋体" w:hAnsi="宋体" w:cs="宋体" w:eastAsia="宋体"/>
                <w:sz w:val="24"/>
              </w:rPr>
              <w:t>计入。</w:t>
            </w:r>
          </w:p>
          <w:p>
            <w:pPr>
              <w:pStyle w:val="null3"/>
              <w:ind w:firstLine="480"/>
              <w:jc w:val="both"/>
            </w:pPr>
            <w:r>
              <w:rPr>
                <w:rFonts w:ascii="calibri" w:hAnsi="calibri" w:cs="calibri" w:eastAsia="calibri"/>
                <w:sz w:val="24"/>
              </w:rPr>
              <w:t>2.</w:t>
            </w:r>
            <w:r>
              <w:rPr>
                <w:rFonts w:ascii="宋体" w:hAnsi="宋体" w:cs="宋体" w:eastAsia="宋体"/>
                <w:sz w:val="24"/>
              </w:rPr>
              <w:t>所有墙面清理后用砂纸打磨，喷</w:t>
            </w:r>
            <w:r>
              <w:rPr>
                <w:rFonts w:ascii="calibri" w:hAnsi="calibri" w:cs="calibri" w:eastAsia="calibri"/>
                <w:sz w:val="24"/>
              </w:rPr>
              <w:t>2</w:t>
            </w:r>
            <w:r>
              <w:rPr>
                <w:rFonts w:ascii="宋体" w:hAnsi="宋体" w:cs="宋体" w:eastAsia="宋体"/>
                <w:sz w:val="24"/>
              </w:rPr>
              <w:t>遍乳胶漆。</w:t>
            </w:r>
          </w:p>
          <w:p>
            <w:pPr>
              <w:pStyle w:val="null3"/>
              <w:ind w:firstLine="480"/>
              <w:jc w:val="both"/>
            </w:pPr>
            <w:r>
              <w:rPr>
                <w:rFonts w:ascii="calibri" w:hAnsi="calibri" w:cs="calibri" w:eastAsia="calibri"/>
                <w:sz w:val="24"/>
              </w:rPr>
              <w:t>3.</w:t>
            </w:r>
            <w:r>
              <w:rPr>
                <w:rFonts w:ascii="宋体" w:hAnsi="宋体" w:cs="宋体" w:eastAsia="宋体"/>
                <w:sz w:val="24"/>
              </w:rPr>
              <w:t>粉刷总面积为</w:t>
            </w:r>
            <w:r>
              <w:rPr>
                <w:rFonts w:ascii="calibri" w:hAnsi="calibri" w:cs="calibri" w:eastAsia="calibri"/>
                <w:sz w:val="24"/>
              </w:rPr>
              <w:t>78397.82</w:t>
            </w:r>
            <w:r>
              <w:rPr>
                <w:rFonts w:ascii="宋体" w:hAnsi="宋体" w:cs="宋体" w:eastAsia="宋体"/>
                <w:sz w:val="24"/>
              </w:rPr>
              <w:t>平方米；其中第一标段渭城校区标段粉刷面积为</w:t>
            </w:r>
            <w:r>
              <w:rPr>
                <w:rFonts w:ascii="calibri" w:hAnsi="calibri" w:cs="calibri" w:eastAsia="calibri"/>
                <w:sz w:val="24"/>
              </w:rPr>
              <w:t>64021.6</w:t>
            </w:r>
            <w:r>
              <w:rPr>
                <w:rFonts w:ascii="宋体" w:hAnsi="宋体" w:cs="宋体" w:eastAsia="宋体"/>
                <w:sz w:val="24"/>
              </w:rPr>
              <w:t>平方米</w:t>
            </w:r>
            <w:r>
              <w:rPr>
                <w:rFonts w:ascii="宋体" w:hAnsi="宋体" w:cs="宋体" w:eastAsia="宋体"/>
                <w:sz w:val="24"/>
              </w:rPr>
              <w:t>。</w:t>
            </w:r>
          </w:p>
          <w:p>
            <w:pPr>
              <w:pStyle w:val="null3"/>
              <w:ind w:firstLine="480"/>
              <w:jc w:val="both"/>
            </w:pPr>
            <w:r>
              <w:rPr>
                <w:rFonts w:ascii="宋体" w:hAnsi="宋体" w:cs="宋体" w:eastAsia="宋体"/>
                <w:sz w:val="24"/>
              </w:rPr>
              <w:t>二、安全文明施工要求</w:t>
            </w:r>
          </w:p>
          <w:p>
            <w:pPr>
              <w:pStyle w:val="null3"/>
              <w:ind w:firstLine="480"/>
              <w:jc w:val="both"/>
            </w:pPr>
            <w:r>
              <w:rPr>
                <w:rFonts w:ascii="calibri" w:hAnsi="calibri" w:cs="calibri" w:eastAsia="calibri"/>
                <w:sz w:val="24"/>
              </w:rPr>
              <w:t>1.</w:t>
            </w:r>
            <w:r>
              <w:rPr>
                <w:rFonts w:ascii="宋体" w:hAnsi="宋体" w:cs="宋体" w:eastAsia="宋体"/>
                <w:sz w:val="24"/>
              </w:rPr>
              <w:t>对学生宿舍内的床、柜等设施设备进行覆盖保护。</w:t>
            </w:r>
          </w:p>
          <w:p>
            <w:pPr>
              <w:pStyle w:val="null3"/>
              <w:ind w:firstLine="480"/>
              <w:jc w:val="both"/>
            </w:pPr>
            <w:r>
              <w:rPr>
                <w:rFonts w:ascii="calibri" w:hAnsi="calibri" w:cs="calibri" w:eastAsia="calibri"/>
                <w:sz w:val="24"/>
              </w:rPr>
              <w:t>2.</w:t>
            </w:r>
            <w:r>
              <w:rPr>
                <w:rFonts w:ascii="宋体" w:hAnsi="宋体" w:cs="宋体" w:eastAsia="宋体"/>
                <w:sz w:val="24"/>
              </w:rPr>
              <w:t>施工单位必须建立完善安全管理制度，开工前必须进行安全技术交底。</w:t>
            </w:r>
          </w:p>
          <w:p>
            <w:pPr>
              <w:pStyle w:val="null3"/>
              <w:ind w:firstLine="480"/>
              <w:jc w:val="both"/>
            </w:pPr>
            <w:r>
              <w:rPr>
                <w:rFonts w:ascii="calibri" w:hAnsi="calibri" w:cs="calibri" w:eastAsia="calibri"/>
                <w:sz w:val="24"/>
              </w:rPr>
              <w:t>3.</w:t>
            </w:r>
            <w:r>
              <w:rPr>
                <w:rFonts w:ascii="宋体" w:hAnsi="宋体" w:cs="宋体" w:eastAsia="宋体"/>
                <w:sz w:val="24"/>
              </w:rPr>
              <w:t>施工现场进行封闭管理，场地内材料用具堆放整齐，做到工完料尽场地清。</w:t>
            </w:r>
          </w:p>
          <w:p>
            <w:pPr>
              <w:pStyle w:val="null3"/>
              <w:ind w:firstLine="480"/>
              <w:jc w:val="both"/>
            </w:pPr>
            <w:r>
              <w:rPr>
                <w:rFonts w:ascii="calibri" w:hAnsi="calibri" w:cs="calibri" w:eastAsia="calibri"/>
                <w:sz w:val="24"/>
              </w:rPr>
              <w:t>4.</w:t>
            </w:r>
            <w:r>
              <w:rPr>
                <w:rFonts w:ascii="宋体" w:hAnsi="宋体" w:cs="宋体" w:eastAsia="宋体"/>
                <w:sz w:val="24"/>
              </w:rPr>
              <w:t>施工应考虑及除尘降霾措施，及时进行垃圾外运。</w:t>
            </w:r>
          </w:p>
          <w:p>
            <w:pPr>
              <w:pStyle w:val="null3"/>
              <w:ind w:firstLine="480"/>
              <w:jc w:val="both"/>
            </w:pPr>
            <w:r>
              <w:rPr>
                <w:rFonts w:ascii="calibri" w:hAnsi="calibri" w:cs="calibri" w:eastAsia="calibri"/>
                <w:sz w:val="24"/>
              </w:rPr>
              <w:t>5.</w:t>
            </w:r>
            <w:r>
              <w:rPr>
                <w:rFonts w:ascii="宋体" w:hAnsi="宋体" w:cs="宋体" w:eastAsia="宋体"/>
                <w:sz w:val="24"/>
              </w:rPr>
              <w:t>施工要确保学生公寓财物安全，否则，按合同条款予以处罚。</w:t>
            </w:r>
          </w:p>
          <w:p>
            <w:pPr>
              <w:pStyle w:val="null3"/>
              <w:ind w:firstLine="480"/>
              <w:jc w:val="both"/>
            </w:pPr>
            <w:r>
              <w:rPr>
                <w:rFonts w:ascii="calibri" w:hAnsi="calibri" w:cs="calibri" w:eastAsia="calibri"/>
                <w:sz w:val="24"/>
              </w:rPr>
              <w:t>6.</w:t>
            </w:r>
            <w:r>
              <w:rPr>
                <w:rFonts w:ascii="宋体" w:hAnsi="宋体" w:cs="宋体" w:eastAsia="宋体"/>
                <w:sz w:val="24"/>
              </w:rPr>
              <w:t>产生垃圾及时清运。</w:t>
            </w:r>
          </w:p>
          <w:p>
            <w:pPr>
              <w:pStyle w:val="null3"/>
              <w:ind w:firstLine="480"/>
              <w:jc w:val="both"/>
            </w:pPr>
            <w:r>
              <w:rPr>
                <w:rFonts w:ascii="宋体" w:hAnsi="宋体" w:cs="宋体" w:eastAsia="宋体"/>
                <w:sz w:val="24"/>
              </w:rPr>
              <w:t>三、售后服务</w:t>
            </w:r>
          </w:p>
          <w:p>
            <w:pPr>
              <w:pStyle w:val="null3"/>
              <w:ind w:firstLine="480"/>
              <w:jc w:val="both"/>
            </w:pPr>
            <w:r>
              <w:rPr>
                <w:rFonts w:ascii="宋体" w:hAnsi="宋体" w:cs="宋体" w:eastAsia="宋体"/>
                <w:sz w:val="24"/>
              </w:rPr>
              <w:t>自工程竣工验收合格之日进入免费保修期，免费保修内容为由承包人负责的本工程全部质量问题。</w:t>
            </w:r>
          </w:p>
          <w:p>
            <w:pPr>
              <w:pStyle w:val="null3"/>
              <w:ind w:firstLine="480"/>
              <w:jc w:val="both"/>
            </w:pPr>
            <w:r>
              <w:rPr>
                <w:rFonts w:ascii="宋体" w:hAnsi="宋体" w:cs="宋体" w:eastAsia="宋体"/>
                <w:sz w:val="24"/>
              </w:rPr>
              <w:t>承包人收到保修通知并到达工程现场的合理时间：响应时间为正常工作日一小时内答复，二小时内到现场处理。节假日及法定休息日三小时内答复，六小时内</w:t>
            </w:r>
            <w:r>
              <w:rPr>
                <w:rFonts w:ascii="宋体" w:hAnsi="宋体" w:cs="宋体" w:eastAsia="宋体"/>
                <w:sz w:val="24"/>
              </w:rPr>
              <w:t>到现场处理。</w:t>
            </w:r>
          </w:p>
          <w:p>
            <w:pPr>
              <w:pStyle w:val="null3"/>
              <w:ind w:firstLine="480"/>
              <w:jc w:val="both"/>
            </w:pPr>
            <w:r>
              <w:rPr>
                <w:rFonts w:ascii="宋体" w:hAnsi="宋体" w:cs="宋体" w:eastAsia="宋体"/>
                <w:sz w:val="24"/>
              </w:rPr>
              <w:t>四、质量保证</w:t>
            </w:r>
          </w:p>
          <w:p>
            <w:pPr>
              <w:pStyle w:val="null3"/>
              <w:ind w:firstLine="480"/>
              <w:jc w:val="both"/>
            </w:pPr>
            <w:r>
              <w:rPr>
                <w:rFonts w:ascii="calibri" w:hAnsi="calibri" w:cs="calibri" w:eastAsia="calibri"/>
                <w:sz w:val="24"/>
              </w:rPr>
              <w:t>1.</w:t>
            </w:r>
            <w:r>
              <w:rPr>
                <w:rFonts w:ascii="宋体" w:hAnsi="宋体" w:cs="宋体" w:eastAsia="宋体"/>
                <w:sz w:val="24"/>
              </w:rPr>
              <w:t>工程质量标准：严格执行《建筑工程施工质量验收统一标准》</w:t>
            </w:r>
            <w:r>
              <w:rPr>
                <w:rFonts w:ascii="calibri" w:hAnsi="calibri" w:cs="calibri" w:eastAsia="calibri"/>
                <w:sz w:val="24"/>
              </w:rPr>
              <w:t>GB50300-2013</w:t>
            </w:r>
            <w:r>
              <w:rPr>
                <w:rFonts w:ascii="宋体" w:hAnsi="宋体" w:cs="宋体" w:eastAsia="宋体"/>
                <w:sz w:val="24"/>
              </w:rPr>
              <w:t>及行业相关规范要求。</w:t>
            </w:r>
          </w:p>
          <w:p>
            <w:pPr>
              <w:pStyle w:val="null3"/>
              <w:ind w:firstLine="480"/>
              <w:jc w:val="both"/>
            </w:pPr>
            <w:r>
              <w:rPr>
                <w:rFonts w:ascii="calibri" w:hAnsi="calibri" w:cs="calibri" w:eastAsia="calibri"/>
                <w:sz w:val="24"/>
              </w:rPr>
              <w:t>2.</w:t>
            </w:r>
            <w:r>
              <w:rPr>
                <w:rFonts w:ascii="宋体" w:hAnsi="宋体" w:cs="宋体" w:eastAsia="宋体"/>
                <w:sz w:val="24"/>
              </w:rPr>
              <w:t>乳胶漆要求：必须采用符合国家环保要求乳胶漆。</w:t>
            </w:r>
          </w:p>
          <w:p>
            <w:pPr>
              <w:pStyle w:val="null3"/>
              <w:ind w:firstLine="480"/>
              <w:jc w:val="both"/>
            </w:pPr>
            <w:r>
              <w:rPr>
                <w:rFonts w:ascii="calibri" w:hAnsi="calibri" w:cs="calibri" w:eastAsia="calibri"/>
                <w:sz w:val="24"/>
              </w:rPr>
              <w:t>3.</w:t>
            </w:r>
            <w:r>
              <w:rPr>
                <w:rFonts w:ascii="宋体" w:hAnsi="宋体" w:cs="宋体" w:eastAsia="宋体"/>
                <w:sz w:val="24"/>
              </w:rPr>
              <w:t>工程质量要求：合格。</w:t>
            </w:r>
          </w:p>
          <w:p>
            <w:pPr>
              <w:pStyle w:val="null3"/>
              <w:ind w:firstLine="480"/>
              <w:jc w:val="both"/>
            </w:pPr>
            <w:r>
              <w:rPr>
                <w:rFonts w:ascii="calibri" w:hAnsi="calibri" w:cs="calibri" w:eastAsia="calibri"/>
                <w:sz w:val="24"/>
              </w:rPr>
              <w:t>4.</w:t>
            </w:r>
            <w:r>
              <w:rPr>
                <w:rFonts w:ascii="宋体" w:hAnsi="宋体" w:cs="宋体" w:eastAsia="宋体"/>
                <w:sz w:val="24"/>
              </w:rPr>
              <w:t>工程质保期：</w:t>
            </w:r>
            <w:r>
              <w:rPr>
                <w:rFonts w:ascii="calibri" w:hAnsi="calibri" w:cs="calibri" w:eastAsia="calibri"/>
                <w:sz w:val="24"/>
              </w:rPr>
              <w:t>1</w:t>
            </w:r>
            <w:r>
              <w:rPr>
                <w:rFonts w:ascii="宋体" w:hAnsi="宋体" w:cs="宋体" w:eastAsia="宋体"/>
                <w:sz w:val="24"/>
              </w:rPr>
              <w:t>年。</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标的名称：其他建筑物修缮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一、改造内容</w:t>
            </w:r>
          </w:p>
          <w:p>
            <w:pPr>
              <w:pStyle w:val="null3"/>
              <w:ind w:firstLine="480"/>
              <w:jc w:val="both"/>
            </w:pPr>
            <w:r>
              <w:rPr>
                <w:rFonts w:ascii="calibri" w:hAnsi="calibri" w:cs="calibri" w:eastAsia="calibri"/>
                <w:sz w:val="24"/>
              </w:rPr>
              <w:t>1.</w:t>
            </w:r>
            <w:r>
              <w:rPr>
                <w:rFonts w:ascii="宋体" w:hAnsi="宋体" w:cs="宋体" w:eastAsia="宋体"/>
                <w:sz w:val="24"/>
              </w:rPr>
              <w:t>破损、墙皮脱落等情况铲除原墙面墙皮，再用腻子点补墙面，铲除及点补腻子面积按总墙面工程量</w:t>
            </w:r>
            <w:r>
              <w:rPr>
                <w:rFonts w:ascii="calibri" w:hAnsi="calibri" w:cs="calibri" w:eastAsia="calibri"/>
                <w:sz w:val="24"/>
              </w:rPr>
              <w:t>13%</w:t>
            </w:r>
            <w:r>
              <w:rPr>
                <w:rFonts w:ascii="宋体" w:hAnsi="宋体" w:cs="宋体" w:eastAsia="宋体"/>
                <w:sz w:val="24"/>
              </w:rPr>
              <w:t>计入。</w:t>
            </w:r>
          </w:p>
          <w:p>
            <w:pPr>
              <w:pStyle w:val="null3"/>
              <w:ind w:firstLine="480"/>
              <w:jc w:val="both"/>
            </w:pPr>
            <w:r>
              <w:rPr>
                <w:rFonts w:ascii="calibri" w:hAnsi="calibri" w:cs="calibri" w:eastAsia="calibri"/>
                <w:sz w:val="24"/>
              </w:rPr>
              <w:t>2.</w:t>
            </w:r>
            <w:r>
              <w:rPr>
                <w:rFonts w:ascii="宋体" w:hAnsi="宋体" w:cs="宋体" w:eastAsia="宋体"/>
                <w:sz w:val="24"/>
              </w:rPr>
              <w:t>所有墙面清理后用砂纸打磨，喷</w:t>
            </w:r>
            <w:r>
              <w:rPr>
                <w:rFonts w:ascii="calibri" w:hAnsi="calibri" w:cs="calibri" w:eastAsia="calibri"/>
                <w:sz w:val="24"/>
              </w:rPr>
              <w:t>2</w:t>
            </w:r>
            <w:r>
              <w:rPr>
                <w:rFonts w:ascii="宋体" w:hAnsi="宋体" w:cs="宋体" w:eastAsia="宋体"/>
                <w:sz w:val="24"/>
              </w:rPr>
              <w:t>遍乳胶漆。</w:t>
            </w:r>
          </w:p>
          <w:p>
            <w:pPr>
              <w:pStyle w:val="null3"/>
              <w:ind w:firstLine="480"/>
              <w:jc w:val="both"/>
            </w:pPr>
            <w:r>
              <w:rPr>
                <w:rFonts w:ascii="calibri" w:hAnsi="calibri" w:cs="calibri" w:eastAsia="calibri"/>
                <w:sz w:val="24"/>
              </w:rPr>
              <w:t>3.</w:t>
            </w:r>
            <w:r>
              <w:rPr>
                <w:rFonts w:ascii="宋体" w:hAnsi="宋体" w:cs="宋体" w:eastAsia="宋体"/>
                <w:sz w:val="24"/>
              </w:rPr>
              <w:t>粉刷总面积为</w:t>
            </w:r>
            <w:r>
              <w:rPr>
                <w:rFonts w:ascii="calibri" w:hAnsi="calibri" w:cs="calibri" w:eastAsia="calibri"/>
                <w:sz w:val="24"/>
              </w:rPr>
              <w:t>78397.82</w:t>
            </w:r>
            <w:r>
              <w:rPr>
                <w:rFonts w:ascii="宋体" w:hAnsi="宋体" w:cs="宋体" w:eastAsia="宋体"/>
                <w:sz w:val="24"/>
              </w:rPr>
              <w:t>平方米；其中</w:t>
            </w:r>
            <w:r>
              <w:rPr>
                <w:rFonts w:ascii="宋体" w:hAnsi="宋体" w:cs="宋体" w:eastAsia="宋体"/>
                <w:sz w:val="24"/>
              </w:rPr>
              <w:t>第二标段秦都校区标段粉刷面积</w:t>
            </w:r>
            <w:r>
              <w:rPr>
                <w:rFonts w:ascii="calibri" w:hAnsi="calibri" w:cs="calibri" w:eastAsia="calibri"/>
                <w:sz w:val="24"/>
              </w:rPr>
              <w:t>14376.22</w:t>
            </w:r>
            <w:r>
              <w:rPr>
                <w:rFonts w:ascii="宋体" w:hAnsi="宋体" w:cs="宋体" w:eastAsia="宋体"/>
                <w:sz w:val="24"/>
              </w:rPr>
              <w:t>平方米。</w:t>
            </w:r>
          </w:p>
          <w:p>
            <w:pPr>
              <w:pStyle w:val="null3"/>
              <w:ind w:firstLine="480"/>
              <w:jc w:val="both"/>
            </w:pPr>
            <w:r>
              <w:rPr>
                <w:rFonts w:ascii="宋体" w:hAnsi="宋体" w:cs="宋体" w:eastAsia="宋体"/>
                <w:sz w:val="24"/>
              </w:rPr>
              <w:t>二、安全文明施工要求</w:t>
            </w:r>
          </w:p>
          <w:p>
            <w:pPr>
              <w:pStyle w:val="null3"/>
              <w:ind w:firstLine="480"/>
              <w:jc w:val="both"/>
            </w:pPr>
            <w:r>
              <w:rPr>
                <w:rFonts w:ascii="calibri" w:hAnsi="calibri" w:cs="calibri" w:eastAsia="calibri"/>
                <w:sz w:val="24"/>
              </w:rPr>
              <w:t>1.</w:t>
            </w:r>
            <w:r>
              <w:rPr>
                <w:rFonts w:ascii="宋体" w:hAnsi="宋体" w:cs="宋体" w:eastAsia="宋体"/>
                <w:sz w:val="24"/>
              </w:rPr>
              <w:t>对学生宿舍内的床、柜等设施设备进行覆盖保护。</w:t>
            </w:r>
          </w:p>
          <w:p>
            <w:pPr>
              <w:pStyle w:val="null3"/>
              <w:ind w:firstLine="480"/>
              <w:jc w:val="both"/>
            </w:pPr>
            <w:r>
              <w:rPr>
                <w:rFonts w:ascii="calibri" w:hAnsi="calibri" w:cs="calibri" w:eastAsia="calibri"/>
                <w:sz w:val="24"/>
              </w:rPr>
              <w:t>2.</w:t>
            </w:r>
            <w:r>
              <w:rPr>
                <w:rFonts w:ascii="宋体" w:hAnsi="宋体" w:cs="宋体" w:eastAsia="宋体"/>
                <w:sz w:val="24"/>
              </w:rPr>
              <w:t>施工单位必须建立完善安全管理制度，开工前必须进行安全技术交底。</w:t>
            </w:r>
          </w:p>
          <w:p>
            <w:pPr>
              <w:pStyle w:val="null3"/>
              <w:ind w:firstLine="480"/>
              <w:jc w:val="both"/>
            </w:pPr>
            <w:r>
              <w:rPr>
                <w:rFonts w:ascii="calibri" w:hAnsi="calibri" w:cs="calibri" w:eastAsia="calibri"/>
                <w:sz w:val="24"/>
              </w:rPr>
              <w:t>3.</w:t>
            </w:r>
            <w:r>
              <w:rPr>
                <w:rFonts w:ascii="宋体" w:hAnsi="宋体" w:cs="宋体" w:eastAsia="宋体"/>
                <w:sz w:val="24"/>
              </w:rPr>
              <w:t>施工现场进行封闭管理，场地内材料用具堆放整齐，做到工完料尽场地清。</w:t>
            </w:r>
          </w:p>
          <w:p>
            <w:pPr>
              <w:pStyle w:val="null3"/>
              <w:ind w:firstLine="480"/>
              <w:jc w:val="both"/>
            </w:pPr>
            <w:r>
              <w:rPr>
                <w:rFonts w:ascii="calibri" w:hAnsi="calibri" w:cs="calibri" w:eastAsia="calibri"/>
                <w:sz w:val="24"/>
              </w:rPr>
              <w:t>4.</w:t>
            </w:r>
            <w:r>
              <w:rPr>
                <w:rFonts w:ascii="宋体" w:hAnsi="宋体" w:cs="宋体" w:eastAsia="宋体"/>
                <w:sz w:val="24"/>
              </w:rPr>
              <w:t>施工应考虑及除尘降霾措施，及时进行垃圾外运。</w:t>
            </w:r>
          </w:p>
          <w:p>
            <w:pPr>
              <w:pStyle w:val="null3"/>
              <w:ind w:firstLine="480"/>
              <w:jc w:val="both"/>
            </w:pPr>
            <w:r>
              <w:rPr>
                <w:rFonts w:ascii="calibri" w:hAnsi="calibri" w:cs="calibri" w:eastAsia="calibri"/>
                <w:sz w:val="24"/>
              </w:rPr>
              <w:t>5.</w:t>
            </w:r>
            <w:r>
              <w:rPr>
                <w:rFonts w:ascii="宋体" w:hAnsi="宋体" w:cs="宋体" w:eastAsia="宋体"/>
                <w:sz w:val="24"/>
              </w:rPr>
              <w:t>施工要确保学生公寓财物安全，否则，按合同条款予以处罚。</w:t>
            </w:r>
          </w:p>
          <w:p>
            <w:pPr>
              <w:pStyle w:val="null3"/>
              <w:ind w:firstLine="480"/>
              <w:jc w:val="both"/>
            </w:pPr>
            <w:r>
              <w:rPr>
                <w:rFonts w:ascii="calibri" w:hAnsi="calibri" w:cs="calibri" w:eastAsia="calibri"/>
                <w:sz w:val="24"/>
              </w:rPr>
              <w:t>6.</w:t>
            </w:r>
            <w:r>
              <w:rPr>
                <w:rFonts w:ascii="宋体" w:hAnsi="宋体" w:cs="宋体" w:eastAsia="宋体"/>
                <w:sz w:val="24"/>
              </w:rPr>
              <w:t>产生垃圾及时清运。</w:t>
            </w:r>
          </w:p>
          <w:p>
            <w:pPr>
              <w:pStyle w:val="null3"/>
              <w:ind w:firstLine="480"/>
              <w:jc w:val="both"/>
            </w:pPr>
            <w:r>
              <w:rPr>
                <w:rFonts w:ascii="宋体" w:hAnsi="宋体" w:cs="宋体" w:eastAsia="宋体"/>
                <w:sz w:val="24"/>
              </w:rPr>
              <w:t>三、售后服务</w:t>
            </w:r>
          </w:p>
          <w:p>
            <w:pPr>
              <w:pStyle w:val="null3"/>
              <w:ind w:firstLine="480"/>
              <w:jc w:val="both"/>
            </w:pPr>
            <w:r>
              <w:rPr>
                <w:rFonts w:ascii="宋体" w:hAnsi="宋体" w:cs="宋体" w:eastAsia="宋体"/>
                <w:sz w:val="24"/>
              </w:rPr>
              <w:t>自工程竣工验收合格之日进入免费保修期，免费保修内容为由承包人负责的本工程全部质量问题。</w:t>
            </w:r>
          </w:p>
          <w:p>
            <w:pPr>
              <w:pStyle w:val="null3"/>
              <w:ind w:firstLine="480"/>
              <w:jc w:val="both"/>
            </w:pPr>
            <w:r>
              <w:rPr>
                <w:rFonts w:ascii="宋体" w:hAnsi="宋体" w:cs="宋体" w:eastAsia="宋体"/>
                <w:sz w:val="24"/>
              </w:rPr>
              <w:t>承包人收到保修通知并到达工程现场的合理时间：响应时间为正常工作日一小时内答复，二小时内到现场处理。节假日及法定休息日三小时内答复，六小时内</w:t>
            </w:r>
            <w:r>
              <w:rPr>
                <w:rFonts w:ascii="宋体" w:hAnsi="宋体" w:cs="宋体" w:eastAsia="宋体"/>
                <w:sz w:val="24"/>
              </w:rPr>
              <w:t>到现场处理。</w:t>
            </w:r>
          </w:p>
          <w:p>
            <w:pPr>
              <w:pStyle w:val="null3"/>
              <w:ind w:firstLine="480"/>
              <w:jc w:val="both"/>
            </w:pPr>
            <w:r>
              <w:rPr>
                <w:rFonts w:ascii="宋体" w:hAnsi="宋体" w:cs="宋体" w:eastAsia="宋体"/>
                <w:sz w:val="24"/>
              </w:rPr>
              <w:t>四、质量保证</w:t>
            </w:r>
          </w:p>
          <w:p>
            <w:pPr>
              <w:pStyle w:val="null3"/>
              <w:ind w:firstLine="480"/>
              <w:jc w:val="both"/>
            </w:pPr>
            <w:r>
              <w:rPr>
                <w:rFonts w:ascii="calibri" w:hAnsi="calibri" w:cs="calibri" w:eastAsia="calibri"/>
                <w:sz w:val="24"/>
              </w:rPr>
              <w:t>1.</w:t>
            </w:r>
            <w:r>
              <w:rPr>
                <w:rFonts w:ascii="宋体" w:hAnsi="宋体" w:cs="宋体" w:eastAsia="宋体"/>
                <w:sz w:val="24"/>
              </w:rPr>
              <w:t>工程质量标准：严格执行《建筑工程施工质量验收统一标准》</w:t>
            </w:r>
            <w:r>
              <w:rPr>
                <w:rFonts w:ascii="calibri" w:hAnsi="calibri" w:cs="calibri" w:eastAsia="calibri"/>
                <w:sz w:val="24"/>
              </w:rPr>
              <w:t>GB50300-2013</w:t>
            </w:r>
            <w:r>
              <w:rPr>
                <w:rFonts w:ascii="宋体" w:hAnsi="宋体" w:cs="宋体" w:eastAsia="宋体"/>
                <w:sz w:val="24"/>
              </w:rPr>
              <w:t>及行业相关规范要求。</w:t>
            </w:r>
          </w:p>
          <w:p>
            <w:pPr>
              <w:pStyle w:val="null3"/>
              <w:ind w:firstLine="480"/>
              <w:jc w:val="both"/>
            </w:pPr>
            <w:r>
              <w:rPr>
                <w:rFonts w:ascii="calibri" w:hAnsi="calibri" w:cs="calibri" w:eastAsia="calibri"/>
                <w:sz w:val="24"/>
              </w:rPr>
              <w:t>2.</w:t>
            </w:r>
            <w:r>
              <w:rPr>
                <w:rFonts w:ascii="宋体" w:hAnsi="宋体" w:cs="宋体" w:eastAsia="宋体"/>
                <w:sz w:val="24"/>
              </w:rPr>
              <w:t>乳胶漆要求：必须采用符合国家环保要求乳胶漆。</w:t>
            </w:r>
          </w:p>
          <w:p>
            <w:pPr>
              <w:pStyle w:val="null3"/>
              <w:ind w:firstLine="480"/>
              <w:jc w:val="both"/>
            </w:pPr>
            <w:r>
              <w:rPr>
                <w:rFonts w:ascii="calibri" w:hAnsi="calibri" w:cs="calibri" w:eastAsia="calibri"/>
                <w:sz w:val="24"/>
              </w:rPr>
              <w:t>3.</w:t>
            </w:r>
            <w:r>
              <w:rPr>
                <w:rFonts w:ascii="宋体" w:hAnsi="宋体" w:cs="宋体" w:eastAsia="宋体"/>
                <w:sz w:val="24"/>
              </w:rPr>
              <w:t>工程质量要求：合格。</w:t>
            </w:r>
          </w:p>
          <w:p>
            <w:pPr>
              <w:pStyle w:val="null3"/>
              <w:ind w:firstLine="480"/>
              <w:jc w:val="both"/>
            </w:pPr>
            <w:r>
              <w:rPr>
                <w:rFonts w:ascii="calibri" w:hAnsi="calibri" w:cs="calibri" w:eastAsia="calibri"/>
                <w:sz w:val="24"/>
              </w:rPr>
              <w:t>4.</w:t>
            </w:r>
            <w:r>
              <w:rPr>
                <w:rFonts w:ascii="宋体" w:hAnsi="宋体" w:cs="宋体" w:eastAsia="宋体"/>
                <w:sz w:val="24"/>
              </w:rPr>
              <w:t>工程质保期：</w:t>
            </w:r>
            <w:r>
              <w:rPr>
                <w:rFonts w:ascii="calibri" w:hAnsi="calibri" w:cs="calibri" w:eastAsia="calibri"/>
                <w:sz w:val="24"/>
              </w:rPr>
              <w:t>1</w:t>
            </w:r>
            <w:r>
              <w:rPr>
                <w:rFonts w:ascii="宋体" w:hAnsi="宋体" w:cs="宋体" w:eastAsia="宋体"/>
                <w:sz w:val="24"/>
              </w:rPr>
              <w:t>年。</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本工程质量等级为符合国家相关验收标准及其配套的规范要求，并达到合格标准。</w:t>
      </w:r>
    </w:p>
    <w:p>
      <w:pPr>
        <w:pStyle w:val="null3"/>
      </w:pPr>
      <w:r>
        <w:rPr/>
        <w:t>采购包2：</w:t>
      </w:r>
    </w:p>
    <w:p>
      <w:pPr>
        <w:pStyle w:val="null3"/>
      </w:pPr>
      <w:r>
        <w:rPr/>
        <w:t>本工程质量等级为符合国家相关验收标准及其配套的规范要求，并达到合格标准。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提供2022年度或2023年经审计的财务审计报告（成立时间至提交磋商响应文件截止时间不足一年的可提供成立后任意时段的资产负债表）或开标时间前六个月内银行出具的资信证明。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t>响应文件封面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提供法定代表人授权书（附法定代表人、被授权人身份证复印件），法定代表人直接参加投标，须提供法定代表人身份证明及身份证复印件）；</w:t>
            </w:r>
          </w:p>
        </w:tc>
        <w:tc>
          <w:tcPr>
            <w:tcW w:type="dxa" w:w="1661"/>
          </w:tcPr>
          <w:p>
            <w:pPr>
              <w:pStyle w:val="null3"/>
            </w:pPr>
            <w:r>
              <w:rPr/>
              <w:t>法定代表人身份证明及授权书 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提供磋商截止日前近一年内任意一个月的纳税证明或完税证明（任意税种），依法免税的单位应提供相关证明材料；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财务审计状况</w:t>
            </w:r>
          </w:p>
        </w:tc>
        <w:tc>
          <w:tcPr>
            <w:tcW w:type="dxa" w:w="3322"/>
          </w:tcPr>
          <w:p>
            <w:pPr>
              <w:pStyle w:val="null3"/>
            </w:pPr>
            <w:r>
              <w:rPr/>
              <w:t>提供2022年度或2023年经审计的财务审计报告（成立时间至提交磋商响应文件截止时间不足一年的可提供成立后任意时段的资产负债表）或开标时间前六个月内银行出具的资信证明。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相关主体信用记录</w:t>
            </w:r>
          </w:p>
        </w:tc>
        <w:tc>
          <w:tcPr>
            <w:tcW w:type="dxa" w:w="3322"/>
          </w:tcPr>
          <w:p>
            <w:pPr>
              <w:pStyle w:val="null3"/>
            </w:pPr>
            <w:r>
              <w:rPr/>
              <w:t>供应商通过“信用中国”网站(www.creditchina.gov.cn)、中国政府采购网(www.ccgp.gov.cn)等查询相关主体信用记录；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参加政府采购活动前3年内在经营活动中没有重大违法纪录的书面声明 供应商应提交的相关资格证明材料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具有履行合同所必需的设备和专业技术能力的书面承诺</w:t>
            </w:r>
          </w:p>
        </w:tc>
        <w:tc>
          <w:tcPr>
            <w:tcW w:type="dxa" w:w="3322"/>
          </w:tcPr>
          <w:p>
            <w:pPr>
              <w:pStyle w:val="null3"/>
            </w:pPr>
            <w:r>
              <w:rPr/>
              <w:t>提供具有履行合同所必需的设备和专业技术能力的书面承诺；</w:t>
            </w:r>
          </w:p>
        </w:tc>
        <w:tc>
          <w:tcPr>
            <w:tcW w:type="dxa" w:w="1661"/>
          </w:tcPr>
          <w:p>
            <w:pPr>
              <w:pStyle w:val="null3"/>
            </w:pPr>
            <w:r>
              <w:rPr/>
              <w:t>具有履行本合同所必需的设备和专业技术能力的书面声明 供应商应提交的相关资格证明材料</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供应商须具备建筑工程施工总承包三级以上（含三级）或建筑装饰装修工程专业承包二级以上（含二级）资质，具有有效的安全生产许可证；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项目经理要求</w:t>
            </w:r>
          </w:p>
        </w:tc>
        <w:tc>
          <w:tcPr>
            <w:tcW w:type="dxa" w:w="3322"/>
          </w:tcPr>
          <w:p>
            <w:pPr>
              <w:pStyle w:val="null3"/>
            </w:pPr>
            <w:r>
              <w:rPr/>
              <w:t>拟派项目经理具有建筑工程专业二级及以上注册建造师执业资格，安全考核合格证（B证），且在本单位注册，并提供无在建工程承诺书；</w:t>
            </w:r>
          </w:p>
        </w:tc>
        <w:tc>
          <w:tcPr>
            <w:tcW w:type="dxa" w:w="1661"/>
          </w:tcPr>
          <w:p>
            <w:pPr>
              <w:pStyle w:val="null3"/>
            </w:pPr>
            <w:r>
              <w:rPr/>
              <w:t>项目经理无在建承诺书 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本采购包专门面向中小企业采购（提供中小企业声明函）</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本项目不接受联合体磋商</w:t>
            </w:r>
          </w:p>
        </w:tc>
        <w:tc>
          <w:tcPr>
            <w:tcW w:type="dxa" w:w="3322"/>
          </w:tcPr>
          <w:p>
            <w:pPr>
              <w:pStyle w:val="null3"/>
            </w:pPr>
            <w:r>
              <w:rPr/>
              <w:t>本项目不接受联合体磋商（提供承诺书）；</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提供法定代表人授权书（附法定代表人、被授权人身份证复印件），法定代表人直接参加投标，须提供法定代表人身份证明及身份证复印件）；</w:t>
            </w:r>
          </w:p>
        </w:tc>
        <w:tc>
          <w:tcPr>
            <w:tcW w:type="dxa" w:w="1661"/>
          </w:tcPr>
          <w:p>
            <w:pPr>
              <w:pStyle w:val="null3"/>
            </w:pPr>
            <w:r>
              <w:rPr/>
              <w:t>法定代表人身份证明及授权书 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提供磋商截止日前近一年内任意一个月的纳税证明或完税证明（任意税种），依法免税的单位应提供相关证明材料；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财务审计状况</w:t>
            </w:r>
          </w:p>
        </w:tc>
        <w:tc>
          <w:tcPr>
            <w:tcW w:type="dxa" w:w="3322"/>
          </w:tcPr>
          <w:p>
            <w:pPr>
              <w:pStyle w:val="null3"/>
            </w:pPr>
            <w:r>
              <w:rPr/>
              <w:t>提供2022年度或2023年经审计的财务审计报告（成立时间至提交磋商响应文件截止时间不足一年的可提供成立后任意时段的资产负债表）或开标时间前六个月内银行出具的资信证明。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相关主体信用记录</w:t>
            </w:r>
          </w:p>
        </w:tc>
        <w:tc>
          <w:tcPr>
            <w:tcW w:type="dxa" w:w="3322"/>
          </w:tcPr>
          <w:p>
            <w:pPr>
              <w:pStyle w:val="null3"/>
            </w:pPr>
            <w:r>
              <w:rPr/>
              <w:t>供应商通过“信用中国”网站(www.creditchina.gov.cn)、中国政府采购网(www.ccgp.gov.cn)等查询相关主体信用记录；</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参加政府采购活动前3年内在经营活动中没有重大违法纪录的书面声明 供应商应提交的相关资格证明材料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具有履行合同所必需的设备和专业技术能力的书面承诺</w:t>
            </w:r>
          </w:p>
        </w:tc>
        <w:tc>
          <w:tcPr>
            <w:tcW w:type="dxa" w:w="3322"/>
          </w:tcPr>
          <w:p>
            <w:pPr>
              <w:pStyle w:val="null3"/>
            </w:pPr>
            <w:r>
              <w:rPr/>
              <w:t>提供具有履行合同所必需的设备和专业技术能力的书面承诺；</w:t>
            </w:r>
          </w:p>
        </w:tc>
        <w:tc>
          <w:tcPr>
            <w:tcW w:type="dxa" w:w="1661"/>
          </w:tcPr>
          <w:p>
            <w:pPr>
              <w:pStyle w:val="null3"/>
            </w:pPr>
            <w:r>
              <w:rPr/>
              <w:t>具有履行本合同所必需的设备和专业技术能力的书面声明 供应商应提交的相关资格证明材料</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供应商须具备建筑工程施工总承包三级以上(含三级)或建筑装饰装修工程专业承包二级以上(含二级)资质，具有有效的安全生产许可证;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项目经理要求</w:t>
            </w:r>
          </w:p>
        </w:tc>
        <w:tc>
          <w:tcPr>
            <w:tcW w:type="dxa" w:w="3322"/>
          </w:tcPr>
          <w:p>
            <w:pPr>
              <w:pStyle w:val="null3"/>
            </w:pPr>
            <w:r>
              <w:rPr/>
              <w:t>拟派项目经理具有建筑工程专业二级及以上注册建造师执业资格，安全考核合格证(B证)，且在本单位注册，并提供无在建工程承诺书;</w:t>
            </w:r>
          </w:p>
        </w:tc>
        <w:tc>
          <w:tcPr>
            <w:tcW w:type="dxa" w:w="1661"/>
          </w:tcPr>
          <w:p>
            <w:pPr>
              <w:pStyle w:val="null3"/>
            </w:pPr>
            <w:r>
              <w:rPr/>
              <w:t>项目经理无在建承诺书 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本采购包专门面向中小企业采购(提供中小企业声明函)</w:t>
            </w:r>
          </w:p>
        </w:tc>
        <w:tc>
          <w:tcPr>
            <w:tcW w:type="dxa" w:w="1661"/>
          </w:tcPr>
          <w:p>
            <w:pPr>
              <w:pStyle w:val="null3"/>
            </w:pPr>
            <w:r>
              <w:rPr/>
              <w:t>供应商应提交的相关资格证明材料</w:t>
            </w:r>
          </w:p>
        </w:tc>
      </w:tr>
      <w:tr>
        <w:tc>
          <w:tcPr>
            <w:tcW w:type="dxa" w:w="831"/>
          </w:tcPr>
          <w:p>
            <w:pPr>
              <w:pStyle w:val="null3"/>
            </w:pPr>
            <w:r>
              <w:rPr/>
              <w:t>12</w:t>
            </w:r>
          </w:p>
        </w:tc>
        <w:tc>
          <w:tcPr>
            <w:tcW w:type="dxa" w:w="2492"/>
          </w:tcPr>
          <w:p>
            <w:pPr>
              <w:pStyle w:val="null3"/>
            </w:pPr>
            <w:r>
              <w:rPr/>
              <w:t>本项目不接受联合体磋商</w:t>
            </w:r>
          </w:p>
        </w:tc>
        <w:tc>
          <w:tcPr>
            <w:tcW w:type="dxa" w:w="3322"/>
          </w:tcPr>
          <w:p>
            <w:pPr>
              <w:pStyle w:val="null3"/>
            </w:pPr>
            <w:r>
              <w:rPr/>
              <w:t>本项目不接受联合体磋商(提供承诺书);</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施工组织设计-项目经理部</w:t>
            </w:r>
          </w:p>
        </w:tc>
        <w:tc>
          <w:tcPr>
            <w:tcW w:type="dxa" w:w="2492"/>
          </w:tcPr>
          <w:p>
            <w:pPr>
              <w:pStyle w:val="null3"/>
            </w:pPr>
            <w:r>
              <w:rPr/>
              <w:t>供应商针对本项目提供项目经理部组成方案。 管理制度明确，人员配备齐全，满足项目实施，根据其响应程度计0-5分。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投标方案说明书</w:t>
            </w:r>
          </w:p>
        </w:tc>
      </w:tr>
      <w:tr>
        <w:tc>
          <w:tcPr>
            <w:tcW w:type="dxa" w:w="831"/>
            <w:vMerge/>
          </w:tcPr>
          <w:p/>
        </w:tc>
        <w:tc>
          <w:tcPr>
            <w:tcW w:type="dxa" w:w="1661"/>
          </w:tcPr>
          <w:p>
            <w:pPr>
              <w:pStyle w:val="null3"/>
            </w:pPr>
            <w:r>
              <w:rPr/>
              <w:t>施工组织设计-施工方案</w:t>
            </w:r>
          </w:p>
        </w:tc>
        <w:tc>
          <w:tcPr>
            <w:tcW w:type="dxa" w:w="2492"/>
          </w:tcPr>
          <w:p>
            <w:pPr>
              <w:pStyle w:val="null3"/>
            </w:pPr>
            <w:r>
              <w:rPr/>
              <w:t>供应商针对本项目提供施工方案。 方案内容完整详细、有针对性，内容与整体项目协调，完全满足项目实施，根据其响应程度计0-5分。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施工组织设计-工期保障</w:t>
            </w:r>
          </w:p>
        </w:tc>
        <w:tc>
          <w:tcPr>
            <w:tcW w:type="dxa" w:w="2492"/>
          </w:tcPr>
          <w:p>
            <w:pPr>
              <w:pStyle w:val="null3"/>
            </w:pPr>
            <w:r>
              <w:rPr/>
              <w:t>供应商针对针对本项目施工工期要求，提供完善、合理的技术组织措施，并有应对恶劣天气、赶工等特殊情况的应急处理方案，确保施工顺利进行。满足采购人需求，根据其响应程度计0-5分。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施工进度表或施工网络图</w:t>
            </w:r>
          </w:p>
        </w:tc>
        <w:tc>
          <w:tcPr>
            <w:tcW w:type="dxa" w:w="2492"/>
          </w:tcPr>
          <w:p>
            <w:pPr>
              <w:pStyle w:val="null3"/>
            </w:pPr>
            <w:r>
              <w:rPr/>
              <w:t>针对本项目施工要求，供应商提供结构清晰、施工计划安排合理明确，切实可行，可满足工期要求的施工进度表或施工网络图，根据其响应程度计0-5分。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措施计划详细齐全、合理且切实可行，满足采购人需求，根据其响应程度计0-5分。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施工组织设计-安全作业</w:t>
            </w:r>
          </w:p>
        </w:tc>
        <w:tc>
          <w:tcPr>
            <w:tcW w:type="dxa" w:w="2492"/>
          </w:tcPr>
          <w:p>
            <w:pPr>
              <w:pStyle w:val="null3"/>
            </w:pPr>
            <w:r>
              <w:rPr/>
              <w:t>供应商针对本项目提供确保安全生产的技术组织措施。 提供具体详细、有针对性的安全作业方案及安全配套措施，完全符合采购人安全作业要求，根据其响应程度计0-5分。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 措施计划详细齐全、合理且切实可行，满足采购人需求，根据其响应程度计0-5分。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施工组织设计-新技术、新工艺应用</w:t>
            </w:r>
          </w:p>
        </w:tc>
        <w:tc>
          <w:tcPr>
            <w:tcW w:type="dxa" w:w="2492"/>
          </w:tcPr>
          <w:p>
            <w:pPr>
              <w:pStyle w:val="null3"/>
            </w:pPr>
            <w:r>
              <w:rPr/>
              <w:t>供应商针对本项目提供新技术、新工艺应用措施。 新技术、新工艺配备合理并提供来源证明材料，证明材料齐全，根据其响应程度计0-5分。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施工组织设计-机械配备</w:t>
            </w:r>
          </w:p>
        </w:tc>
        <w:tc>
          <w:tcPr>
            <w:tcW w:type="dxa" w:w="2492"/>
          </w:tcPr>
          <w:p>
            <w:pPr>
              <w:pStyle w:val="null3"/>
            </w:pPr>
            <w:r>
              <w:rPr/>
              <w:t>供应商针对本项目提供施工机械配备和材料投入计划。 施工机械配备合理并提供设备来源证明材料，证明材料齐全，根据其响应程度计0-5分。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供应商应提供施工保修承诺书。 内容详细、科学、有利于项目实施，根据其响应程度计0-5分。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质量保障</w:t>
            </w:r>
          </w:p>
        </w:tc>
        <w:tc>
          <w:tcPr>
            <w:tcW w:type="dxa" w:w="2492"/>
          </w:tcPr>
          <w:p>
            <w:pPr>
              <w:pStyle w:val="null3"/>
            </w:pPr>
            <w:r>
              <w:rPr/>
              <w:t>供应商针对本项目提供主要材料清单（清单内容包括但不限于材料名称、品牌、规格、技术参数等）。 主要材料配备合理并提供设备来源证明材料，根据其响应程度计0-5分。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应急方案</w:t>
            </w:r>
          </w:p>
        </w:tc>
        <w:tc>
          <w:tcPr>
            <w:tcW w:type="dxa" w:w="2492"/>
          </w:tcPr>
          <w:p>
            <w:pPr>
              <w:pStyle w:val="null3"/>
            </w:pPr>
            <w:r>
              <w:rPr/>
              <w:t>根据本项目要求，针对实施过程中应急方案进行响应，按其响应程度计0-5分。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提供2021年1月至今(以合同签订日期为准)类似项目业绩，以合同复印件加盖公章为准。每提供1份得2分，最多10分，未提供得0分。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施工组织设计-项目经理部</w:t>
            </w:r>
          </w:p>
        </w:tc>
        <w:tc>
          <w:tcPr>
            <w:tcW w:type="dxa" w:w="2492"/>
          </w:tcPr>
          <w:p>
            <w:pPr>
              <w:pStyle w:val="null3"/>
            </w:pPr>
            <w:r>
              <w:rPr/>
              <w:t>供应商针对本项目提供项目经理部组成方案。 管理制度明确，人员配备齐全，满足项目实施，根据其响应程度计0-5分。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p>
            <w:pPr>
              <w:pStyle w:val="null3"/>
            </w:pPr>
            <w:r>
              <w:rPr/>
              <w:t>投标方案说明书</w:t>
            </w:r>
          </w:p>
        </w:tc>
      </w:tr>
      <w:tr>
        <w:tc>
          <w:tcPr>
            <w:tcW w:type="dxa" w:w="831"/>
            <w:vMerge/>
          </w:tcPr>
          <w:p/>
        </w:tc>
        <w:tc>
          <w:tcPr>
            <w:tcW w:type="dxa" w:w="1661"/>
          </w:tcPr>
          <w:p>
            <w:pPr>
              <w:pStyle w:val="null3"/>
            </w:pPr>
            <w:r>
              <w:rPr/>
              <w:t>施工组织设计-施工方案</w:t>
            </w:r>
          </w:p>
        </w:tc>
        <w:tc>
          <w:tcPr>
            <w:tcW w:type="dxa" w:w="2492"/>
          </w:tcPr>
          <w:p>
            <w:pPr>
              <w:pStyle w:val="null3"/>
            </w:pPr>
            <w:r>
              <w:rPr/>
              <w:t>供应商针对本项目提供施工方案。 方案内容完整详细、有针对性，内容与整体项目协调，完全满足项目实施，根据其响应程度计0-5分。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施工组织设计-工期保障</w:t>
            </w:r>
          </w:p>
        </w:tc>
        <w:tc>
          <w:tcPr>
            <w:tcW w:type="dxa" w:w="2492"/>
          </w:tcPr>
          <w:p>
            <w:pPr>
              <w:pStyle w:val="null3"/>
            </w:pPr>
            <w:r>
              <w:rPr/>
              <w:t>供应商针对针对本项目施工工期要求，提供完善、合理的技术组织措施，并有应对恶劣天气、赶工等特殊情况的应急处理方案，确保施工顺利进行。 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施工进度表或施工网络图</w:t>
            </w:r>
          </w:p>
        </w:tc>
        <w:tc>
          <w:tcPr>
            <w:tcW w:type="dxa" w:w="2492"/>
          </w:tcPr>
          <w:p>
            <w:pPr>
              <w:pStyle w:val="null3"/>
            </w:pPr>
            <w:r>
              <w:rPr/>
              <w:t>针对本项目施工要求，供应商提供结构清晰、施工计划安排合理明确，切实可行，可满足工期要求的施工进度表或施工网络图，根据其响应程度计0-5分。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施工组织设计-工程质量</w:t>
            </w:r>
          </w:p>
        </w:tc>
        <w:tc>
          <w:tcPr>
            <w:tcW w:type="dxa" w:w="2492"/>
          </w:tcPr>
          <w:p>
            <w:pPr>
              <w:pStyle w:val="null3"/>
            </w:pPr>
            <w:r>
              <w:rPr/>
              <w:t>供应商针对本项目提供确保工程质量的技术组织措施。 措施计划详细齐全、合理目切实可行，满足采购人需求，根据其响应程度计0-5分。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施工组织设计-安全作业</w:t>
            </w:r>
          </w:p>
        </w:tc>
        <w:tc>
          <w:tcPr>
            <w:tcW w:type="dxa" w:w="2492"/>
          </w:tcPr>
          <w:p>
            <w:pPr>
              <w:pStyle w:val="null3"/>
            </w:pPr>
            <w:r>
              <w:rPr/>
              <w:t>供应商针对本项目提供确保安全生产的技术组织措施。提供具体详细、有针对性的安全作业方案及安全配憙措施，完全符合采购人安全作业要求，根据其响应程度计0-5分。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施工组织设计-文明施工</w:t>
            </w:r>
          </w:p>
        </w:tc>
        <w:tc>
          <w:tcPr>
            <w:tcW w:type="dxa" w:w="2492"/>
          </w:tcPr>
          <w:p>
            <w:pPr>
              <w:pStyle w:val="null3"/>
            </w:pPr>
            <w:r>
              <w:rPr/>
              <w:t>供应商针对本项目提供确保文明施工的技术组织措施。 措施计划详细齐全、合理目切实可行，满足采购人需求，根据其响应程度计0-5分。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施工组织设计-新技术、新工艺应用</w:t>
            </w:r>
          </w:p>
        </w:tc>
        <w:tc>
          <w:tcPr>
            <w:tcW w:type="dxa" w:w="2492"/>
          </w:tcPr>
          <w:p>
            <w:pPr>
              <w:pStyle w:val="null3"/>
            </w:pPr>
            <w:r>
              <w:rPr/>
              <w:t>供应商针对本项目提供新技术、新工艺应用措施。 新技术、新工艺配备合理并提供来源证明材料，证明材料齐全，根据其响应程度计0-5分。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施工组织设计-机械配备</w:t>
            </w:r>
          </w:p>
        </w:tc>
        <w:tc>
          <w:tcPr>
            <w:tcW w:type="dxa" w:w="2492"/>
          </w:tcPr>
          <w:p>
            <w:pPr>
              <w:pStyle w:val="null3"/>
            </w:pPr>
            <w:r>
              <w:rPr/>
              <w:t>供应商针对本项目提供施工机械配备和材料投入计划，施工机械配备合理并提供设备来源证明材料，证明材料齐全，根据其响应程度计0-5分。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保修承诺</w:t>
            </w:r>
          </w:p>
        </w:tc>
        <w:tc>
          <w:tcPr>
            <w:tcW w:type="dxa" w:w="2492"/>
          </w:tcPr>
          <w:p>
            <w:pPr>
              <w:pStyle w:val="null3"/>
            </w:pPr>
            <w:r>
              <w:rPr/>
              <w:t>供应商应提供施工保修承诺书。 内容详细、科学、有利于项目实施，根据其响应程度计0-5分。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质量保障</w:t>
            </w:r>
          </w:p>
        </w:tc>
        <w:tc>
          <w:tcPr>
            <w:tcW w:type="dxa" w:w="2492"/>
          </w:tcPr>
          <w:p>
            <w:pPr>
              <w:pStyle w:val="null3"/>
            </w:pPr>
            <w:r>
              <w:rPr/>
              <w:t>供应商针对本项目提供主要材料清单(清单内容包括但不限于材料名称、品牌、规格、技术参数等)。主要材料配备合理并提供设备来源证明材料，根据其响应程度计0-5分。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应急方案</w:t>
            </w:r>
          </w:p>
        </w:tc>
        <w:tc>
          <w:tcPr>
            <w:tcW w:type="dxa" w:w="2492"/>
          </w:tcPr>
          <w:p>
            <w:pPr>
              <w:pStyle w:val="null3"/>
            </w:pPr>
            <w:r>
              <w:rPr/>
              <w:t>根据本项目要求，针对实施过程中应急方案进行响应，按其响应程度计0-5分，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提供2021年1月至今(以合同签订日期为准)类似项目业绩，以合同复印件加盖公章为准。每提供1份得2分，最多10分，未提供得0分。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详见附件：法定代表人身份证明及授权书</w:t>
      </w:r>
    </w:p>
    <w:p>
      <w:pPr>
        <w:pStyle w:val="null3"/>
        <w:ind w:firstLine="960"/>
      </w:pPr>
      <w:r>
        <w:rPr/>
        <w:t>详见附件：具有履行本合同所必需的设备和专业技术能力的书面声明</w:t>
      </w:r>
    </w:p>
    <w:p>
      <w:pPr>
        <w:pStyle w:val="null3"/>
        <w:ind w:firstLine="960"/>
      </w:pPr>
      <w:r>
        <w:rPr/>
        <w:t>详见附件：参加政府采购活动前3年内在经营活动中没有重大违法纪录的书面声明</w:t>
      </w:r>
    </w:p>
    <w:p>
      <w:pPr>
        <w:pStyle w:val="null3"/>
        <w:ind w:firstLine="960"/>
      </w:pPr>
      <w:r>
        <w:rPr/>
        <w:t>详见附件：项目经理无在建承诺书</w:t>
      </w:r>
    </w:p>
    <w:p>
      <w:pPr>
        <w:pStyle w:val="null3"/>
        <w:ind w:firstLine="960"/>
      </w:pPr>
      <w:r>
        <w:rPr/>
        <w:t>详见附件：投标方案说明书</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详见附件：法定代表人身份证明及授权书</w:t>
      </w:r>
    </w:p>
    <w:p>
      <w:pPr>
        <w:pStyle w:val="null3"/>
        <w:ind w:firstLine="960"/>
      </w:pPr>
      <w:r>
        <w:rPr/>
        <w:t>详见附件：具有履行本合同所必需的设备和专业技术能力的书面声明</w:t>
      </w:r>
    </w:p>
    <w:p>
      <w:pPr>
        <w:pStyle w:val="null3"/>
        <w:ind w:firstLine="960"/>
      </w:pPr>
      <w:r>
        <w:rPr/>
        <w:t>详见附件：参加政府采购活动前3年内在经营活动中没有重大违法纪录的书面声明</w:t>
      </w:r>
    </w:p>
    <w:p>
      <w:pPr>
        <w:pStyle w:val="null3"/>
        <w:ind w:firstLine="960"/>
      </w:pPr>
      <w:r>
        <w:rPr/>
        <w:t>详见附件：项目经理无在建承诺书</w:t>
      </w:r>
    </w:p>
    <w:p>
      <w:pPr>
        <w:pStyle w:val="null3"/>
        <w:ind w:firstLine="960"/>
      </w:pPr>
      <w:r>
        <w:rPr/>
        <w:t>详见附件：投标方案说明书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