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eastAsia" w:ascii="宋体" w:hAnsi="宋体" w:cs="宋体"/>
          <w:b/>
          <w:bCs/>
          <w:sz w:val="28"/>
          <w:szCs w:val="24"/>
          <w:highlight w:val="none"/>
          <w:lang w:val="en-US" w:eastAsia="zh-CN"/>
        </w:rPr>
      </w:pPr>
      <w:r>
        <w:rPr>
          <w:rFonts w:hint="eastAsia" w:ascii="宋体" w:hAnsi="宋体" w:cs="宋体"/>
          <w:b/>
          <w:bCs/>
          <w:sz w:val="28"/>
          <w:szCs w:val="24"/>
          <w:highlight w:val="none"/>
          <w:lang w:eastAsia="zh-CN"/>
        </w:rPr>
        <w:t>管理区AB门改造项目</w:t>
      </w:r>
      <w:r>
        <w:rPr>
          <w:rFonts w:hint="eastAsia" w:ascii="宋体" w:hAnsi="宋体" w:cs="宋体"/>
          <w:b/>
          <w:bCs/>
          <w:sz w:val="28"/>
          <w:szCs w:val="24"/>
          <w:highlight w:val="none"/>
          <w:lang w:val="en-US" w:eastAsia="zh-CN"/>
        </w:rPr>
        <w:t>竞争性磋商公告</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管理区AB门改造项目</w:t>
      </w:r>
      <w:r>
        <w:rPr>
          <w:rFonts w:hint="eastAsia" w:ascii="宋体" w:hAnsi="宋体" w:eastAsia="宋体" w:cs="宋体"/>
          <w:sz w:val="24"/>
          <w:szCs w:val="24"/>
          <w:highlight w:val="none"/>
        </w:rPr>
        <w:t>的潜在供应商应在全国公共资源交易平台（陕西省·宝鸡市）】（http://bj.sxggzyjy.cn）获取采购文件，并于202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分（北京时间）前提交响应文件。</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HTZB2024-BJ-023</w:t>
      </w:r>
    </w:p>
    <w:p>
      <w:pPr>
        <w:bidi w:val="0"/>
        <w:spacing w:line="360"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管理区AB门改造项目</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1381700.00</w:t>
      </w:r>
      <w:r>
        <w:rPr>
          <w:rFonts w:hint="eastAsia" w:ascii="宋体" w:hAnsi="宋体" w:eastAsia="宋体" w:cs="宋体"/>
          <w:sz w:val="24"/>
          <w:szCs w:val="24"/>
          <w:highlight w:val="none"/>
        </w:rPr>
        <w:t>元</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管理区AB门改造项目</w:t>
      </w:r>
      <w:r>
        <w:rPr>
          <w:rFonts w:hint="eastAsia" w:ascii="宋体" w:hAnsi="宋体" w:eastAsia="宋体" w:cs="宋体"/>
          <w:sz w:val="24"/>
          <w:szCs w:val="24"/>
          <w:highlight w:val="none"/>
        </w:rPr>
        <w:t>):</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val="en-US" w:eastAsia="zh-CN"/>
        </w:rPr>
        <w:t>1381700.00</w:t>
      </w:r>
      <w:r>
        <w:rPr>
          <w:rFonts w:hint="eastAsia" w:ascii="宋体" w:hAnsi="宋体" w:eastAsia="宋体" w:cs="宋体"/>
          <w:sz w:val="24"/>
          <w:szCs w:val="24"/>
          <w:highlight w:val="none"/>
        </w:rPr>
        <w:t>元</w:t>
      </w:r>
    </w:p>
    <w:p>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1381700.00</w:t>
      </w:r>
      <w:r>
        <w:rPr>
          <w:rFonts w:hint="eastAsia" w:ascii="宋体" w:hAnsi="宋体" w:eastAsia="宋体" w:cs="宋体"/>
          <w:sz w:val="24"/>
          <w:szCs w:val="24"/>
          <w:highlight w:val="none"/>
        </w:rPr>
        <w:t>元</w:t>
      </w:r>
    </w:p>
    <w:tbl>
      <w:tblPr>
        <w:tblStyle w:val="10"/>
        <w:tblW w:w="9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7"/>
        <w:gridCol w:w="1943"/>
        <w:gridCol w:w="1871"/>
        <w:gridCol w:w="918"/>
        <w:gridCol w:w="1124"/>
        <w:gridCol w:w="1392"/>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blHeader/>
        </w:trPr>
        <w:tc>
          <w:tcPr>
            <w:tcW w:w="59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品目号</w:t>
            </w:r>
          </w:p>
        </w:tc>
        <w:tc>
          <w:tcPr>
            <w:tcW w:w="19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品目名称</w:t>
            </w:r>
          </w:p>
        </w:tc>
        <w:tc>
          <w:tcPr>
            <w:tcW w:w="187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采购标的</w:t>
            </w:r>
          </w:p>
        </w:tc>
        <w:tc>
          <w:tcPr>
            <w:tcW w:w="9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数量（单位）</w:t>
            </w:r>
          </w:p>
        </w:tc>
        <w:tc>
          <w:tcPr>
            <w:tcW w:w="112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技术规格、参数及要求</w:t>
            </w:r>
          </w:p>
        </w:tc>
        <w:tc>
          <w:tcPr>
            <w:tcW w:w="139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品目预算(元)</w:t>
            </w:r>
          </w:p>
        </w:tc>
        <w:tc>
          <w:tcPr>
            <w:tcW w:w="139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1-1</w:t>
            </w:r>
          </w:p>
        </w:tc>
        <w:tc>
          <w:tcPr>
            <w:tcW w:w="194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其他建筑工程</w:t>
            </w:r>
          </w:p>
        </w:tc>
        <w:tc>
          <w:tcPr>
            <w:tcW w:w="187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管理区AB门改造项目</w:t>
            </w:r>
          </w:p>
        </w:tc>
        <w:tc>
          <w:tcPr>
            <w:tcW w:w="9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w:t>
            </w:r>
          </w:p>
        </w:tc>
        <w:tc>
          <w:tcPr>
            <w:tcW w:w="112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39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1381700.00</w:t>
            </w:r>
          </w:p>
        </w:tc>
        <w:tc>
          <w:tcPr>
            <w:tcW w:w="139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1381700.00</w:t>
            </w:r>
          </w:p>
        </w:tc>
      </w:tr>
    </w:tbl>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90日历天</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管理区AB门改造项目</w:t>
      </w:r>
      <w:r>
        <w:rPr>
          <w:rFonts w:hint="eastAsia" w:ascii="宋体" w:hAnsi="宋体" w:eastAsia="宋体" w:cs="宋体"/>
          <w:sz w:val="24"/>
          <w:szCs w:val="24"/>
          <w:highlight w:val="none"/>
        </w:rPr>
        <w:t>)落实政府采购政策需满足的资格要求如下:</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pPr>
        <w:numPr>
          <w:ilvl w:val="0"/>
          <w:numId w:val="2"/>
        </w:num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促进中小企业发展管理办法》的通知--财库〔2020〕46号；（2）《财政部司法部关于政府采购支持监狱企业发展有关问题的通知》财库〔2014〕68号；（3）《财政部发展改革委生态环境部市场监管总局关于调整优化节能产品环境标志产品政府采购执行机制的通知》--财库〔2019〕9号；（4）《节能产品政府采购实施意见》--财库〔2004〕185号；（5）《环境标志产品政府采购实施的意见》--财库〔2006〕90号；《财政部环保总局关于环境标志产品政府采购实施的意见》(财库〔2006〕180号)；（6）《关于促进残疾人就业政府采购政策的通知》--财库〔2017〕141号；（7）《国务院办公厅关于建立政府强制采购节能产品制度的通知》--国办发〔2007〕51号；（8）《财政部农业农村部国家乡村振兴局关于运用政府采购政策支持乡村产业振兴的通知》（财库〔2021〕19号）；（9）《陕西省财政厅关于进一步加强政府绿色采购有关问题的通知》（陕财办采〔2021〕29号）；（10）《关于进一步加大政府采购支持中小企业力度的通知》（财库〔2022〕19号）；（11）如有最新颁布的政府采购政策，按最新的文件执行。</w:t>
      </w:r>
    </w:p>
    <w:p>
      <w:pPr>
        <w:numPr>
          <w:ilvl w:val="0"/>
          <w:numId w:val="0"/>
        </w:num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管理区AB门改造项目</w:t>
      </w:r>
      <w:r>
        <w:rPr>
          <w:rFonts w:hint="eastAsia" w:ascii="宋体" w:hAnsi="宋体" w:eastAsia="宋体" w:cs="宋体"/>
          <w:sz w:val="24"/>
          <w:szCs w:val="24"/>
          <w:highlight w:val="none"/>
        </w:rPr>
        <w:t>)特定资格要求如下:</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（1）供应商具有独立承担民事责任能力的法人或其他组织，并出具合法有效的营业执照或事业单位法人证书等国家规定的相关证明资料；</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lang w:eastAsia="zh-CN"/>
        </w:rPr>
        <w:t>（</w:t>
      </w:r>
      <w:r>
        <w:rPr>
          <w:rFonts w:hint="default" w:ascii="Times New Roman" w:hAnsi="Times New Roman" w:eastAsia="宋体" w:cs="Times New Roman"/>
          <w:b w:val="0"/>
          <w:bCs w:val="0"/>
          <w:color w:val="auto"/>
          <w:sz w:val="24"/>
          <w:szCs w:val="24"/>
          <w:highlight w:val="none"/>
          <w:u w:val="none"/>
          <w:lang w:val="en-US" w:eastAsia="zh-CN"/>
        </w:rPr>
        <w:t>2</w:t>
      </w:r>
      <w:r>
        <w:rPr>
          <w:rFonts w:hint="default" w:ascii="Times New Roman" w:hAnsi="Times New Roman" w:eastAsia="宋体" w:cs="Times New Roman"/>
          <w:b w:val="0"/>
          <w:bCs w:val="0"/>
          <w:color w:val="auto"/>
          <w:sz w:val="24"/>
          <w:szCs w:val="24"/>
          <w:highlight w:val="none"/>
          <w:u w:val="none"/>
          <w:lang w:eastAsia="zh-CN"/>
        </w:rPr>
        <w:t>）</w:t>
      </w:r>
      <w:r>
        <w:rPr>
          <w:rFonts w:hint="default" w:ascii="Times New Roman" w:hAnsi="Times New Roman" w:eastAsia="宋体" w:cs="Times New Roman"/>
          <w:b w:val="0"/>
          <w:bCs w:val="0"/>
          <w:color w:val="auto"/>
          <w:sz w:val="24"/>
          <w:szCs w:val="24"/>
          <w:highlight w:val="none"/>
          <w:u w:val="none"/>
        </w:rPr>
        <w:t>供应商应授权合法的人员参加</w:t>
      </w:r>
      <w:r>
        <w:rPr>
          <w:rFonts w:hint="default" w:ascii="Times New Roman" w:hAnsi="Times New Roman" w:eastAsia="宋体" w:cs="Times New Roman"/>
          <w:b w:val="0"/>
          <w:bCs w:val="0"/>
          <w:color w:val="auto"/>
          <w:sz w:val="24"/>
          <w:szCs w:val="24"/>
          <w:highlight w:val="none"/>
          <w:u w:val="none"/>
          <w:lang w:val="en-US" w:eastAsia="zh-CN"/>
        </w:rPr>
        <w:t>磋商</w:t>
      </w:r>
      <w:r>
        <w:rPr>
          <w:rFonts w:hint="default" w:ascii="Times New Roman" w:hAnsi="Times New Roman" w:eastAsia="宋体" w:cs="Times New Roman"/>
          <w:b w:val="0"/>
          <w:bCs w:val="0"/>
          <w:color w:val="auto"/>
          <w:sz w:val="24"/>
          <w:szCs w:val="24"/>
          <w:highlight w:val="none"/>
          <w:u w:val="none"/>
        </w:rPr>
        <w:t>全过程，其中法定代表人直接参加</w:t>
      </w:r>
      <w:r>
        <w:rPr>
          <w:rFonts w:hint="default" w:ascii="Times New Roman" w:hAnsi="Times New Roman" w:eastAsia="宋体" w:cs="Times New Roman"/>
          <w:b w:val="0"/>
          <w:bCs w:val="0"/>
          <w:color w:val="auto"/>
          <w:sz w:val="24"/>
          <w:szCs w:val="24"/>
          <w:highlight w:val="none"/>
          <w:u w:val="none"/>
          <w:lang w:val="en-US" w:eastAsia="zh-CN"/>
        </w:rPr>
        <w:t>磋商</w:t>
      </w:r>
      <w:r>
        <w:rPr>
          <w:rFonts w:hint="default" w:ascii="Times New Roman" w:hAnsi="Times New Roman" w:eastAsia="宋体" w:cs="Times New Roman"/>
          <w:b w:val="0"/>
          <w:bCs w:val="0"/>
          <w:color w:val="auto"/>
          <w:sz w:val="24"/>
          <w:szCs w:val="24"/>
          <w:highlight w:val="none"/>
          <w:u w:val="none"/>
        </w:rPr>
        <w:t>的，须出具法人身份证明，并与营业执照上信息一致。法定代表人授权代表参加</w:t>
      </w:r>
      <w:r>
        <w:rPr>
          <w:rFonts w:hint="default" w:ascii="Times New Roman" w:hAnsi="Times New Roman" w:eastAsia="宋体" w:cs="Times New Roman"/>
          <w:b w:val="0"/>
          <w:bCs w:val="0"/>
          <w:color w:val="auto"/>
          <w:sz w:val="24"/>
          <w:szCs w:val="24"/>
          <w:highlight w:val="none"/>
          <w:u w:val="none"/>
          <w:lang w:val="en-US" w:eastAsia="zh-CN"/>
        </w:rPr>
        <w:t>磋商</w:t>
      </w:r>
      <w:r>
        <w:rPr>
          <w:rFonts w:hint="default" w:ascii="Times New Roman" w:hAnsi="Times New Roman" w:eastAsia="宋体" w:cs="Times New Roman"/>
          <w:b w:val="0"/>
          <w:bCs w:val="0"/>
          <w:color w:val="auto"/>
          <w:sz w:val="24"/>
          <w:szCs w:val="24"/>
          <w:highlight w:val="none"/>
          <w:u w:val="none"/>
        </w:rPr>
        <w:t>的，须出具法定代表人授权书及授权代表身份证；</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lang w:eastAsia="zh-CN"/>
        </w:rPr>
        <w:t>（</w:t>
      </w:r>
      <w:r>
        <w:rPr>
          <w:rFonts w:hint="default" w:ascii="Times New Roman" w:hAnsi="Times New Roman" w:eastAsia="宋体" w:cs="Times New Roman"/>
          <w:b w:val="0"/>
          <w:bCs w:val="0"/>
          <w:color w:val="auto"/>
          <w:sz w:val="24"/>
          <w:szCs w:val="24"/>
          <w:highlight w:val="none"/>
          <w:u w:val="none"/>
          <w:lang w:val="en-US" w:eastAsia="zh-CN"/>
        </w:rPr>
        <w:t>3</w:t>
      </w:r>
      <w:r>
        <w:rPr>
          <w:rFonts w:hint="default" w:ascii="Times New Roman" w:hAnsi="Times New Roman" w:eastAsia="宋体" w:cs="Times New Roman"/>
          <w:b w:val="0"/>
          <w:bCs w:val="0"/>
          <w:color w:val="auto"/>
          <w:sz w:val="24"/>
          <w:szCs w:val="24"/>
          <w:highlight w:val="none"/>
          <w:u w:val="none"/>
          <w:lang w:eastAsia="zh-CN"/>
        </w:rPr>
        <w:t>）</w:t>
      </w:r>
      <w:r>
        <w:rPr>
          <w:rFonts w:hint="eastAsia" w:ascii="Times New Roman" w:eastAsia="宋体" w:cs="Times New Roman"/>
          <w:b w:val="0"/>
          <w:bCs w:val="0"/>
          <w:color w:val="auto"/>
          <w:sz w:val="24"/>
          <w:szCs w:val="24"/>
          <w:highlight w:val="none"/>
          <w:u w:val="none"/>
          <w:lang w:eastAsia="zh-CN"/>
        </w:rPr>
        <w:t>供应商</w:t>
      </w:r>
      <w:r>
        <w:rPr>
          <w:rFonts w:hint="default" w:ascii="Times New Roman" w:hAnsi="Times New Roman" w:eastAsia="宋体" w:cs="Times New Roman"/>
          <w:b w:val="0"/>
          <w:bCs w:val="0"/>
          <w:color w:val="auto"/>
          <w:sz w:val="24"/>
          <w:szCs w:val="24"/>
          <w:highlight w:val="none"/>
          <w:u w:val="none"/>
        </w:rPr>
        <w:t>须具备</w:t>
      </w:r>
      <w:bookmarkStart w:id="0" w:name="_GoBack"/>
      <w:bookmarkEnd w:id="0"/>
      <w:r>
        <w:rPr>
          <w:rFonts w:hint="default" w:ascii="Times New Roman" w:hAnsi="Times New Roman" w:eastAsia="宋体" w:cs="Times New Roman"/>
          <w:b w:val="0"/>
          <w:bCs w:val="0"/>
          <w:color w:val="auto"/>
          <w:sz w:val="24"/>
          <w:szCs w:val="24"/>
          <w:highlight w:val="none"/>
          <w:u w:val="none"/>
        </w:rPr>
        <w:t>建设主管部门颁发的</w:t>
      </w:r>
      <w:r>
        <w:rPr>
          <w:rFonts w:hint="eastAsia" w:ascii="Times New Roman" w:eastAsia="宋体" w:cs="Times New Roman"/>
          <w:b w:val="0"/>
          <w:bCs w:val="0"/>
          <w:color w:val="auto"/>
          <w:sz w:val="24"/>
          <w:szCs w:val="24"/>
          <w:highlight w:val="none"/>
          <w:u w:val="none"/>
          <w:lang w:eastAsia="zh-CN"/>
        </w:rPr>
        <w:t>建筑工程</w:t>
      </w:r>
      <w:r>
        <w:rPr>
          <w:rFonts w:hint="default" w:ascii="Times New Roman" w:hAnsi="Times New Roman" w:eastAsia="宋体" w:cs="Times New Roman"/>
          <w:b w:val="0"/>
          <w:bCs w:val="0"/>
          <w:color w:val="auto"/>
          <w:sz w:val="24"/>
          <w:szCs w:val="24"/>
          <w:highlight w:val="none"/>
          <w:u w:val="none"/>
        </w:rPr>
        <w:t>施工总承包三级及以上资质且具有合格有效的安全生产许可证，并在人员、设备、资金等方面具有相应的施工能力；</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eastAsia="zh-CN"/>
        </w:rPr>
      </w:pPr>
      <w:r>
        <w:rPr>
          <w:rFonts w:hint="default" w:ascii="Times New Roman" w:hAnsi="Times New Roman" w:eastAsia="宋体" w:cs="Times New Roman"/>
          <w:b w:val="0"/>
          <w:bCs w:val="0"/>
          <w:color w:val="auto"/>
          <w:sz w:val="24"/>
          <w:szCs w:val="24"/>
          <w:highlight w:val="none"/>
          <w:u w:val="none"/>
          <w:lang w:eastAsia="zh-CN"/>
        </w:rPr>
        <w:t>（</w:t>
      </w:r>
      <w:r>
        <w:rPr>
          <w:rFonts w:hint="default" w:ascii="Times New Roman" w:hAnsi="Times New Roman" w:eastAsia="宋体" w:cs="Times New Roman"/>
          <w:b w:val="0"/>
          <w:bCs w:val="0"/>
          <w:color w:val="auto"/>
          <w:sz w:val="24"/>
          <w:szCs w:val="24"/>
          <w:highlight w:val="none"/>
          <w:u w:val="none"/>
          <w:lang w:val="en-US" w:eastAsia="zh-CN"/>
        </w:rPr>
        <w:t>4</w:t>
      </w:r>
      <w:r>
        <w:rPr>
          <w:rFonts w:hint="default" w:ascii="Times New Roman" w:hAnsi="Times New Roman" w:eastAsia="宋体" w:cs="Times New Roman"/>
          <w:b w:val="0"/>
          <w:bCs w:val="0"/>
          <w:color w:val="auto"/>
          <w:sz w:val="24"/>
          <w:szCs w:val="24"/>
          <w:highlight w:val="none"/>
          <w:u w:val="none"/>
          <w:lang w:eastAsia="zh-CN"/>
        </w:rPr>
        <w:t>）拟派项目经理须具备</w:t>
      </w:r>
      <w:r>
        <w:rPr>
          <w:rFonts w:hint="eastAsia" w:ascii="Times New Roman" w:eastAsia="宋体" w:cs="Times New Roman"/>
          <w:b w:val="0"/>
          <w:bCs w:val="0"/>
          <w:color w:val="auto"/>
          <w:sz w:val="24"/>
          <w:szCs w:val="24"/>
          <w:highlight w:val="none"/>
          <w:u w:val="none"/>
          <w:lang w:eastAsia="zh-CN"/>
        </w:rPr>
        <w:t>建筑工程</w:t>
      </w:r>
      <w:r>
        <w:rPr>
          <w:rFonts w:hint="default" w:ascii="Times New Roman" w:hAnsi="Times New Roman" w:eastAsia="宋体" w:cs="Times New Roman"/>
          <w:b w:val="0"/>
          <w:bCs w:val="0"/>
          <w:color w:val="auto"/>
          <w:sz w:val="24"/>
          <w:szCs w:val="24"/>
          <w:highlight w:val="none"/>
          <w:u w:val="none"/>
          <w:lang w:eastAsia="zh-CN"/>
        </w:rPr>
        <w:t>专业二级及以上注册建造师执业资格和有效的安全生产考核B证，且无在建工程(提供无在建项目承诺书)，提供其在本单位开标前至少6个月的职工养老保险缴纳证明；</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lang w:val="en-US" w:eastAsia="zh-CN"/>
        </w:rPr>
        <w:t>（5）财务状况报告：供应商须提供由具有财务审计资质单位出具的2022年度完整的财务审计报告或投标截止之前三个月内其基本存款账户开户银行出具的资信证明；</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（6）社保缴纳证明：供应商须提供</w:t>
      </w:r>
      <w:r>
        <w:rPr>
          <w:rFonts w:hint="eastAsia" w:ascii="Times New Roman" w:eastAsia="宋体" w:cs="Times New Roman"/>
          <w:b w:val="0"/>
          <w:bCs w:val="0"/>
          <w:color w:val="auto"/>
          <w:sz w:val="24"/>
          <w:szCs w:val="24"/>
          <w:highlight w:val="none"/>
          <w:u w:val="none"/>
          <w:lang w:val="en-US" w:eastAsia="zh-CN"/>
        </w:rPr>
        <w:t>响应文件递交截止时间前一年内已缴存的任意六个月</w:t>
      </w:r>
      <w:r>
        <w:rPr>
          <w:rFonts w:hint="default" w:ascii="Times New Roman" w:hAnsi="Times New Roman" w:eastAsia="宋体" w:cs="Times New Roman"/>
          <w:b w:val="0"/>
          <w:bCs w:val="0"/>
          <w:color w:val="auto"/>
          <w:sz w:val="24"/>
          <w:szCs w:val="24"/>
          <w:highlight w:val="none"/>
          <w:u w:val="none"/>
          <w:lang w:val="en-US" w:eastAsia="zh-CN"/>
        </w:rPr>
        <w:t>的社会保险参保缴费情况证明，依法不需要缴纳社会保障资金的单位应提供相关证明材料</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（7）税收缴纳证明：供应商须提供</w:t>
      </w:r>
      <w:r>
        <w:rPr>
          <w:rFonts w:hint="eastAsia" w:ascii="Times New Roman" w:eastAsia="宋体" w:cs="Times New Roman"/>
          <w:b w:val="0"/>
          <w:bCs w:val="0"/>
          <w:color w:val="auto"/>
          <w:sz w:val="24"/>
          <w:szCs w:val="24"/>
          <w:highlight w:val="none"/>
          <w:u w:val="none"/>
          <w:lang w:val="en-US" w:eastAsia="zh-CN"/>
        </w:rPr>
        <w:t>响应文件递交截止时间前一年内已缴存的任意六个月</w:t>
      </w:r>
      <w:r>
        <w:rPr>
          <w:rFonts w:hint="default" w:ascii="Times New Roman" w:hAnsi="Times New Roman" w:eastAsia="宋体" w:cs="Times New Roman"/>
          <w:b w:val="0"/>
          <w:bCs w:val="0"/>
          <w:color w:val="auto"/>
          <w:sz w:val="24"/>
          <w:szCs w:val="24"/>
          <w:highlight w:val="none"/>
          <w:u w:val="none"/>
          <w:lang w:val="en-US" w:eastAsia="zh-CN"/>
        </w:rPr>
        <w:t xml:space="preserve">的纳税证明或完税证明，依法免税的单位应提供相关证明材料；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 xml:space="preserve">（8）书面声明：参加政府采购活动前三年内，在经营活动中没有重大违法记录的书面声明（加盖供应商公章）；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9）供应商不得为“信用中国”网站（www.creditchina.gov.cn）中列入失信被执行人和重大税收违法失信主体黑名单的供应商，不得为中国政府采购网（www.ccgp.gov.cn）政府采购严重违法失信行为记录名单中被财政部门禁止参加政府采购活动的供应商；（提供查询结果网页截图并加盖供应商公章）；企业、项目经理相关信息可在“陕西省建筑市场监管与诚信信息发布平台"或“全国建筑市场监管公共服务平台”查询，且信誉良好，无不良记录(提供网页截图);</w:t>
      </w:r>
      <w:r>
        <w:rPr>
          <w:rFonts w:hint="eastAsia" w:ascii="Times New Roman" w:eastAsia="宋体" w:cs="Times New Roman"/>
          <w:b w:val="0"/>
          <w:bCs w:val="0"/>
          <w:color w:val="auto"/>
          <w:sz w:val="24"/>
          <w:szCs w:val="24"/>
          <w:highlight w:val="none"/>
          <w:u w:val="none"/>
          <w:lang w:val="en-US" w:eastAsia="zh-CN"/>
        </w:rPr>
        <w:t>供应商</w:t>
      </w:r>
      <w:r>
        <w:rPr>
          <w:rFonts w:hint="default" w:ascii="Times New Roman" w:hAnsi="Times New Roman" w:eastAsia="宋体" w:cs="Times New Roman"/>
          <w:b w:val="0"/>
          <w:bCs w:val="0"/>
          <w:color w:val="auto"/>
          <w:sz w:val="24"/>
          <w:szCs w:val="24"/>
          <w:highlight w:val="none"/>
          <w:u w:val="none"/>
          <w:lang w:val="en-US" w:eastAsia="zh-CN"/>
        </w:rPr>
        <w:t>不得有行贿犯罪记录，通过中国裁判文书网查询(提供网页截图);</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（10）单位负责人为同一人或者存在直接控股、管理关系的不同供应商，不得参加同一合同项下的政府采购活动；（提供承诺书）</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w:t>
      </w:r>
      <w:r>
        <w:rPr>
          <w:rFonts w:hint="eastAsia" w:ascii="Times New Roman" w:hAnsi="Times New Roman" w:eastAsia="宋体" w:cs="Times New Roman"/>
          <w:b w:val="0"/>
          <w:bCs w:val="0"/>
          <w:color w:val="auto"/>
          <w:sz w:val="24"/>
          <w:szCs w:val="24"/>
          <w:highlight w:val="none"/>
          <w:u w:val="none"/>
          <w:lang w:val="en-US" w:eastAsia="zh-CN"/>
        </w:rPr>
        <w:t>11</w:t>
      </w:r>
      <w:r>
        <w:rPr>
          <w:rFonts w:hint="default" w:ascii="Times New Roman" w:hAnsi="Times New Roman" w:eastAsia="宋体" w:cs="Times New Roman"/>
          <w:b w:val="0"/>
          <w:bCs w:val="0"/>
          <w:color w:val="auto"/>
          <w:sz w:val="24"/>
          <w:szCs w:val="24"/>
          <w:highlight w:val="none"/>
          <w:u w:val="none"/>
          <w:lang w:val="en-US" w:eastAsia="zh-CN"/>
        </w:rPr>
        <w:t>）专门面向中小企业声明函：本项目专门面向中小企业采购，供应商须为中小企业，并提供声明函。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本项目不允许联合体投标。</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日 ，每天上午 09:00:00 至 12:00:00 ，下午 14:00:00 至 17:00:00 （北京时间）</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途径：</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全国公共资源交易平台（陕西省·宝鸡市）】（http://bj.sxggzyjy.cn）</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在线</w:t>
      </w:r>
      <w:r>
        <w:rPr>
          <w:rFonts w:hint="eastAsia" w:ascii="宋体" w:hAnsi="宋体" w:eastAsia="宋体" w:cs="宋体"/>
          <w:sz w:val="24"/>
          <w:szCs w:val="24"/>
          <w:highlight w:val="none"/>
        </w:rPr>
        <w:t>获取</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售价： </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元</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分00秒 （北京时间）</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全国公共资源交易平台（陕西省·宝鸡市）】</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分00秒（北京时间）</w:t>
      </w:r>
    </w:p>
    <w:p>
      <w:pPr>
        <w:pStyle w:val="7"/>
        <w:spacing w:before="66" w:line="227"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地点：全国公共资源交易平台（陕西省·宝鸡市）(采用电子化投标及远程不见面开标方式)</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pPr>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1.本公告同时在【陕西省政府采购网】、【全国公共资源交易平台（陕西省·宝鸡市）】发布。</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2.本项目采用全流程电子化投标方式：</w:t>
      </w:r>
    </w:p>
    <w:p>
      <w:pPr>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1）使用捆绑省交易平台的CA锁登录电子交易平台，通过政府采购系统企业端进入，点击我要投标，完善相关投标信息，并打印回执单；</w:t>
      </w:r>
    </w:p>
    <w:p>
      <w:pPr>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2）各供应商在磋商文件规定时间内将文件免费下载。报名成功后可从〖我的项目〉项目流程〉交易文件下载〗中及时下载电子文件（*.SXSZF 格式），逾期下载通道将关闭，未及时下载招标文件将会影响后续开评标活动，后果自负；</w:t>
      </w:r>
    </w:p>
    <w:p>
      <w:pPr>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3）未在网站上下载磋商文件的，无法完成后续流程。</w:t>
      </w:r>
    </w:p>
    <w:p>
      <w:pPr>
        <w:bidi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000000" w:themeColor="text1"/>
          <w:sz w:val="24"/>
          <w:szCs w:val="24"/>
          <w:highlight w:val="none"/>
          <w14:textFill>
            <w14:solidFill>
              <w14:schemeClr w14:val="tx1"/>
            </w14:solidFill>
          </w14:textFill>
        </w:rPr>
        <w:t>本项目采用电子化投标与纸质投标并行的方式，开标结束后成交候选供应商须在3个日历日内将投标文件纸质版送到招标代理公司。</w:t>
      </w:r>
      <w:r>
        <w:rPr>
          <w:rFonts w:hint="eastAsia" w:ascii="宋体" w:hAnsi="宋体" w:eastAsia="宋体" w:cs="宋体"/>
          <w:color w:val="auto"/>
          <w:sz w:val="24"/>
          <w:szCs w:val="24"/>
          <w:highlight w:val="none"/>
        </w:rPr>
        <w:t>投</w:t>
      </w:r>
      <w:r>
        <w:rPr>
          <w:rFonts w:hint="eastAsia" w:ascii="宋体" w:hAnsi="宋体" w:eastAsia="宋体" w:cs="宋体"/>
          <w:sz w:val="24"/>
          <w:szCs w:val="24"/>
          <w:highlight w:val="none"/>
        </w:rPr>
        <w:t>标单位使用数字认证证书（CA锁）对投标文件进行制作、签封、加密、递交、解密等相关招投标事宜。相关操作流程详见全国公共资源交易平台（陕西</w:t>
      </w:r>
      <w:r>
        <w:rPr>
          <w:rFonts w:hint="eastAsia" w:ascii="宋体" w:hAnsi="宋体" w:eastAsia="宋体" w:cs="宋体"/>
          <w:sz w:val="24"/>
          <w:szCs w:val="24"/>
          <w:highlight w:val="none"/>
          <w:lang w:val="en-US" w:eastAsia="zh-CN"/>
        </w:rPr>
        <w:t>省）网站[服务指南-下载专区]中的《陕西省公共资源交易中心政府招标项目投标指南》。文件技术支持：4009280095、4009980000。</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5）请各供应商按照陕西省财政厅《关于政府采购供应商注册登记有关事项的通知》要求，通过陕西省政府采购网注册登记加入陕西省政府采购供应商库。</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为“全流程电子化”“不见面”采购模式，实行线上电子投标方式，各供应商须自行在网上下载招标文件、缴纳投标保证金、递交投标文件、在线参与开标过程，并登录全国公共资源交易平台（陕西省宝鸡市）宝鸡市公共资源交易中心（http://bj.sxggzyjy.cn/）-服务指南-下载专区-下载“政府采购电子交易-不见面系统操作手册-投标人”，并下载政府采购电子标书制作工具，按照流程制作电子标书并在规定的投标截止时前上传电子投标文件；为了保证远程不见面开标顺利进行，投标人需使用配备相关设备的电脑提前一小时登录网络开标大厅签到。因投标人自身设施故障或自身原因导致无法完成投标的，由投标人自行承担后果。</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八、对本次招标提出询问，请按以下方式联系。</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1.采购人信息</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名称：陕西省宝鸡强制隔离戒毒所 </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地址：陕西省宝鸡市宝平路29号</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联系方式：13289231920</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名称：华泰工程管理有限公司 </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地址：陕西省宝鸡市金台区宝鸡市金台区鹏博财富中心6号楼1502</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联系方式：0917-3331982</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项目联系人：宁静</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电话：0917-3331982</w:t>
      </w:r>
    </w:p>
    <w:p>
      <w:pPr>
        <w:bidi w:val="0"/>
        <w:spacing w:line="360" w:lineRule="auto"/>
        <w:rPr>
          <w:rFonts w:hint="eastAsia" w:ascii="宋体" w:hAnsi="宋体" w:eastAsia="宋体" w:cs="宋体"/>
          <w:sz w:val="24"/>
          <w:szCs w:val="24"/>
          <w:highlight w:val="no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54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pPr>
        <w:keepNext w:val="0"/>
        <w:keepLines w:val="0"/>
        <w:widowControl/>
        <w:suppressLineNumbers w:val="0"/>
        <w:wordWrap w:val="0"/>
        <w:spacing w:line="240" w:lineRule="auto"/>
        <w:jc w:val="center"/>
        <w:rPr>
          <w:rFonts w:hint="default" w:ascii="微软雅黑" w:hAnsi="微软雅黑" w:eastAsia="微软雅黑" w:cs="微软雅黑"/>
          <w:sz w:val="24"/>
          <w:szCs w:val="24"/>
          <w:lang w:val="en-US" w:eastAsia="zh-CN"/>
        </w:rPr>
      </w:pPr>
      <w:r>
        <w:rPr>
          <w:rFonts w:hint="eastAsia" w:ascii="Times New Roman" w:eastAsia="宋体" w:cs="Times New Roman"/>
          <w:color w:val="auto"/>
          <w:sz w:val="24"/>
          <w:szCs w:val="24"/>
          <w:highlight w:val="none"/>
          <w:u w:val="none"/>
          <w:lang w:val="en-US" w:eastAsia="zh-CN"/>
        </w:rPr>
        <w:t xml:space="preserve">                                                </w:t>
      </w:r>
      <w:r>
        <w:rPr>
          <w:rFonts w:hint="eastAsia" w:ascii="Times New Roman" w:eastAsia="宋体" w:cs="Times New Roman"/>
          <w:color w:val="auto"/>
          <w:sz w:val="24"/>
          <w:szCs w:val="24"/>
          <w:highlight w:val="none"/>
          <w:u w:val="none"/>
          <w:lang w:eastAsia="zh-CN"/>
        </w:rPr>
        <w:t>华泰工程管理有限公司</w:t>
      </w:r>
      <w:r>
        <w:rPr>
          <w:rFonts w:hint="eastAsia" w:ascii="微软雅黑" w:hAnsi="微软雅黑" w:eastAsia="微软雅黑" w:cs="微软雅黑"/>
          <w:sz w:val="24"/>
          <w:szCs w:val="24"/>
          <w:lang w:val="en-US" w:eastAsia="zh-CN"/>
        </w:rPr>
        <w:t xml:space="preserve">                                            </w:t>
      </w:r>
      <w:r>
        <w:rPr>
          <w:rFonts w:hint="eastAsia" w:ascii="宋体" w:hAnsi="宋体" w:eastAsia="宋体" w:cs="宋体"/>
          <w:kern w:val="0"/>
          <w:sz w:val="24"/>
          <w:szCs w:val="24"/>
          <w:highlight w:val="none"/>
          <w:lang w:val="en-US" w:eastAsia="zh-CN" w:bidi="ar-SA"/>
        </w:rPr>
        <w:t xml:space="preserve"> 2024年07年01日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A32BE"/>
    <w:multiLevelType w:val="singleLevel"/>
    <w:tmpl w:val="11DA32BE"/>
    <w:lvl w:ilvl="0" w:tentative="0">
      <w:start w:val="1"/>
      <w:numFmt w:val="decimal"/>
      <w:suff w:val="nothing"/>
      <w:lvlText w:val="（%1）"/>
      <w:lvlJc w:val="left"/>
    </w:lvl>
  </w:abstractNum>
  <w:abstractNum w:abstractNumId="1">
    <w:nsid w:val="60865AB4"/>
    <w:multiLevelType w:val="multilevel"/>
    <w:tmpl w:val="60865AB4"/>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2"/>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230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NjM1MWNjYmYzNzU3ZmNiNDU2NjBkYmNkYzcxNDYifQ=="/>
  </w:docVars>
  <w:rsids>
    <w:rsidRoot w:val="70BF149A"/>
    <w:rsid w:val="00D55141"/>
    <w:rsid w:val="01CF2D94"/>
    <w:rsid w:val="126145B9"/>
    <w:rsid w:val="161145A5"/>
    <w:rsid w:val="1750764E"/>
    <w:rsid w:val="1C915E11"/>
    <w:rsid w:val="1DBC02B5"/>
    <w:rsid w:val="20581D8A"/>
    <w:rsid w:val="20904727"/>
    <w:rsid w:val="232A5992"/>
    <w:rsid w:val="273C17A5"/>
    <w:rsid w:val="2B5C1030"/>
    <w:rsid w:val="2D804B4B"/>
    <w:rsid w:val="32A41442"/>
    <w:rsid w:val="3F597156"/>
    <w:rsid w:val="42967057"/>
    <w:rsid w:val="49E17C21"/>
    <w:rsid w:val="4B1160E5"/>
    <w:rsid w:val="56D773C3"/>
    <w:rsid w:val="58ED4314"/>
    <w:rsid w:val="5CF117C4"/>
    <w:rsid w:val="60FF3C8B"/>
    <w:rsid w:val="617061A2"/>
    <w:rsid w:val="65262CC3"/>
    <w:rsid w:val="70BF149A"/>
    <w:rsid w:val="7207123B"/>
    <w:rsid w:val="7B280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keepLines/>
      <w:spacing w:before="340" w:after="330" w:line="240" w:lineRule="auto"/>
      <w:jc w:val="center"/>
      <w:outlineLvl w:val="0"/>
    </w:pPr>
    <w:rPr>
      <w:rFonts w:ascii="Times New Roman" w:hAnsi="Times New Roman" w:eastAsia="宋体" w:cs="Times New Roman"/>
      <w:b/>
      <w:bCs/>
      <w:snapToGrid w:val="0"/>
      <w:color w:val="000000"/>
      <w:kern w:val="44"/>
      <w:sz w:val="32"/>
      <w:szCs w:val="44"/>
    </w:rPr>
  </w:style>
  <w:style w:type="paragraph" w:styleId="4">
    <w:name w:val="heading 2"/>
    <w:basedOn w:val="1"/>
    <w:next w:val="1"/>
    <w:link w:val="14"/>
    <w:semiHidden/>
    <w:unhideWhenUsed/>
    <w:qFormat/>
    <w:uiPriority w:val="0"/>
    <w:pPr>
      <w:keepNext/>
      <w:keepLines/>
      <w:spacing w:before="260" w:after="260" w:line="416" w:lineRule="auto"/>
      <w:outlineLvl w:val="1"/>
    </w:pPr>
    <w:rPr>
      <w:rFonts w:ascii="Arial" w:hAnsi="Arial" w:eastAsia="宋体" w:cs="Times New Roman"/>
      <w:b/>
      <w:bCs/>
      <w:sz w:val="30"/>
      <w:szCs w:val="32"/>
    </w:rPr>
  </w:style>
  <w:style w:type="paragraph" w:styleId="5">
    <w:name w:val="heading 3"/>
    <w:basedOn w:val="1"/>
    <w:next w:val="1"/>
    <w:link w:val="13"/>
    <w:semiHidden/>
    <w:unhideWhenUsed/>
    <w:qFormat/>
    <w:uiPriority w:val="0"/>
    <w:pPr>
      <w:keepNext/>
      <w:keepLines/>
      <w:autoSpaceDE w:val="0"/>
      <w:autoSpaceDN w:val="0"/>
      <w:adjustRightInd w:val="0"/>
      <w:spacing w:line="360" w:lineRule="auto"/>
      <w:ind w:firstLine="3453" w:firstLineChars="1150"/>
      <w:jc w:val="center"/>
      <w:outlineLvl w:val="2"/>
    </w:pPr>
    <w:rPr>
      <w:rFonts w:ascii="宋体" w:hAnsi="宋体" w:eastAsia="宋体" w:cs="Times New Roman"/>
      <w:b/>
      <w:kern w:val="0"/>
      <w:sz w:val="28"/>
      <w:szCs w:val="30"/>
      <w:shd w:val="clear" w:color="auto" w:fill="FFFFFF"/>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0"/>
  </w:style>
  <w:style w:type="paragraph" w:styleId="8">
    <w:name w:val="Body Text 2"/>
    <w:basedOn w:val="1"/>
    <w:qFormat/>
    <w:uiPriority w:val="0"/>
    <w:pPr>
      <w:spacing w:line="360" w:lineRule="auto"/>
    </w:pPr>
    <w:rPr>
      <w:rFonts w:ascii="幼圆" w:eastAsia="幼圆"/>
      <w:sz w:val="24"/>
      <w:u w:val="single"/>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标题 1 Char"/>
    <w:link w:val="3"/>
    <w:qFormat/>
    <w:uiPriority w:val="0"/>
    <w:rPr>
      <w:rFonts w:ascii="Times New Roman" w:hAnsi="Times New Roman" w:eastAsia="宋体" w:cs="Times New Roman"/>
      <w:b/>
      <w:bCs/>
      <w:snapToGrid w:val="0"/>
      <w:color w:val="000000"/>
      <w:kern w:val="44"/>
      <w:sz w:val="32"/>
      <w:szCs w:val="44"/>
    </w:rPr>
  </w:style>
  <w:style w:type="character" w:customStyle="1" w:styleId="13">
    <w:name w:val="标题 3 Char"/>
    <w:link w:val="5"/>
    <w:qFormat/>
    <w:uiPriority w:val="0"/>
    <w:rPr>
      <w:rFonts w:ascii="宋体" w:hAnsi="宋体" w:eastAsia="宋体" w:cs="Times New Roman"/>
      <w:b/>
      <w:sz w:val="28"/>
      <w:szCs w:val="30"/>
    </w:rPr>
  </w:style>
  <w:style w:type="character" w:customStyle="1" w:styleId="14">
    <w:name w:val="标题 2 Char"/>
    <w:link w:val="4"/>
    <w:qFormat/>
    <w:uiPriority w:val="0"/>
    <w:rPr>
      <w:rFonts w:ascii="Arial" w:hAnsi="Arial" w:eastAsia="宋体" w:cs="Times New Roman"/>
      <w:b/>
      <w:snapToGrid w:val="0"/>
      <w:color w:val="000000"/>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3068</Words>
  <Characters>3434</Characters>
  <Lines>0</Lines>
  <Paragraphs>0</Paragraphs>
  <TotalTime>1</TotalTime>
  <ScaleCrop>false</ScaleCrop>
  <LinksUpToDate>false</LinksUpToDate>
  <CharactersWithSpaces>3546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2024-05-24T00:18:00Z</dcterms:created>
  <dc:creator>WPS_1527933000</dc:creator>
  <cp:lastModifiedBy>WPS_1527933000</cp:lastModifiedBy>
  <dcterms:modified xsi:type="dcterms:W3CDTF">2024-06-19T08:17:51Z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58A059F46D1C4E47849FDEE99DAAE34A_11</vt:lpwstr>
  </property>
</Properties>
</file>