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中心重要信息系统网络安全运维(二次)</w:t>
      </w:r>
    </w:p>
    <w:p>
      <w:pPr>
        <w:pStyle w:val="null3"/>
        <w:jc w:val="center"/>
        <w:outlineLvl w:val="2"/>
      </w:pPr>
      <w:r>
        <w:rPr>
          <w:sz w:val="28"/>
          <w:b/>
        </w:rPr>
        <w:t>采购项目编号：</w:t>
      </w:r>
      <w:r>
        <w:rPr>
          <w:sz w:val="28"/>
          <w:b/>
        </w:rPr>
        <w:t>中赞招字（2024）第22号.1B1</w:t>
      </w:r>
      <w:r>
        <w:br/>
      </w:r>
      <w:r>
        <w:br/>
      </w:r>
      <w:r>
        <w:br/>
      </w:r>
    </w:p>
    <w:p>
      <w:pPr>
        <w:pStyle w:val="null3"/>
        <w:jc w:val="center"/>
        <w:outlineLvl w:val="2"/>
      </w:pPr>
      <w:r>
        <w:rPr>
          <w:sz w:val="28"/>
          <w:b/>
        </w:rPr>
        <w:t>陕西省高速公路收费中心</w:t>
      </w:r>
    </w:p>
    <w:p>
      <w:pPr>
        <w:pStyle w:val="null3"/>
        <w:jc w:val="center"/>
        <w:outlineLvl w:val="2"/>
      </w:pPr>
      <w:r>
        <w:rPr>
          <w:sz w:val="28"/>
          <w:b/>
        </w:rPr>
        <w:t>中赞国际项目管理有限公司</w:t>
      </w:r>
      <w:r>
        <w:rPr>
          <w:sz w:val="28"/>
          <w:b/>
        </w:rPr>
        <w:t>共同编制</w:t>
      </w:r>
    </w:p>
    <w:p>
      <w:pPr>
        <w:pStyle w:val="null3"/>
        <w:jc w:val="center"/>
        <w:outlineLvl w:val="2"/>
      </w:pPr>
      <w:r>
        <w:rPr>
          <w:sz w:val="28"/>
          <w:b/>
        </w:rPr>
        <w:t>2024年06月05日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中赞国际项目管理有限公司</w:t>
      </w:r>
      <w:r>
        <w:rPr/>
        <w:t>（以下简称“代理机构”）受</w:t>
      </w:r>
      <w:r>
        <w:rPr/>
        <w:t>陕西省高速公路收费中心</w:t>
      </w:r>
      <w:r>
        <w:rPr/>
        <w:t>委托，拟对</w:t>
      </w:r>
      <w:r>
        <w:rPr/>
        <w:t>中心重要信息系统网络安全运维(二次)</w:t>
      </w:r>
      <w:r>
        <w:rPr/>
        <w:t>采用竞争性磋商采购方式进行采购，兹邀请供应商参加本项目的竞争性磋商。</w:t>
      </w:r>
    </w:p>
    <w:p>
      <w:pPr>
        <w:pStyle w:val="null3"/>
        <w:outlineLvl w:val="2"/>
      </w:pPr>
      <w:r>
        <w:rPr>
          <w:sz w:val="28"/>
          <w:b/>
        </w:rPr>
        <w:t>一、项目编号：</w:t>
      </w:r>
      <w:r>
        <w:rPr>
          <w:sz w:val="28"/>
          <w:b/>
        </w:rPr>
        <w:t>中赞招字（2024）第22号.1B1</w:t>
      </w:r>
    </w:p>
    <w:p>
      <w:pPr>
        <w:pStyle w:val="null3"/>
        <w:outlineLvl w:val="2"/>
      </w:pPr>
      <w:r>
        <w:rPr>
          <w:sz w:val="28"/>
          <w:b/>
        </w:rPr>
        <w:t>二、项目名称：</w:t>
      </w:r>
      <w:r>
        <w:rPr>
          <w:sz w:val="28"/>
          <w:b/>
        </w:rPr>
        <w:t>中心重要信息系统网络安全运维(二次)</w:t>
      </w:r>
    </w:p>
    <w:p>
      <w:pPr>
        <w:pStyle w:val="null3"/>
        <w:outlineLvl w:val="2"/>
      </w:pPr>
      <w:r>
        <w:rPr>
          <w:sz w:val="28"/>
          <w:b/>
        </w:rPr>
        <w:t>三、磋商项目简介</w:t>
      </w:r>
    </w:p>
    <w:p>
      <w:pPr>
        <w:pStyle w:val="null3"/>
        <w:ind w:firstLine="480"/>
      </w:pPr>
      <w:r>
        <w:rPr/>
        <w:t>中心重要信息系统网络安全运维服务项目预算为216.00万元，由重要信息系统网络安全运维（预算：52.50万元）、安全设备特征库升级服务（预算：123.5万元）、高速公路联网收费系统数据异地备份服务（预算：40.00万元）三部分内容组成。</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1、信用记录：供应商不得在“信用中国” 网站被列入失信被执行人名单、重大税收违法案件当事人名单和不得在“中国政府采购网”被列入政府采购严重违法失信行为记录名单。</w:t>
      </w:r>
    </w:p>
    <w:p>
      <w:pPr>
        <w:pStyle w:val="null3"/>
      </w:pPr>
      <w:r>
        <w:rPr/>
        <w:t>2、法定代表人委托授权书\身份证明：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p>
      <w:pPr>
        <w:pStyle w:val="null3"/>
      </w:pPr>
      <w:r>
        <w:rPr/>
        <w:t>3、有效的主体资格证明：提供合格有效的法人或者其他组织的营业执照等证明文件或自然人的身份证明。</w:t>
      </w:r>
    </w:p>
    <w:p>
      <w:pPr>
        <w:pStyle w:val="null3"/>
      </w:pPr>
      <w:r>
        <w:rPr/>
        <w:t>4、财务状况报告：（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p>
      <w:pPr>
        <w:pStyle w:val="null3"/>
      </w:pPr>
      <w:r>
        <w:rPr/>
        <w:t>5、税收缴纳证明：提供递交响应文件截止日期前十二个月（递交响应文件截止时间当月不计入）内已缴存的至少一个月的纳税证明或完税证明，依法免税的单位应提供相关证明材料。</w:t>
      </w:r>
    </w:p>
    <w:p>
      <w:pPr>
        <w:pStyle w:val="null3"/>
      </w:pPr>
      <w:r>
        <w:rPr/>
        <w:t>6、社会保障资金缴纳证明：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p>
      <w:pPr>
        <w:pStyle w:val="null3"/>
      </w:pPr>
      <w:r>
        <w:rPr/>
        <w:t>7、无重大违法记录声明：近3年内在经营活动中没有重大违法记录的书面声明。</w:t>
      </w:r>
    </w:p>
    <w:p>
      <w:pPr>
        <w:pStyle w:val="null3"/>
      </w:pPr>
      <w:r>
        <w:rPr/>
        <w:t>8、具有履行合同所必需的设备和专业技术能力：提交履行合同所必需的设备和专业技术能力的书面声明。</w:t>
      </w:r>
    </w:p>
    <w:p>
      <w:pPr>
        <w:pStyle w:val="null3"/>
      </w:pPr>
      <w:r>
        <w:rPr/>
        <w:t>9、本项目不接受联合体响应：非联合体投标承诺书。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陕西省高速公路收费中心</w:t>
      </w:r>
    </w:p>
    <w:p>
      <w:pPr>
        <w:pStyle w:val="null3"/>
      </w:pPr>
      <w:r>
        <w:rPr/>
        <w:t xml:space="preserve"> 地址： </w:t>
      </w:r>
      <w:r>
        <w:rPr/>
        <w:t>西安市未央区未央路208号</w:t>
      </w:r>
    </w:p>
    <w:p>
      <w:pPr>
        <w:pStyle w:val="null3"/>
      </w:pPr>
      <w:r>
        <w:rPr/>
        <w:t xml:space="preserve"> 邮编： </w:t>
      </w:r>
      <w:r>
        <w:rPr/>
        <w:t>710000</w:t>
      </w:r>
    </w:p>
    <w:p>
      <w:pPr>
        <w:pStyle w:val="null3"/>
      </w:pPr>
      <w:r>
        <w:rPr/>
        <w:t xml:space="preserve"> 联系人： </w:t>
      </w:r>
      <w:r>
        <w:rPr/>
        <w:t>陕西省高速公路收费中心办公室</w:t>
      </w:r>
    </w:p>
    <w:p>
      <w:pPr>
        <w:pStyle w:val="null3"/>
      </w:pPr>
      <w:r>
        <w:rPr/>
        <w:t xml:space="preserve"> 联系电话： </w:t>
      </w:r>
      <w:r>
        <w:rPr/>
        <w:t>029-86531101</w:t>
      </w:r>
    </w:p>
    <w:p>
      <w:pPr>
        <w:pStyle w:val="null3"/>
        <w:outlineLvl w:val="3"/>
      </w:pPr>
      <w:r>
        <w:rPr>
          <w:sz w:val="24"/>
          <w:b/>
        </w:rPr>
        <w:t>代理机构：</w:t>
      </w:r>
      <w:r>
        <w:rPr>
          <w:sz w:val="24"/>
          <w:b/>
        </w:rPr>
        <w:t>中赞国际项目管理有限公司</w:t>
      </w:r>
    </w:p>
    <w:p>
      <w:pPr>
        <w:pStyle w:val="null3"/>
      </w:pPr>
      <w:r>
        <w:rPr/>
        <w:t xml:space="preserve"> 地址： </w:t>
      </w:r>
      <w:r>
        <w:rPr/>
        <w:t>陕西省西安市未央区陕西省西安市未央区未央路老三届首座大厦2号1幢2220室</w:t>
      </w:r>
    </w:p>
    <w:p>
      <w:pPr>
        <w:pStyle w:val="null3"/>
      </w:pPr>
      <w:r>
        <w:rPr/>
        <w:t xml:space="preserve"> 邮编： </w:t>
      </w:r>
      <w:r>
        <w:rPr/>
        <w:t>710000</w:t>
      </w:r>
    </w:p>
    <w:p>
      <w:pPr>
        <w:pStyle w:val="null3"/>
      </w:pPr>
      <w:r>
        <w:rPr/>
        <w:t xml:space="preserve"> 联系人： </w:t>
      </w:r>
      <w:r>
        <w:rPr/>
        <w:t>张琪</w:t>
      </w:r>
    </w:p>
    <w:p>
      <w:pPr>
        <w:pStyle w:val="null3"/>
      </w:pPr>
      <w:r>
        <w:rPr/>
        <w:t xml:space="preserve"> 联系电话： </w:t>
      </w:r>
      <w:r>
        <w:rPr/>
        <w:t>029-81629798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开户名称：中赞国际项目管理有限公司</w:t>
            </w:r>
          </w:p>
          <w:p>
            <w:pPr>
              <w:pStyle w:val="null3"/>
            </w:pPr>
            <w:r>
              <w:rPr/>
              <w:t>开户银行：招商银行股份有限公司西安未央路支行</w:t>
            </w:r>
          </w:p>
          <w:p>
            <w:pPr>
              <w:pStyle w:val="null3"/>
            </w:pPr>
            <w:r>
              <w:rPr/>
              <w:t>银行账号：129912141810202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5%向招标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陕西省高速公路收费中心</w:t>
      </w:r>
      <w:r>
        <w:rPr/>
        <w:t>和</w:t>
      </w:r>
      <w:r>
        <w:rPr/>
        <w:t>中赞国际项目管理有限公司</w:t>
      </w:r>
      <w:r>
        <w:rPr/>
        <w:t>享有。对磋商文件中供应商参加本次政府采购活动应当具备的条件，磋商项目技术、服务、商务及其他要求，评审细则及标准由</w:t>
      </w:r>
      <w:r>
        <w:rPr/>
        <w:t>陕西省高速公路收费中心</w:t>
      </w:r>
      <w:r>
        <w:rPr/>
        <w:t>负责解释。除上述磋商文件内容，其他内容由</w:t>
      </w:r>
      <w:r>
        <w:rPr/>
        <w:t>中赞国际项目管理有限公司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陕西省高速公路收费中心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中赞国际项目管理有限公司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采购人按照政府采购合同规定的技术、服务、安全标准组织对供应商履约情况进行验收,并出具验收书。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中赞国际项目管理有限公司</w:t>
      </w:r>
      <w:r>
        <w:rPr/>
        <w:t xml:space="preserve"> 负责答复；供应商对除采购需求外的采购文件的询问、质疑由</w:t>
      </w:r>
      <w:r>
        <w:rPr/>
        <w:t>中赞国际项目管理有限公司</w:t>
      </w:r>
      <w:r>
        <w:rPr/>
        <w:t xml:space="preserve"> 负责答复；供应商对采购过程、采购结果的询问、质疑由 </w:t>
      </w:r>
      <w:r>
        <w:rPr/>
        <w:t>中赞国际项目管理有限公司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联系人：张琪</w:t>
      </w:r>
    </w:p>
    <w:p>
      <w:pPr>
        <w:pStyle w:val="null3"/>
      </w:pPr>
      <w:r>
        <w:rPr/>
        <w:t>联系电话：029-81629798</w:t>
      </w:r>
    </w:p>
    <w:p>
      <w:pPr>
        <w:pStyle w:val="null3"/>
      </w:pPr>
      <w:r>
        <w:rPr/>
        <w:t>地址：陕西省西安市未央区未央路老三届首座大厦2号1幢2220室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rPr>
        <w:t>中心重要信息系统网络安全运维服务项目预算为</w:t>
      </w:r>
      <w:r>
        <w:rPr>
          <w:rFonts w:ascii="宋体" w:hAnsi="宋体" w:cs="宋体" w:eastAsia="宋体"/>
        </w:rPr>
        <w:t>216.00万元，由重要信息系统网络安全运维（预算：52.50万元）、安全设备特征库升级服务（预算：123.5万元）、高速公路联网收费系统数据异地备份服务（预算：40.00万元）三部分内容组成。</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2,160,000.00</w:t>
      </w:r>
    </w:p>
    <w:p>
      <w:pPr>
        <w:pStyle w:val="null3"/>
      </w:pPr>
      <w:r>
        <w:rPr/>
        <w:t>采购包最高限价（元）: 2,160,000.00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中心重要信息系统网络安全运维</w:t>
            </w:r>
          </w:p>
        </w:tc>
        <w:tc>
          <w:tcPr>
            <w:tcW w:type="dxa" w:w="831"/>
          </w:tcPr>
          <w:p>
            <w:pPr>
              <w:pStyle w:val="null3"/>
              <w:jc w:val="right"/>
            </w:pPr>
            <w:r>
              <w:rPr/>
              <w:t>1.00</w:t>
            </w:r>
          </w:p>
        </w:tc>
        <w:tc>
          <w:tcPr>
            <w:tcW w:type="dxa" w:w="831"/>
          </w:tcPr>
          <w:p>
            <w:pPr>
              <w:pStyle w:val="null3"/>
              <w:jc w:val="right"/>
            </w:pPr>
            <w:r>
              <w:rPr/>
              <w:t>2,160,000.00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标的名称：中心重要信息系统网络安全运维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56"/>
            </w:tblGrid>
            <w:tr>
              <w:tc>
                <w:tcPr>
                  <w:tcW w:type="dxa" w:w="2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服务范围</w:t>
                  </w:r>
                </w:p>
                <w:p>
                  <w:pPr>
                    <w:pStyle w:val="null3"/>
                    <w:ind w:firstLine="400"/>
                    <w:jc w:val="both"/>
                  </w:pPr>
                  <w:r>
                    <w:rPr>
                      <w:rFonts w:ascii="宋体" w:hAnsi="宋体" w:cs="宋体" w:eastAsia="宋体"/>
                      <w:sz w:val="20"/>
                    </w:rPr>
                    <w:t>1.重要信息系统网络安全运维服务</w:t>
                  </w:r>
                </w:p>
                <w:p>
                  <w:pPr>
                    <w:pStyle w:val="null3"/>
                    <w:ind w:firstLine="400"/>
                    <w:jc w:val="both"/>
                  </w:pPr>
                  <w:r>
                    <w:rPr>
                      <w:rFonts w:ascii="宋体" w:hAnsi="宋体" w:cs="宋体" w:eastAsia="宋体"/>
                      <w:sz w:val="20"/>
                    </w:rPr>
                    <w:t>（</w:t>
                  </w:r>
                  <w:r>
                    <w:rPr>
                      <w:rFonts w:ascii="宋体" w:hAnsi="宋体" w:cs="宋体" w:eastAsia="宋体"/>
                      <w:sz w:val="20"/>
                    </w:rPr>
                    <w:t>1）对高速公路联网收费省级中心系统、高速公路网综合监控省级中心系统进行专业安全检测和排查整改；对陕西省高速公路省级视频云联网监测系统、陕西交通服务热线12122系统、陕西12328交通运输服务监督电话系统进行专业安全检测，并对安全设备（详见维护清单）问题进行整改。</w:t>
                  </w:r>
                </w:p>
                <w:p>
                  <w:pPr>
                    <w:pStyle w:val="null3"/>
                    <w:ind w:firstLine="400"/>
                    <w:jc w:val="both"/>
                  </w:pPr>
                  <w:r>
                    <w:rPr>
                      <w:rFonts w:ascii="宋体" w:hAnsi="宋体" w:cs="宋体" w:eastAsia="宋体"/>
                      <w:sz w:val="20"/>
                    </w:rPr>
                    <w:t>（</w:t>
                  </w:r>
                  <w:r>
                    <w:rPr>
                      <w:rFonts w:ascii="宋体" w:hAnsi="宋体" w:cs="宋体" w:eastAsia="宋体"/>
                      <w:sz w:val="20"/>
                    </w:rPr>
                    <w:t>2）对高速公路联网收费省级中心系统、高速公路网综合监控省级中心系统、陕西省高速公路省级视频云联网监测系统、陕西交通服务热线12122系统4个系统的安全设备（详见维护清单）进行日常安全运维服务。</w:t>
                  </w:r>
                </w:p>
                <w:p>
                  <w:pPr>
                    <w:pStyle w:val="null3"/>
                    <w:ind w:firstLine="400"/>
                    <w:jc w:val="both"/>
                  </w:pPr>
                  <w:r>
                    <w:rPr>
                      <w:rFonts w:ascii="宋体" w:hAnsi="宋体" w:cs="宋体" w:eastAsia="宋体"/>
                      <w:sz w:val="20"/>
                    </w:rPr>
                    <w:t>2.安全设备特征库升级服务。对高速公路联网收费省级中心系统、高速公路网综合监控省级中心系统、陕西省高速公路省级视频云联网监测系统、陕西交通服务热线12122系统4个系统进行1年授权升级，确保安全设备特征库更新至最新版本。</w:t>
                  </w:r>
                </w:p>
                <w:p>
                  <w:pPr>
                    <w:pStyle w:val="null3"/>
                    <w:ind w:firstLine="400"/>
                    <w:jc w:val="both"/>
                  </w:pPr>
                  <w:r>
                    <w:rPr>
                      <w:rFonts w:ascii="宋体" w:hAnsi="宋体" w:cs="宋体" w:eastAsia="宋体"/>
                      <w:sz w:val="20"/>
                    </w:rPr>
                    <w:t>3.高速公路联网收费系统数据异地备份服务。对高速公路联网收费省级中心系统数据进行异地备份，确保系统遭受攻击或损坏时，能尽快恢复数据，将收费业务损失将至最低。</w:t>
                  </w:r>
                </w:p>
              </w:tc>
            </w:tr>
            <w:tr>
              <w:tc>
                <w:tcPr>
                  <w:tcW w:type="dxa" w:w="2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服务依</w:t>
                  </w:r>
                  <w:r>
                    <w:rPr>
                      <w:rFonts w:ascii="宋体" w:hAnsi="宋体" w:cs="宋体" w:eastAsia="宋体"/>
                      <w:sz w:val="20"/>
                      <w:b/>
                    </w:rPr>
                    <w:t>据</w:t>
                  </w:r>
                </w:p>
                <w:p>
                  <w:pPr>
                    <w:pStyle w:val="null3"/>
                    <w:ind w:firstLine="400"/>
                    <w:jc w:val="both"/>
                  </w:pPr>
                  <w:r>
                    <w:rPr>
                      <w:rFonts w:ascii="宋体" w:hAnsi="宋体" w:cs="宋体" w:eastAsia="宋体"/>
                      <w:sz w:val="20"/>
                    </w:rPr>
                    <w:t>1.《中华人民共和国网络安全法》（中华人民共和国主席令第53号）</w:t>
                  </w:r>
                </w:p>
                <w:p>
                  <w:pPr>
                    <w:pStyle w:val="null3"/>
                    <w:ind w:firstLine="400"/>
                    <w:jc w:val="both"/>
                  </w:pPr>
                  <w:r>
                    <w:rPr>
                      <w:rFonts w:ascii="宋体" w:hAnsi="宋体" w:cs="宋体" w:eastAsia="宋体"/>
                      <w:sz w:val="20"/>
                    </w:rPr>
                    <w:t>2.《中华人民共和国计算机信息系统安全保护条例》（中华人民共和国国务院令第147号）</w:t>
                  </w:r>
                </w:p>
                <w:p>
                  <w:pPr>
                    <w:pStyle w:val="null3"/>
                    <w:ind w:firstLine="400"/>
                    <w:jc w:val="both"/>
                  </w:pPr>
                  <w:r>
                    <w:rPr>
                      <w:rFonts w:ascii="宋体" w:hAnsi="宋体" w:cs="宋体" w:eastAsia="宋体"/>
                      <w:sz w:val="20"/>
                    </w:rPr>
                    <w:t>3.《信息安全技术 计算机信息系统安全保护等级划分准则》（GB 17859-1999）</w:t>
                  </w:r>
                </w:p>
                <w:p>
                  <w:pPr>
                    <w:pStyle w:val="null3"/>
                    <w:ind w:firstLine="400"/>
                    <w:jc w:val="both"/>
                  </w:pPr>
                  <w:r>
                    <w:rPr>
                      <w:rFonts w:ascii="宋体" w:hAnsi="宋体" w:cs="宋体" w:eastAsia="宋体"/>
                      <w:sz w:val="20"/>
                    </w:rPr>
                    <w:t>4.《信息安全技术 网络安全等级保护基本要求》（GB/T 22239-2019）</w:t>
                  </w:r>
                </w:p>
                <w:p>
                  <w:pPr>
                    <w:pStyle w:val="null3"/>
                    <w:ind w:firstLine="400"/>
                    <w:jc w:val="both"/>
                  </w:pPr>
                  <w:r>
                    <w:rPr>
                      <w:rFonts w:ascii="宋体" w:hAnsi="宋体" w:cs="宋体" w:eastAsia="宋体"/>
                      <w:sz w:val="20"/>
                    </w:rPr>
                    <w:t>5.《信息安全技术 网络安全等级保护安全设计技术要求》（GB/T 25070-2019）</w:t>
                  </w:r>
                </w:p>
                <w:p>
                  <w:pPr>
                    <w:pStyle w:val="null3"/>
                    <w:ind w:firstLine="400"/>
                    <w:jc w:val="both"/>
                  </w:pPr>
                  <w:r>
                    <w:rPr>
                      <w:rFonts w:ascii="宋体" w:hAnsi="宋体" w:cs="宋体" w:eastAsia="宋体"/>
                      <w:sz w:val="20"/>
                    </w:rPr>
                    <w:t>6.《取消高速公路省界收费站总体技术方案》（交公路函〔2019〕320号）</w:t>
                  </w:r>
                </w:p>
                <w:p>
                  <w:pPr>
                    <w:pStyle w:val="null3"/>
                    <w:ind w:firstLine="400"/>
                    <w:jc w:val="both"/>
                  </w:pPr>
                  <w:r>
                    <w:rPr>
                      <w:rFonts w:ascii="宋体" w:hAnsi="宋体" w:cs="宋体" w:eastAsia="宋体"/>
                      <w:sz w:val="20"/>
                    </w:rPr>
                    <w:t>7.《联网收费系统省域系统并网接入网络安全基本技术要求》（交科技函〔2019〕338号）</w:t>
                  </w:r>
                </w:p>
                <w:p>
                  <w:pPr>
                    <w:pStyle w:val="null3"/>
                    <w:ind w:firstLine="400"/>
                    <w:jc w:val="left"/>
                  </w:pPr>
                  <w:r>
                    <w:rPr>
                      <w:rFonts w:ascii="宋体" w:hAnsi="宋体" w:cs="宋体" w:eastAsia="宋体"/>
                      <w:sz w:val="20"/>
                    </w:rPr>
                    <w:t>8.《陕西省高速公路联网收费系统网络安全总体方案》（陕交发〔2019〕88号）</w:t>
                  </w:r>
                </w:p>
              </w:tc>
            </w:tr>
            <w:tr>
              <w:tc>
                <w:tcPr>
                  <w:tcW w:type="dxa" w:w="2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服务内容</w:t>
                  </w:r>
                </w:p>
                <w:p>
                  <w:pPr>
                    <w:pStyle w:val="null3"/>
                    <w:jc w:val="left"/>
                  </w:pPr>
                  <w:r>
                    <w:rPr>
                      <w:rFonts w:ascii="宋体" w:hAnsi="宋体" w:cs="宋体" w:eastAsia="宋体"/>
                      <w:sz w:val="20"/>
                    </w:rPr>
                    <w:t>（一）重要信息系统网络安全运维服务</w:t>
                  </w:r>
                </w:p>
                <w:p>
                  <w:pPr>
                    <w:pStyle w:val="null3"/>
                    <w:jc w:val="left"/>
                  </w:pPr>
                  <w:r>
                    <w:rPr>
                      <w:rFonts w:ascii="宋体" w:hAnsi="宋体" w:cs="宋体" w:eastAsia="宋体"/>
                      <w:sz w:val="20"/>
                    </w:rPr>
                    <w:t>为保障省中心重要信息系统安全、稳定运行，按照国家信息安全等级保护制度要求，依据部、省相关信息安全政策、技术标准及安全文件要求，结合系统业务实际情况及安全现状，对省中心重要信息系统提供安全运维服务。由于省中心重要信息系统的网络结构较为复杂、业务数据量较大、设备数量较多，故供应商须对省中心现网资产、现网配置情况非常熟悉，需在充分理解现状的情况下开展安全运维服务工作。</w:t>
                  </w:r>
                </w:p>
                <w:p>
                  <w:pPr>
                    <w:pStyle w:val="null3"/>
                    <w:jc w:val="left"/>
                  </w:pPr>
                  <w:r>
                    <w:rPr>
                      <w:rFonts w:ascii="宋体" w:hAnsi="宋体" w:cs="宋体" w:eastAsia="宋体"/>
                      <w:sz w:val="20"/>
                    </w:rPr>
                    <w:t>1.专业安全服务</w:t>
                  </w:r>
                </w:p>
                <w:p>
                  <w:pPr>
                    <w:pStyle w:val="null3"/>
                    <w:jc w:val="left"/>
                  </w:pPr>
                  <w:r>
                    <w:rPr>
                      <w:rFonts w:ascii="宋体" w:hAnsi="宋体" w:cs="宋体" w:eastAsia="宋体"/>
                      <w:sz w:val="20"/>
                    </w:rPr>
                    <w:t>（</w:t>
                  </w:r>
                  <w:r>
                    <w:rPr>
                      <w:rFonts w:ascii="宋体" w:hAnsi="宋体" w:cs="宋体" w:eastAsia="宋体"/>
                      <w:sz w:val="20"/>
                    </w:rPr>
                    <w:t>1）漏洞扫描</w:t>
                  </w:r>
                </w:p>
                <w:p>
                  <w:pPr>
                    <w:pStyle w:val="null3"/>
                    <w:jc w:val="left"/>
                  </w:pPr>
                  <w:r>
                    <w:rPr>
                      <w:rFonts w:ascii="宋体" w:hAnsi="宋体" w:cs="宋体" w:eastAsia="宋体"/>
                      <w:sz w:val="20"/>
                    </w:rPr>
                    <w:t>每季度定期采用漏洞扫描工具，完成对系统的网络设备、安全设备、服务器、虚拟化主机、终端设备等资产的安全扫描工作，并根据扫描结果形成漏洞跟进表，协助省中心完成安全漏洞整改，并根据扫描结果进行分析，每季度提供一份系统安全扫描报告。</w:t>
                  </w:r>
                </w:p>
                <w:p>
                  <w:pPr>
                    <w:pStyle w:val="null3"/>
                    <w:jc w:val="left"/>
                  </w:pPr>
                  <w:r>
                    <w:rPr>
                      <w:rFonts w:ascii="宋体" w:hAnsi="宋体" w:cs="宋体" w:eastAsia="宋体"/>
                      <w:sz w:val="20"/>
                    </w:rPr>
                    <w:t>（</w:t>
                  </w:r>
                  <w:r>
                    <w:rPr>
                      <w:rFonts w:ascii="宋体" w:hAnsi="宋体" w:cs="宋体" w:eastAsia="宋体"/>
                      <w:sz w:val="20"/>
                    </w:rPr>
                    <w:t>2）系统上线安全检测</w:t>
                  </w:r>
                </w:p>
                <w:p>
                  <w:pPr>
                    <w:pStyle w:val="null3"/>
                    <w:jc w:val="left"/>
                  </w:pPr>
                  <w:r>
                    <w:rPr>
                      <w:rFonts w:ascii="宋体" w:hAnsi="宋体" w:cs="宋体" w:eastAsia="宋体"/>
                      <w:sz w:val="20"/>
                    </w:rPr>
                    <w:t>服务系统若有增加、升级新的业务功能等，应在功能上线前进行安全检测，检测内容包括漏洞扫描、人工核查等，出具相应上线安全检测报告，并协助完成整改。</w:t>
                  </w:r>
                </w:p>
                <w:p>
                  <w:pPr>
                    <w:pStyle w:val="null3"/>
                    <w:jc w:val="left"/>
                  </w:pPr>
                  <w:r>
                    <w:rPr>
                      <w:rFonts w:ascii="宋体" w:hAnsi="宋体" w:cs="宋体" w:eastAsia="宋体"/>
                      <w:sz w:val="20"/>
                    </w:rPr>
                    <w:t>（</w:t>
                  </w:r>
                  <w:r>
                    <w:rPr>
                      <w:rFonts w:ascii="宋体" w:hAnsi="宋体" w:cs="宋体" w:eastAsia="宋体"/>
                      <w:sz w:val="20"/>
                    </w:rPr>
                    <w:t>3）渗透测试</w:t>
                  </w:r>
                </w:p>
                <w:p>
                  <w:pPr>
                    <w:pStyle w:val="null3"/>
                    <w:jc w:val="left"/>
                  </w:pPr>
                  <w:r>
                    <w:rPr>
                      <w:rFonts w:ascii="宋体" w:hAnsi="宋体" w:cs="宋体" w:eastAsia="宋体"/>
                      <w:sz w:val="20"/>
                    </w:rPr>
                    <w:t>应通过现场结合远程的方式，模拟黑客从外网、内网对系统开展至少</w:t>
                  </w:r>
                  <w:r>
                    <w:rPr>
                      <w:rFonts w:ascii="宋体" w:hAnsi="宋体" w:cs="宋体" w:eastAsia="宋体"/>
                      <w:sz w:val="20"/>
                    </w:rPr>
                    <w:t>1次渗透测试工作，测试完毕生成详细的渗透测试报告，并提供改进建议。实施人员需熟练掌握渗透测试技能，具备丰富的渗透测试经验，渗透测试过程中不得进行影响业务系统稳定运行的操作。</w:t>
                  </w:r>
                </w:p>
                <w:p>
                  <w:pPr>
                    <w:pStyle w:val="null3"/>
                    <w:jc w:val="left"/>
                  </w:pPr>
                  <w:r>
                    <w:rPr>
                      <w:rFonts w:ascii="宋体" w:hAnsi="宋体" w:cs="宋体" w:eastAsia="宋体"/>
                      <w:sz w:val="20"/>
                    </w:rPr>
                    <w:t>（</w:t>
                  </w:r>
                  <w:r>
                    <w:rPr>
                      <w:rFonts w:ascii="宋体" w:hAnsi="宋体" w:cs="宋体" w:eastAsia="宋体"/>
                      <w:sz w:val="20"/>
                    </w:rPr>
                    <w:t>4）App（公众号、小程序）安全评估</w:t>
                  </w:r>
                </w:p>
                <w:p>
                  <w:pPr>
                    <w:pStyle w:val="null3"/>
                    <w:jc w:val="left"/>
                  </w:pPr>
                  <w:r>
                    <w:rPr>
                      <w:rFonts w:ascii="宋体" w:hAnsi="宋体" w:cs="宋体" w:eastAsia="宋体"/>
                      <w:sz w:val="20"/>
                    </w:rPr>
                    <w:t>应对服务系统现有</w:t>
                  </w:r>
                  <w:r>
                    <w:rPr>
                      <w:rFonts w:ascii="宋体" w:hAnsi="宋体" w:cs="宋体" w:eastAsia="宋体"/>
                      <w:sz w:val="20"/>
                    </w:rPr>
                    <w:t>APP（公众号、小程序等）及新增APP（公众号、小程序等）应用进行安全扫描、检测，有效评估APP中存在的各类安全隐患，测试完毕应生成APP（公众号、小程序等）应用安全检测报告。实施人员需熟练掌握移动APP（公众号、小程序等）的测试技能，应具有针对各类APP（公众号、小程序等）进行安全评估的丰富经验，安全评估过程中不得进行影响业务系统稳定运行的操作。</w:t>
                  </w:r>
                </w:p>
                <w:p>
                  <w:pPr>
                    <w:pStyle w:val="null3"/>
                    <w:jc w:val="left"/>
                  </w:pPr>
                  <w:r>
                    <w:rPr>
                      <w:rFonts w:ascii="宋体" w:hAnsi="宋体" w:cs="宋体" w:eastAsia="宋体"/>
                      <w:sz w:val="20"/>
                    </w:rPr>
                    <w:t>（</w:t>
                  </w:r>
                  <w:r>
                    <w:rPr>
                      <w:rFonts w:ascii="宋体" w:hAnsi="宋体" w:cs="宋体" w:eastAsia="宋体"/>
                      <w:sz w:val="20"/>
                    </w:rPr>
                    <w:t>5）网络安全检测及加固</w:t>
                  </w:r>
                </w:p>
                <w:p>
                  <w:pPr>
                    <w:pStyle w:val="null3"/>
                    <w:jc w:val="left"/>
                  </w:pPr>
                  <w:r>
                    <w:rPr>
                      <w:rFonts w:ascii="宋体" w:hAnsi="宋体" w:cs="宋体" w:eastAsia="宋体"/>
                      <w:sz w:val="20"/>
                    </w:rPr>
                    <w:t>通过配置检查工具或人工的方式对系统安全设备、服务器、终端电脑等设备的安全配置进行检测（检查）。同时，定期检查系统的安全配置，应及时发现不合理、不安全的安全配置并及时进行修复。协助省中心完成网络安全配置优化及系统安全加固，落实网络分区分域管理措施，合理划分系统网络安全区域，通过有效技术措施对安全区域进行隔离，确保安全控制策略有效、安全风险影响范围最小。</w:t>
                  </w:r>
                </w:p>
                <w:p>
                  <w:pPr>
                    <w:pStyle w:val="null3"/>
                    <w:jc w:val="left"/>
                  </w:pPr>
                  <w:r>
                    <w:rPr>
                      <w:rFonts w:ascii="宋体" w:hAnsi="宋体" w:cs="宋体" w:eastAsia="宋体"/>
                      <w:sz w:val="20"/>
                    </w:rPr>
                    <w:t>（</w:t>
                  </w:r>
                  <w:r>
                    <w:rPr>
                      <w:rFonts w:ascii="宋体" w:hAnsi="宋体" w:cs="宋体" w:eastAsia="宋体"/>
                      <w:sz w:val="20"/>
                    </w:rPr>
                    <w:t>6）应急响应（含重要活动护网工作）</w:t>
                  </w:r>
                </w:p>
                <w:p>
                  <w:pPr>
                    <w:pStyle w:val="null3"/>
                    <w:jc w:val="left"/>
                  </w:pPr>
                  <w:r>
                    <w:rPr>
                      <w:rFonts w:ascii="宋体" w:hAnsi="宋体" w:cs="宋体" w:eastAsia="宋体"/>
                      <w:sz w:val="20"/>
                    </w:rPr>
                    <w:t>应针对系统制定应急响应快速服务流程，包括设备故障响应和安全事件响应。日常故障或一般事件</w:t>
                  </w:r>
                  <w:r>
                    <w:rPr>
                      <w:rFonts w:ascii="宋体" w:hAnsi="宋体" w:cs="宋体" w:eastAsia="宋体"/>
                      <w:sz w:val="20"/>
                    </w:rPr>
                    <w:t>4小时内响应处置，重大故障或重大事件以上2小时响应处置。在发生安全事件时，应提供安全技术团队对事件进行分析研判，采取应急措施保障业务正常运行，并协助省中心快速协调相关厂家解决设备故障问题。</w:t>
                  </w:r>
                </w:p>
                <w:p>
                  <w:pPr>
                    <w:pStyle w:val="null3"/>
                    <w:jc w:val="left"/>
                  </w:pPr>
                  <w:r>
                    <w:rPr>
                      <w:rFonts w:ascii="宋体" w:hAnsi="宋体" w:cs="宋体" w:eastAsia="宋体"/>
                      <w:sz w:val="20"/>
                    </w:rPr>
                    <w:t>重要节假日、重大活动（国家、公安、省厅、部中心等护网行动），应加强值班值守，严格落实一线在岗值班值守制度，安排不少于</w:t>
                  </w:r>
                  <w:r>
                    <w:rPr>
                      <w:rFonts w:ascii="宋体" w:hAnsi="宋体" w:cs="宋体" w:eastAsia="宋体"/>
                      <w:sz w:val="20"/>
                    </w:rPr>
                    <w:t>3人的现场护网值守，提供7*24小时应急响应服务，确保系统安全稳定运行。</w:t>
                  </w:r>
                </w:p>
                <w:p>
                  <w:pPr>
                    <w:pStyle w:val="null3"/>
                    <w:jc w:val="left"/>
                  </w:pPr>
                  <w:r>
                    <w:rPr>
                      <w:rFonts w:ascii="宋体" w:hAnsi="宋体" w:cs="宋体" w:eastAsia="宋体"/>
                      <w:sz w:val="20"/>
                    </w:rPr>
                    <w:t>（</w:t>
                  </w:r>
                  <w:r>
                    <w:rPr>
                      <w:rFonts w:ascii="宋体" w:hAnsi="宋体" w:cs="宋体" w:eastAsia="宋体"/>
                      <w:sz w:val="20"/>
                    </w:rPr>
                    <w:t>7）安全演练</w:t>
                  </w:r>
                </w:p>
                <w:p>
                  <w:pPr>
                    <w:pStyle w:val="null3"/>
                    <w:jc w:val="left"/>
                  </w:pPr>
                  <w:r>
                    <w:rPr>
                      <w:rFonts w:ascii="宋体" w:hAnsi="宋体" w:cs="宋体" w:eastAsia="宋体"/>
                      <w:sz w:val="20"/>
                    </w:rPr>
                    <w:t>包括但不限于应急演练或攻防演练（攻击测试），制定网络安全演练方案，协助开展网络安全演练活动。根据演练活动结果协助省中心建立安全应急机制，完善应急措施、建立专项应急预案，服务期内提供不少于一次网络安全演练活动，并保留安全演练记录。</w:t>
                  </w:r>
                </w:p>
                <w:p>
                  <w:pPr>
                    <w:pStyle w:val="null3"/>
                    <w:jc w:val="left"/>
                  </w:pPr>
                  <w:r>
                    <w:rPr>
                      <w:rFonts w:ascii="宋体" w:hAnsi="宋体" w:cs="宋体" w:eastAsia="宋体"/>
                      <w:sz w:val="20"/>
                    </w:rPr>
                    <w:t>（</w:t>
                  </w:r>
                  <w:r>
                    <w:rPr>
                      <w:rFonts w:ascii="宋体" w:hAnsi="宋体" w:cs="宋体" w:eastAsia="宋体"/>
                      <w:sz w:val="20"/>
                    </w:rPr>
                    <w:t>8）安全检查</w:t>
                  </w:r>
                </w:p>
                <w:p>
                  <w:pPr>
                    <w:pStyle w:val="null3"/>
                    <w:jc w:val="left"/>
                  </w:pPr>
                  <w:r>
                    <w:rPr>
                      <w:rFonts w:ascii="宋体" w:hAnsi="宋体" w:cs="宋体" w:eastAsia="宋体"/>
                      <w:sz w:val="20"/>
                    </w:rPr>
                    <w:t>供应商应配合省中心完成不少于</w:t>
                  </w:r>
                  <w:r>
                    <w:rPr>
                      <w:rFonts w:ascii="宋体" w:hAnsi="宋体" w:cs="宋体" w:eastAsia="宋体"/>
                      <w:sz w:val="20"/>
                    </w:rPr>
                    <w:t>1次的信息安全抽检服务，以及时发现系统安全管理落实及安全技术实施中存在的不足及风险，检查内容包括但不限于：安全管理制度及执行情况、防病毒系统的版本升级情况、终端用户的安全合规情况、安全设备的系统性能情况、系统开放服务及安全策略检查、系统漏洞等，并出具安全检查报告，对检查中发现的完全问题，应给出合理的安全整改建议。</w:t>
                  </w:r>
                </w:p>
                <w:p>
                  <w:pPr>
                    <w:pStyle w:val="null3"/>
                    <w:jc w:val="left"/>
                  </w:pPr>
                  <w:r>
                    <w:rPr>
                      <w:rFonts w:ascii="宋体" w:hAnsi="宋体" w:cs="宋体" w:eastAsia="宋体"/>
                      <w:sz w:val="20"/>
                    </w:rPr>
                    <w:t>本项要求安全实施人员至少</w:t>
                  </w:r>
                  <w:r>
                    <w:rPr>
                      <w:rFonts w:ascii="宋体" w:hAnsi="宋体" w:cs="宋体" w:eastAsia="宋体"/>
                      <w:sz w:val="20"/>
                    </w:rPr>
                    <w:t>2名工程师（具体人员配备按照实际抽检工作量予以增加），且需理解高速公路联网系统各类安全规范、检查要求，并根据相关规范协助省中心完成安全检查工作。</w:t>
                  </w:r>
                </w:p>
                <w:p>
                  <w:pPr>
                    <w:pStyle w:val="null3"/>
                    <w:jc w:val="left"/>
                  </w:pPr>
                  <w:r>
                    <w:rPr>
                      <w:rFonts w:ascii="宋体" w:hAnsi="宋体" w:cs="宋体" w:eastAsia="宋体"/>
                      <w:sz w:val="20"/>
                    </w:rPr>
                    <w:t>（</w:t>
                  </w:r>
                  <w:r>
                    <w:rPr>
                      <w:rFonts w:ascii="宋体" w:hAnsi="宋体" w:cs="宋体" w:eastAsia="宋体"/>
                      <w:sz w:val="20"/>
                    </w:rPr>
                    <w:t>9）安全培训</w:t>
                  </w:r>
                </w:p>
                <w:p>
                  <w:pPr>
                    <w:pStyle w:val="null3"/>
                    <w:jc w:val="left"/>
                  </w:pPr>
                  <w:r>
                    <w:rPr>
                      <w:rFonts w:ascii="宋体" w:hAnsi="宋体" w:cs="宋体" w:eastAsia="宋体"/>
                      <w:sz w:val="20"/>
                    </w:rPr>
                    <w:t>对系统安全运维人员和安全管理人员进行信息安全政策、法规、技术标准内容的安全培训工作，完成信息安全政策的宣贯、提高相关工作人员的信息安全意识、信息安全技能。培训内容包括但不限于：信息安全意识培训、法律法规和安全标准体系培训、系统网络安全运行保障培训以及</w:t>
                  </w:r>
                  <w:r>
                    <w:rPr>
                      <w:rFonts w:ascii="宋体" w:hAnsi="宋体" w:cs="宋体" w:eastAsia="宋体"/>
                      <w:sz w:val="20"/>
                    </w:rPr>
                    <w:t>1人次CISP DSG认证培训考试</w:t>
                  </w:r>
                  <w:r>
                    <w:rPr>
                      <w:rFonts w:ascii="宋体" w:hAnsi="宋体" w:cs="宋体" w:eastAsia="宋体"/>
                      <w:sz w:val="20"/>
                    </w:rPr>
                    <w:t>，同时应保障已获得证书的有效延续认证，确保长期有效。</w:t>
                  </w:r>
                </w:p>
                <w:p>
                  <w:pPr>
                    <w:pStyle w:val="null3"/>
                    <w:jc w:val="left"/>
                  </w:pPr>
                  <w:r>
                    <w:rPr>
                      <w:rFonts w:ascii="宋体" w:hAnsi="宋体" w:cs="宋体" w:eastAsia="宋体"/>
                      <w:sz w:val="20"/>
                    </w:rPr>
                    <w:t>安全培训总时间</w:t>
                  </w:r>
                  <w:r>
                    <w:rPr>
                      <w:rFonts w:ascii="宋体" w:hAnsi="宋体" w:cs="宋体" w:eastAsia="宋体"/>
                      <w:sz w:val="20"/>
                    </w:rPr>
                    <w:t>2天，参加人员不少于50人不多于100人，应制定有针对性的信息安全培训教材，明确培训课程，讲授安排，并聘请国内信息安全技术专家担任讲师，提供实际操作体验。本次培训服务费用含讲课费、教室租用、教材、食宿。</w:t>
                  </w:r>
                </w:p>
                <w:p>
                  <w:pPr>
                    <w:pStyle w:val="null3"/>
                    <w:jc w:val="left"/>
                  </w:pPr>
                  <w:r>
                    <w:rPr>
                      <w:rFonts w:ascii="宋体" w:hAnsi="宋体" w:cs="宋体" w:eastAsia="宋体"/>
                      <w:sz w:val="20"/>
                    </w:rPr>
                    <w:t>省中心</w:t>
                  </w:r>
                  <w:r>
                    <w:rPr>
                      <w:rFonts w:ascii="宋体" w:hAnsi="宋体" w:cs="宋体" w:eastAsia="宋体"/>
                      <w:sz w:val="20"/>
                    </w:rPr>
                    <w:t>1人次CISP DSG认证培训及考试，包含教材、培训费、考试费、食宿等所有由于培训产生的费用。</w:t>
                  </w:r>
                </w:p>
                <w:p>
                  <w:pPr>
                    <w:pStyle w:val="null3"/>
                    <w:jc w:val="left"/>
                  </w:pPr>
                  <w:r>
                    <w:rPr>
                      <w:rFonts w:ascii="宋体" w:hAnsi="宋体" w:cs="宋体" w:eastAsia="宋体"/>
                      <w:sz w:val="20"/>
                    </w:rPr>
                    <w:t>2.日常安全运维服务</w:t>
                  </w:r>
                </w:p>
                <w:p>
                  <w:pPr>
                    <w:pStyle w:val="null3"/>
                    <w:jc w:val="left"/>
                  </w:pPr>
                  <w:r>
                    <w:rPr>
                      <w:rFonts w:ascii="宋体" w:hAnsi="宋体" w:cs="宋体" w:eastAsia="宋体"/>
                      <w:sz w:val="20"/>
                    </w:rPr>
                    <w:t>日常安全维护工作主要包括以下</w:t>
                  </w:r>
                  <w:r>
                    <w:rPr>
                      <w:rFonts w:ascii="宋体" w:hAnsi="宋体" w:cs="宋体" w:eastAsia="宋体"/>
                      <w:sz w:val="20"/>
                    </w:rPr>
                    <w:t>4个方面：</w:t>
                  </w:r>
                </w:p>
                <w:p>
                  <w:pPr>
                    <w:pStyle w:val="null3"/>
                    <w:jc w:val="left"/>
                  </w:pPr>
                  <w:r>
                    <w:rPr>
                      <w:rFonts w:ascii="宋体" w:hAnsi="宋体" w:cs="宋体" w:eastAsia="宋体"/>
                      <w:sz w:val="20"/>
                    </w:rPr>
                    <w:t>（</w:t>
                  </w:r>
                  <w:r>
                    <w:rPr>
                      <w:rFonts w:ascii="宋体" w:hAnsi="宋体" w:cs="宋体" w:eastAsia="宋体"/>
                      <w:sz w:val="20"/>
                    </w:rPr>
                    <w:t>1）安全巡检</w:t>
                  </w:r>
                </w:p>
                <w:p>
                  <w:pPr>
                    <w:pStyle w:val="null3"/>
                    <w:jc w:val="left"/>
                  </w:pPr>
                  <w:r>
                    <w:rPr>
                      <w:rFonts w:ascii="宋体" w:hAnsi="宋体" w:cs="宋体" w:eastAsia="宋体"/>
                      <w:sz w:val="20"/>
                    </w:rPr>
                    <w:t>对系统安全设备进行现场安全巡检，及时了解安全设备运行情况，观察各个安全节点的可靠性。机房巡检每日</w:t>
                  </w:r>
                  <w:r>
                    <w:rPr>
                      <w:rFonts w:ascii="宋体" w:hAnsi="宋体" w:cs="宋体" w:eastAsia="宋体"/>
                      <w:sz w:val="20"/>
                    </w:rPr>
                    <w:t>2次，线上巡检每日1次（即设备管理平台状态检查），遇重要活动或会议期间应加大巡检频率，并提供巡检日报。对巡检中发现的安全问题或异常情况，应及时报告省中心人员，不得擅自处理，并协助省中心对问题进行整改。</w:t>
                  </w:r>
                </w:p>
                <w:p>
                  <w:pPr>
                    <w:pStyle w:val="null3"/>
                    <w:jc w:val="left"/>
                  </w:pPr>
                  <w:r>
                    <w:rPr>
                      <w:rFonts w:ascii="宋体" w:hAnsi="宋体" w:cs="宋体" w:eastAsia="宋体"/>
                      <w:sz w:val="20"/>
                    </w:rPr>
                    <w:t>（</w:t>
                  </w:r>
                  <w:r>
                    <w:rPr>
                      <w:rFonts w:ascii="宋体" w:hAnsi="宋体" w:cs="宋体" w:eastAsia="宋体"/>
                      <w:sz w:val="20"/>
                    </w:rPr>
                    <w:t>2）信息资产台账维护</w:t>
                  </w:r>
                </w:p>
                <w:p>
                  <w:pPr>
                    <w:pStyle w:val="null3"/>
                    <w:jc w:val="left"/>
                  </w:pPr>
                  <w:r>
                    <w:rPr>
                      <w:rFonts w:ascii="宋体" w:hAnsi="宋体" w:cs="宋体" w:eastAsia="宋体"/>
                      <w:sz w:val="20"/>
                    </w:rPr>
                    <w:t>定期维护更新安全设备资产台账，包括资产类别、型号、用途、位置、端口使用状态、责任归属等。并重点记录资产在遭受泄密、中断、损害等破坏时所遭受的影响，以及后续状态。</w:t>
                  </w:r>
                </w:p>
                <w:p>
                  <w:pPr>
                    <w:pStyle w:val="null3"/>
                    <w:jc w:val="left"/>
                  </w:pPr>
                  <w:r>
                    <w:rPr>
                      <w:rFonts w:ascii="宋体" w:hAnsi="宋体" w:cs="宋体" w:eastAsia="宋体"/>
                      <w:sz w:val="20"/>
                    </w:rPr>
                    <w:t>（</w:t>
                  </w:r>
                  <w:r>
                    <w:rPr>
                      <w:rFonts w:ascii="宋体" w:hAnsi="宋体" w:cs="宋体" w:eastAsia="宋体"/>
                      <w:sz w:val="20"/>
                    </w:rPr>
                    <w:t>3）安全运行监测</w:t>
                  </w:r>
                </w:p>
                <w:p>
                  <w:pPr>
                    <w:pStyle w:val="null3"/>
                    <w:jc w:val="left"/>
                  </w:pPr>
                  <w:r>
                    <w:rPr>
                      <w:rFonts w:ascii="宋体" w:hAnsi="宋体" w:cs="宋体" w:eastAsia="宋体"/>
                      <w:sz w:val="20"/>
                    </w:rPr>
                    <w:t>充分利用现有安全运行监测平台或借助第三方运行监测平台，对省中心部署的防火墙、网闸、日志审计系统、堡垒机、漏洞扫描、防病毒系统等安全设备（软件）运行状况进行监测，及时发现安全异常情况。对服务期限内新增的系统安全设备，也应做好安全运行监测工作。</w:t>
                  </w:r>
                </w:p>
                <w:p>
                  <w:pPr>
                    <w:pStyle w:val="null3"/>
                    <w:jc w:val="left"/>
                  </w:pPr>
                  <w:r>
                    <w:rPr>
                      <w:rFonts w:ascii="宋体" w:hAnsi="宋体" w:cs="宋体" w:eastAsia="宋体"/>
                      <w:sz w:val="20"/>
                    </w:rPr>
                    <w:t>（</w:t>
                  </w:r>
                  <w:r>
                    <w:rPr>
                      <w:rFonts w:ascii="宋体" w:hAnsi="宋体" w:cs="宋体" w:eastAsia="宋体"/>
                      <w:sz w:val="20"/>
                    </w:rPr>
                    <w:t>4）其它安全信息服务</w:t>
                  </w:r>
                </w:p>
                <w:p>
                  <w:pPr>
                    <w:pStyle w:val="null3"/>
                    <w:jc w:val="left"/>
                  </w:pPr>
                  <w:r>
                    <w:rPr>
                      <w:rFonts w:ascii="宋体" w:hAnsi="宋体" w:cs="宋体" w:eastAsia="宋体"/>
                      <w:sz w:val="20"/>
                    </w:rPr>
                    <w:t>应在安全技术团队保障的基础上，协助编制（修订）全省和省中心相关网络安全管理制度、安全检查（通报）、安全技术要求、专项方案等相关文件。应梳理现有网络安全配置策略，针对服务中出现的问题，提交本年度安全运行分析报告，提出安全管理及技术方面需要完善的意见建议，包括但不限于整体系统架构的可靠性、冗余性、安全性、可扩展性方面，同时规划下一年度的安全完善计划。</w:t>
                  </w:r>
                </w:p>
                <w:p>
                  <w:pPr>
                    <w:pStyle w:val="null3"/>
                    <w:jc w:val="left"/>
                  </w:pPr>
                  <w:r>
                    <w:rPr>
                      <w:rFonts w:ascii="宋体" w:hAnsi="宋体" w:cs="宋体" w:eastAsia="宋体"/>
                      <w:sz w:val="20"/>
                    </w:rPr>
                    <w:t>3.服务报告要求</w:t>
                  </w:r>
                </w:p>
                <w:p>
                  <w:pPr>
                    <w:pStyle w:val="null3"/>
                    <w:jc w:val="left"/>
                  </w:pPr>
                  <w:r>
                    <w:rPr>
                      <w:rFonts w:ascii="宋体" w:hAnsi="宋体" w:cs="宋体" w:eastAsia="宋体"/>
                      <w:sz w:val="20"/>
                    </w:rPr>
                    <w:t>本服务项目的交付物包含但不限于以下内容：</w:t>
                  </w:r>
                </w:p>
                <w:p>
                  <w:pPr>
                    <w:pStyle w:val="null3"/>
                    <w:jc w:val="left"/>
                  </w:pPr>
                  <w:r>
                    <w:rPr>
                      <w:rFonts w:ascii="宋体" w:hAnsi="宋体" w:cs="宋体" w:eastAsia="宋体"/>
                      <w:sz w:val="20"/>
                    </w:rPr>
                    <w:t>《日巡检安全报告》</w:t>
                  </w:r>
                </w:p>
                <w:p>
                  <w:pPr>
                    <w:pStyle w:val="null3"/>
                    <w:jc w:val="left"/>
                  </w:pPr>
                  <w:r>
                    <w:rPr>
                      <w:rFonts w:ascii="宋体" w:hAnsi="宋体" w:cs="宋体" w:eastAsia="宋体"/>
                      <w:sz w:val="20"/>
                    </w:rPr>
                    <w:t>《月度风险分析报告》</w:t>
                  </w:r>
                </w:p>
                <w:p>
                  <w:pPr>
                    <w:pStyle w:val="null3"/>
                    <w:jc w:val="left"/>
                  </w:pPr>
                  <w:r>
                    <w:rPr>
                      <w:rFonts w:ascii="宋体" w:hAnsi="宋体" w:cs="宋体" w:eastAsia="宋体"/>
                      <w:sz w:val="20"/>
                    </w:rPr>
                    <w:t>《季度漏洞扫描报告》</w:t>
                  </w:r>
                </w:p>
                <w:p>
                  <w:pPr>
                    <w:pStyle w:val="null3"/>
                    <w:jc w:val="left"/>
                  </w:pPr>
                  <w:r>
                    <w:rPr>
                      <w:rFonts w:ascii="宋体" w:hAnsi="宋体" w:cs="宋体" w:eastAsia="宋体"/>
                      <w:sz w:val="20"/>
                    </w:rPr>
                    <w:t>《重要时段护网总结报告》</w:t>
                  </w:r>
                </w:p>
                <w:p>
                  <w:pPr>
                    <w:pStyle w:val="null3"/>
                    <w:jc w:val="left"/>
                  </w:pPr>
                  <w:r>
                    <w:rPr>
                      <w:rFonts w:ascii="宋体" w:hAnsi="宋体" w:cs="宋体" w:eastAsia="宋体"/>
                      <w:sz w:val="20"/>
                    </w:rPr>
                    <w:t>《渗透测试报告》</w:t>
                  </w:r>
                </w:p>
                <w:p>
                  <w:pPr>
                    <w:pStyle w:val="null3"/>
                    <w:jc w:val="left"/>
                  </w:pPr>
                  <w:r>
                    <w:rPr>
                      <w:rFonts w:ascii="宋体" w:hAnsi="宋体" w:cs="宋体" w:eastAsia="宋体"/>
                      <w:sz w:val="20"/>
                    </w:rPr>
                    <w:t>《安全演练报告》</w:t>
                  </w:r>
                </w:p>
                <w:p>
                  <w:pPr>
                    <w:pStyle w:val="null3"/>
                    <w:jc w:val="left"/>
                  </w:pPr>
                  <w:r>
                    <w:rPr>
                      <w:rFonts w:ascii="宋体" w:hAnsi="宋体" w:cs="宋体" w:eastAsia="宋体"/>
                      <w:sz w:val="20"/>
                    </w:rPr>
                    <w:t>《安全检查报告》</w:t>
                  </w:r>
                </w:p>
                <w:p>
                  <w:pPr>
                    <w:pStyle w:val="null3"/>
                    <w:jc w:val="left"/>
                  </w:pPr>
                  <w:r>
                    <w:rPr>
                      <w:rFonts w:ascii="宋体" w:hAnsi="宋体" w:cs="宋体" w:eastAsia="宋体"/>
                      <w:sz w:val="20"/>
                    </w:rPr>
                    <w:t>《安全培训报告》</w:t>
                  </w:r>
                </w:p>
                <w:p>
                  <w:pPr>
                    <w:pStyle w:val="null3"/>
                    <w:jc w:val="left"/>
                  </w:pPr>
                  <w:r>
                    <w:rPr>
                      <w:rFonts w:ascii="宋体" w:hAnsi="宋体" w:cs="宋体" w:eastAsia="宋体"/>
                      <w:sz w:val="20"/>
                    </w:rPr>
                    <w:t>《年度安全运行分析报告》</w:t>
                  </w:r>
                </w:p>
                <w:p>
                  <w:pPr>
                    <w:pStyle w:val="null3"/>
                    <w:jc w:val="left"/>
                  </w:pPr>
                  <w:r>
                    <w:rPr>
                      <w:rFonts w:ascii="宋体" w:hAnsi="宋体" w:cs="宋体" w:eastAsia="宋体"/>
                      <w:sz w:val="20"/>
                    </w:rPr>
                    <w:t>其他需要的报告或者材料。</w:t>
                  </w:r>
                </w:p>
                <w:p>
                  <w:pPr>
                    <w:pStyle w:val="null3"/>
                    <w:jc w:val="left"/>
                  </w:pPr>
                  <w:r>
                    <w:rPr>
                      <w:rFonts w:ascii="宋体" w:hAnsi="宋体" w:cs="宋体" w:eastAsia="宋体"/>
                      <w:sz w:val="20"/>
                    </w:rPr>
                    <w:t>4.重要信息系统网络安全运维服务维护清单如下：</w:t>
                  </w:r>
                </w:p>
                <w:tbl>
                  <w:tblPr>
                    <w:tblBorders>
                      <w:top w:val="none" w:color="000000" w:sz="4"/>
                      <w:left w:val="none" w:color="000000" w:sz="4"/>
                      <w:bottom w:val="none" w:color="000000" w:sz="4"/>
                      <w:right w:val="none" w:color="000000" w:sz="4"/>
                      <w:insideH w:val="none"/>
                      <w:insideV w:val="none"/>
                    </w:tblBorders>
                  </w:tblPr>
                  <w:tblGrid>
                    <w:gridCol w:w="180"/>
                    <w:gridCol w:w="556"/>
                    <w:gridCol w:w="187"/>
                    <w:gridCol w:w="725"/>
                    <w:gridCol w:w="191"/>
                    <w:gridCol w:w="187"/>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系统名称</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类别</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设备名称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高速公路联网收费省级中心系统</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硬件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部省交互区防火墙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发行业务交互防火墙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安全管理区防火墙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支撑平台防火墙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路网接入防火墙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服务器区防火墙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第三方接入防火墙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站部防火墙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数据库防火墙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普通公路防火墙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普通公路</w:t>
                        </w:r>
                        <w:r>
                          <w:rPr>
                            <w:rFonts w:ascii="宋体" w:hAnsi="宋体" w:cs="宋体" w:eastAsia="宋体"/>
                            <w:sz w:val="20"/>
                          </w:rPr>
                          <w:t>VPN</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部省交互防病毒网关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堡垒机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网络准入控制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安全漏洞扫描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普通公路入侵防御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556"/>
                        <w:vMerge/>
                        <w:tcBorders>
                          <w:top w:val="none" w:color="000000" w:sz="4"/>
                          <w:left w:val="none" w:color="000000" w:sz="4"/>
                          <w:bottom w:val="single" w:color="000000" w:sz="4"/>
                          <w:right w:val="single" w:color="000000" w:sz="4"/>
                        </w:tcBorders>
                      </w:tcP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软硬一体</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内网安全管理系统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日志收集与审计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数据库安全审计系统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网络安全态势感知平台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556"/>
                        <w:vMerge/>
                        <w:tcBorders>
                          <w:top w:val="none" w:color="000000" w:sz="4"/>
                          <w:left w:val="none" w:color="000000" w:sz="4"/>
                          <w:bottom w:val="single" w:color="000000" w:sz="4"/>
                          <w:right w:val="single" w:color="000000" w:sz="4"/>
                        </w:tcBorders>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软件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防病毒系统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5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高速公路网综合监控省级中心系统</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硬件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路网边界防火墙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业务区防火墙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安全管理区防火墙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互联网防火墙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专网接入防火墙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堡垒机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29</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安全漏洞扫描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网络准入控制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31</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入侵检测</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32</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RA网关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33</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PKI加密机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34</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数字签名系统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35</w:t>
                        </w:r>
                      </w:p>
                    </w:tc>
                    <w:tc>
                      <w:tcPr>
                        <w:tcW w:type="dxa" w:w="556"/>
                        <w:vMerge/>
                        <w:tcBorders>
                          <w:top w:val="none" w:color="000000" w:sz="4"/>
                          <w:left w:val="none" w:color="000000" w:sz="4"/>
                          <w:bottom w:val="single" w:color="000000" w:sz="4"/>
                          <w:right w:val="single" w:color="000000" w:sz="4"/>
                        </w:tcBorders>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软硬一体</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日志收集与审计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36</w:t>
                        </w:r>
                      </w:p>
                    </w:tc>
                    <w:tc>
                      <w:tcPr>
                        <w:tcW w:type="dxa" w:w="556"/>
                        <w:vMerge/>
                        <w:tcBorders>
                          <w:top w:val="none" w:color="000000" w:sz="4"/>
                          <w:left w:val="none" w:color="000000" w:sz="4"/>
                          <w:bottom w:val="single" w:color="000000" w:sz="4"/>
                          <w:right w:val="single" w:color="000000" w:sz="4"/>
                        </w:tcBorders>
                      </w:tcP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软件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防病毒系统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37</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证书接入系统</w:t>
                        </w:r>
                        <w:r>
                          <w:rPr>
                            <w:rFonts w:ascii="宋体" w:hAnsi="宋体" w:cs="宋体" w:eastAsia="宋体"/>
                            <w:sz w:val="20"/>
                          </w:rPr>
                          <w:t>RA</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38</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陕西省高速公路省级视频云联网监测系统</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硬件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视频上云防火墙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39</w:t>
                        </w:r>
                      </w:p>
                    </w:tc>
                    <w:tc>
                      <w:tcPr>
                        <w:tcW w:type="dxa" w:w="5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陕西交通服务热线</w:t>
                        </w:r>
                        <w:r>
                          <w:rPr>
                            <w:rFonts w:ascii="宋体" w:hAnsi="宋体" w:cs="宋体" w:eastAsia="宋体"/>
                            <w:sz w:val="20"/>
                          </w:rPr>
                          <w:t>12122系统</w:t>
                        </w:r>
                      </w:p>
                    </w:tc>
                    <w:tc>
                      <w:tcPr>
                        <w:tcW w:type="dxa" w:w="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硬件</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防火墙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41</w:t>
                        </w:r>
                      </w:p>
                    </w:tc>
                    <w:tc>
                      <w:tcPr>
                        <w:tcW w:type="dxa" w:w="556"/>
                        <w:vMerge/>
                        <w:tcBorders>
                          <w:top w:val="none" w:color="000000" w:sz="4"/>
                          <w:left w:val="none" w:color="000000" w:sz="4"/>
                          <w:bottom w:val="single" w:color="000000" w:sz="4"/>
                          <w:right w:val="single" w:color="000000" w:sz="4"/>
                        </w:tcBorders>
                      </w:tcPr>
                      <w:p/>
                    </w:tc>
                    <w:tc>
                      <w:tcPr>
                        <w:tcW w:type="dxa" w:w="187"/>
                        <w:vMerge/>
                        <w:tcBorders>
                          <w:top w:val="none" w:color="000000" w:sz="4"/>
                          <w:left w:val="none" w:color="000000" w:sz="4"/>
                          <w:bottom w:val="single" w:color="000000" w:sz="4"/>
                          <w:right w:val="single" w:color="000000" w:sz="4"/>
                        </w:tcBorders>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WEB应用防护系统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r>
                </w:tbl>
                <w:p>
                  <w:pPr>
                    <w:pStyle w:val="null3"/>
                    <w:jc w:val="left"/>
                  </w:pPr>
                  <w:r>
                    <w:rPr>
                      <w:rFonts w:ascii="宋体" w:hAnsi="宋体" w:cs="宋体" w:eastAsia="宋体"/>
                      <w:sz w:val="20"/>
                    </w:rPr>
                    <w:t>（二）安全设备特征库升级服务</w:t>
                  </w:r>
                </w:p>
                <w:p>
                  <w:pPr>
                    <w:pStyle w:val="null3"/>
                    <w:jc w:val="left"/>
                  </w:pPr>
                  <w:r>
                    <w:rPr>
                      <w:rFonts w:ascii="宋体" w:hAnsi="宋体" w:cs="宋体" w:eastAsia="宋体"/>
                      <w:sz w:val="20"/>
                    </w:rPr>
                    <w:t>按照国家信息安全等级保护制度要求，依据部、省相关信息安全政策、技术标准及安全文件要求，结合系统业务实际情况及安全现状，对高速公路联网收费省级中心系统、高速公路网综合监控省级中心系统、陕西省高速公路省级视频云联网监测系统、陕西交通服务热线</w:t>
                  </w:r>
                  <w:r>
                    <w:rPr>
                      <w:rFonts w:ascii="宋体" w:hAnsi="宋体" w:cs="宋体" w:eastAsia="宋体"/>
                      <w:sz w:val="20"/>
                    </w:rPr>
                    <w:t>12122系统4个系统购买1年升级授权服务。</w:t>
                  </w:r>
                </w:p>
                <w:p>
                  <w:pPr>
                    <w:pStyle w:val="null3"/>
                    <w:jc w:val="left"/>
                  </w:pPr>
                  <w:r>
                    <w:rPr>
                      <w:rFonts w:ascii="宋体" w:hAnsi="宋体" w:cs="宋体" w:eastAsia="宋体"/>
                      <w:sz w:val="20"/>
                    </w:rPr>
                    <w:t>1.服务要求。服务期内需每周进行防病毒系统升级，其余安全设备特征库需每月进行设备特征库升级，如遇重要时段（重要节假日、重大活动等）或当有新型蠕虫、病毒、漏洞等范围性安全事件发生时，也需及时进行设备特征库升级，确保及时更新至最新版本，安全策略有效，期间不能收取任何费用。本次安全设备特征库升级服务清单如下：</w:t>
                  </w:r>
                </w:p>
                <w:tbl>
                  <w:tblPr>
                    <w:tblBorders>
                      <w:top w:val="none" w:color="000000" w:sz="4"/>
                      <w:left w:val="none" w:color="000000" w:sz="4"/>
                      <w:bottom w:val="none" w:color="000000" w:sz="4"/>
                      <w:right w:val="none" w:color="000000" w:sz="4"/>
                      <w:insideH w:val="none"/>
                      <w:insideV w:val="none"/>
                    </w:tblBorders>
                  </w:tblPr>
                  <w:tblGrid>
                    <w:gridCol w:w="218"/>
                    <w:gridCol w:w="324"/>
                    <w:gridCol w:w="354"/>
                    <w:gridCol w:w="482"/>
                    <w:gridCol w:w="399"/>
                    <w:gridCol w:w="24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系统名称</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品牌</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产品名称</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待升级数量</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单位</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高速公路联网收费省级中心系统</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天融信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防火墙</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24"/>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网御星云</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入侵防御</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24"/>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绿盟</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安全漏洞扫描</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24"/>
                        <w:vMerge/>
                        <w:tcBorders>
                          <w:top w:val="none" w:color="000000" w:sz="4"/>
                          <w:left w:val="none" w:color="000000" w:sz="4"/>
                          <w:bottom w:val="single" w:color="000000" w:sz="4"/>
                          <w:right w:val="single" w:color="000000" w:sz="4"/>
                        </w:tcBorders>
                      </w:tcP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亚信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防病毒网关</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324"/>
                        <w:vMerge/>
                        <w:tcBorders>
                          <w:top w:val="none" w:color="000000" w:sz="4"/>
                          <w:left w:val="none" w:color="000000" w:sz="4"/>
                          <w:bottom w:val="single" w:color="000000" w:sz="4"/>
                          <w:right w:val="single" w:color="000000" w:sz="4"/>
                        </w:tcBorders>
                      </w:tcPr>
                      <w:p/>
                    </w:tc>
                    <w:tc>
                      <w:tcPr>
                        <w:tcW w:type="dxa" w:w="354"/>
                        <w:vMerge/>
                        <w:tcBorders>
                          <w:top w:val="non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防病毒系统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24"/>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安恒</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态势感知平台</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高速公路网综合监控省级中心系统</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天融信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防火墙</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24"/>
                        <w:vMerge/>
                        <w:tcBorders>
                          <w:top w:val="none" w:color="000000" w:sz="4"/>
                          <w:left w:val="none" w:color="000000" w:sz="4"/>
                          <w:bottom w:val="single" w:color="000000" w:sz="4"/>
                          <w:right w:val="single" w:color="000000" w:sz="4"/>
                        </w:tcBorders>
                      </w:tcPr>
                      <w:p/>
                    </w:tc>
                    <w:tc>
                      <w:tcPr>
                        <w:tcW w:type="dxa" w:w="3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迪普</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防火墙</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324"/>
                        <w:vMerge/>
                        <w:tcBorders>
                          <w:top w:val="none" w:color="000000" w:sz="4"/>
                          <w:left w:val="none" w:color="000000" w:sz="4"/>
                          <w:bottom w:val="single" w:color="000000" w:sz="4"/>
                          <w:right w:val="single" w:color="000000" w:sz="4"/>
                        </w:tcBorders>
                      </w:tcPr>
                      <w:p/>
                    </w:tc>
                    <w:tc>
                      <w:tcPr>
                        <w:tcW w:type="dxa" w:w="354"/>
                        <w:vMerge/>
                        <w:tcBorders>
                          <w:top w:val="non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安全漏洞扫描</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324"/>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奇安信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防病毒系统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陕西省高速公路省级视频云联网监测系统</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奇安信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防火墙</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324"/>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奇安信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防病毒系统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陕西交通服务热线</w:t>
                        </w:r>
                        <w:r>
                          <w:rPr>
                            <w:rFonts w:ascii="宋体" w:hAnsi="宋体" w:cs="宋体" w:eastAsia="宋体"/>
                            <w:sz w:val="21"/>
                          </w:rPr>
                          <w:t>12122系统</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深信服</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防火墙</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324"/>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绿盟</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WEB应用防护系统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r>
                </w:tbl>
                <w:p>
                  <w:pPr>
                    <w:pStyle w:val="null3"/>
                    <w:jc w:val="left"/>
                  </w:pPr>
                  <w:r>
                    <w:rPr>
                      <w:rFonts w:ascii="宋体" w:hAnsi="宋体" w:cs="宋体" w:eastAsia="宋体"/>
                      <w:sz w:val="20"/>
                    </w:rPr>
                    <w:t>2.服务报告要求</w:t>
                  </w:r>
                </w:p>
                <w:p>
                  <w:pPr>
                    <w:pStyle w:val="null3"/>
                    <w:jc w:val="left"/>
                  </w:pPr>
                  <w:r>
                    <w:rPr>
                      <w:rFonts w:ascii="宋体" w:hAnsi="宋体" w:cs="宋体" w:eastAsia="宋体"/>
                      <w:sz w:val="20"/>
                    </w:rPr>
                    <w:t>本服务项目的交付物包含但不限于以下内容：</w:t>
                  </w:r>
                </w:p>
                <w:p>
                  <w:pPr>
                    <w:pStyle w:val="null3"/>
                    <w:jc w:val="left"/>
                  </w:pPr>
                  <w:r>
                    <w:rPr>
                      <w:rFonts w:ascii="宋体" w:hAnsi="宋体" w:cs="宋体" w:eastAsia="宋体"/>
                      <w:sz w:val="20"/>
                    </w:rPr>
                    <w:t>《授权升级报告》</w:t>
                  </w:r>
                </w:p>
                <w:p>
                  <w:pPr>
                    <w:pStyle w:val="null3"/>
                    <w:jc w:val="left"/>
                  </w:pPr>
                  <w:r>
                    <w:rPr>
                      <w:rFonts w:ascii="宋体" w:hAnsi="宋体" w:cs="宋体" w:eastAsia="宋体"/>
                      <w:sz w:val="20"/>
                    </w:rPr>
                    <w:t>《月度升级服务报告》</w:t>
                  </w:r>
                </w:p>
                <w:p>
                  <w:pPr>
                    <w:pStyle w:val="null3"/>
                    <w:jc w:val="left"/>
                  </w:pPr>
                  <w:r>
                    <w:rPr>
                      <w:rFonts w:ascii="宋体" w:hAnsi="宋体" w:cs="宋体" w:eastAsia="宋体"/>
                      <w:sz w:val="20"/>
                    </w:rPr>
                    <w:t>《年度升级服务报告》</w:t>
                  </w:r>
                </w:p>
                <w:p>
                  <w:pPr>
                    <w:pStyle w:val="null3"/>
                    <w:jc w:val="left"/>
                  </w:pPr>
                  <w:r>
                    <w:rPr>
                      <w:rFonts w:ascii="宋体" w:hAnsi="宋体" w:cs="宋体" w:eastAsia="宋体"/>
                      <w:sz w:val="20"/>
                    </w:rPr>
                    <w:t>（三）高速公路联网收费系统数据异地备份服务</w:t>
                  </w:r>
                </w:p>
                <w:p>
                  <w:pPr>
                    <w:pStyle w:val="null3"/>
                    <w:jc w:val="left"/>
                  </w:pPr>
                  <w:r>
                    <w:rPr>
                      <w:rFonts w:ascii="宋体" w:hAnsi="宋体" w:cs="宋体" w:eastAsia="宋体"/>
                      <w:sz w:val="20"/>
                    </w:rPr>
                    <w:t>陕西省高速公路联网收费系统业务复杂、结构化数据量大，供应商应充分理解联网收费系统现网情况，对联网收费系统业务架构、数据情况、安全等级等理解清晰后提供异地数据备份技术服务。供应商应提供一整套联网收费系统核心数据库异地数据热备份所需的软硬件环境（包括机房设施等），在有效保护原有已备份到异地的历史数据安全的同时，对联网收费核心业务的新增数据库实例进行实时的异地数据备份、数据保护、数据恢复功能。</w:t>
                  </w:r>
                </w:p>
                <w:p>
                  <w:pPr>
                    <w:pStyle w:val="null3"/>
                    <w:jc w:val="left"/>
                  </w:pPr>
                  <w:r>
                    <w:rPr>
                      <w:rFonts w:ascii="宋体" w:hAnsi="宋体" w:cs="宋体" w:eastAsia="宋体"/>
                      <w:sz w:val="20"/>
                    </w:rPr>
                    <w:t>数据异地备份服务允许供应商租用其它第三方机房及线路。</w:t>
                  </w:r>
                </w:p>
                <w:p>
                  <w:pPr>
                    <w:pStyle w:val="null3"/>
                    <w:jc w:val="left"/>
                  </w:pPr>
                  <w:r>
                    <w:rPr>
                      <w:rFonts w:ascii="宋体" w:hAnsi="宋体" w:cs="宋体" w:eastAsia="宋体"/>
                      <w:sz w:val="20"/>
                    </w:rPr>
                    <w:t>1.配置要求</w:t>
                  </w:r>
                </w:p>
                <w:p>
                  <w:pPr>
                    <w:pStyle w:val="null3"/>
                    <w:jc w:val="left"/>
                  </w:pPr>
                  <w:r>
                    <w:rPr>
                      <w:rFonts w:ascii="宋体" w:hAnsi="宋体" w:cs="宋体" w:eastAsia="宋体"/>
                      <w:sz w:val="20"/>
                    </w:rPr>
                    <w:t>（</w:t>
                  </w:r>
                  <w:r>
                    <w:rPr>
                      <w:rFonts w:ascii="宋体" w:hAnsi="宋体" w:cs="宋体" w:eastAsia="宋体"/>
                      <w:sz w:val="20"/>
                    </w:rPr>
                    <w:t>1）硬件备份资源（非国产或国产配置要求满足其中一种即可）</w:t>
                  </w:r>
                </w:p>
                <w:p>
                  <w:pPr>
                    <w:pStyle w:val="null3"/>
                    <w:jc w:val="left"/>
                  </w:pPr>
                  <w:r>
                    <w:rPr>
                      <w:rFonts w:ascii="宋体" w:hAnsi="宋体" w:cs="宋体" w:eastAsia="宋体"/>
                      <w:sz w:val="20"/>
                    </w:rPr>
                    <w:t>非国产配置要求：机架式</w:t>
                  </w:r>
                  <w:r>
                    <w:rPr>
                      <w:rFonts w:ascii="宋体" w:hAnsi="宋体" w:cs="宋体" w:eastAsia="宋体"/>
                      <w:sz w:val="20"/>
                    </w:rPr>
                    <w:t>2U高度；Intel 8核CPU,处理器主频≥2.1GHz;内存≥32G,≥16个内存槽位；240G 2.5寸企业级SSD系统硬盘≥2；数据盘可用存储空间不小于180TB；板载Inteli350双千兆网口；RAID级别：0，1，5，10，50，2GB缓存;冗余电源和风扇模块。</w:t>
                  </w:r>
                </w:p>
                <w:p>
                  <w:pPr>
                    <w:pStyle w:val="null3"/>
                    <w:jc w:val="left"/>
                  </w:pPr>
                  <w:r>
                    <w:rPr>
                      <w:rFonts w:ascii="宋体" w:hAnsi="宋体" w:cs="宋体" w:eastAsia="宋体"/>
                      <w:sz w:val="20"/>
                    </w:rPr>
                    <w:t>国产配置要求：机架式</w:t>
                  </w:r>
                  <w:r>
                    <w:rPr>
                      <w:rFonts w:ascii="宋体" w:hAnsi="宋体" w:cs="宋体" w:eastAsia="宋体"/>
                      <w:sz w:val="20"/>
                    </w:rPr>
                    <w:t>2U高度；国产 16核CPU,处理器主频≥2.1GHz;内存≥64G,≥16个内存槽位；240G 2.5寸企业级SSD系统硬盘≥2；数据盘可用存储空间不小于180TB；万兆光接口≥2，万兆多模光模块≥2；RAID级别：0，1，5，10，50，2GB缓存;冗余电源和风扇模块。</w:t>
                  </w:r>
                </w:p>
                <w:p>
                  <w:pPr>
                    <w:pStyle w:val="null3"/>
                    <w:jc w:val="left"/>
                  </w:pPr>
                  <w:r>
                    <w:rPr>
                      <w:rFonts w:ascii="宋体" w:hAnsi="宋体" w:cs="宋体" w:eastAsia="宋体"/>
                      <w:sz w:val="20"/>
                    </w:rPr>
                    <w:t>必须保证所有历史数据及本服务期内新增数据的完整性和一致性，若存储空间需要扩容以满足数据备份存储，供应商应及时进行扩充，不得影响数据备份，省中心无需额外支付费用。</w:t>
                  </w:r>
                </w:p>
                <w:p>
                  <w:pPr>
                    <w:pStyle w:val="null3"/>
                    <w:jc w:val="left"/>
                  </w:pPr>
                  <w:r>
                    <w:rPr>
                      <w:rFonts w:ascii="宋体" w:hAnsi="宋体" w:cs="宋体" w:eastAsia="宋体"/>
                      <w:sz w:val="20"/>
                    </w:rPr>
                    <w:t>（</w:t>
                  </w:r>
                  <w:r>
                    <w:rPr>
                      <w:rFonts w:ascii="宋体" w:hAnsi="宋体" w:cs="宋体" w:eastAsia="宋体"/>
                      <w:sz w:val="20"/>
                    </w:rPr>
                    <w:t>2）备份软件要求</w:t>
                  </w:r>
                </w:p>
                <w:p>
                  <w:pPr>
                    <w:pStyle w:val="null3"/>
                    <w:jc w:val="left"/>
                  </w:pPr>
                  <w:r>
                    <w:rPr>
                      <w:rFonts w:ascii="宋体" w:hAnsi="宋体" w:cs="宋体" w:eastAsia="宋体"/>
                      <w:sz w:val="20"/>
                    </w:rPr>
                    <w:t>在有效保护原有已备份到异地机房的历史数据安全的同时，能从已建成的本地容灾平台中提取数据并对联网收费核心业务的新增数据库实例进行实时的异地数据备份、数据保护、数据恢复功能。要求不通过</w:t>
                  </w:r>
                  <w:r>
                    <w:rPr>
                      <w:rFonts w:ascii="宋体" w:hAnsi="宋体" w:cs="宋体" w:eastAsia="宋体"/>
                      <w:sz w:val="20"/>
                    </w:rPr>
                    <w:t>RMAN进行全库增量数据扫描，具备自动记录增量数据变化的功能，减少备份时对生产数据库的影响。具备Oracle数据库的非归档模式的在线热备功能。具备Oracle数据库全库、单表、表空间、文件、数据块、存储过程、对象、索引、函数的恢复。</w:t>
                  </w:r>
                </w:p>
                <w:p>
                  <w:pPr>
                    <w:pStyle w:val="null3"/>
                    <w:jc w:val="left"/>
                  </w:pPr>
                  <w:r>
                    <w:rPr>
                      <w:rFonts w:ascii="宋体" w:hAnsi="宋体" w:cs="宋体" w:eastAsia="宋体"/>
                      <w:sz w:val="20"/>
                    </w:rPr>
                    <w:t>2.线路及机房租赁服务</w:t>
                  </w:r>
                </w:p>
                <w:p>
                  <w:pPr>
                    <w:pStyle w:val="null3"/>
                    <w:jc w:val="left"/>
                  </w:pPr>
                  <w:r>
                    <w:rPr>
                      <w:rFonts w:ascii="宋体" w:hAnsi="宋体" w:cs="宋体" w:eastAsia="宋体"/>
                      <w:sz w:val="20"/>
                    </w:rPr>
                    <w:t>（</w:t>
                  </w:r>
                  <w:r>
                    <w:rPr>
                      <w:rFonts w:ascii="宋体" w:hAnsi="宋体" w:cs="宋体" w:eastAsia="宋体"/>
                      <w:sz w:val="20"/>
                    </w:rPr>
                    <w:t>1）</w:t>
                  </w:r>
                  <w:r>
                    <w:rPr>
                      <w:rFonts w:ascii="宋体" w:hAnsi="宋体" w:cs="宋体" w:eastAsia="宋体"/>
                      <w:sz w:val="20"/>
                    </w:rPr>
                    <w:t>机房</w:t>
                  </w:r>
                  <w:r>
                    <w:rPr>
                      <w:rFonts w:ascii="宋体" w:hAnsi="宋体" w:cs="宋体" w:eastAsia="宋体"/>
                      <w:sz w:val="20"/>
                    </w:rPr>
                    <w:t>备份要求</w:t>
                  </w:r>
                </w:p>
                <w:p>
                  <w:pPr>
                    <w:pStyle w:val="null3"/>
                    <w:jc w:val="left"/>
                  </w:pPr>
                  <w:r>
                    <w:rPr>
                      <w:rFonts w:ascii="宋体" w:hAnsi="宋体" w:cs="宋体" w:eastAsia="宋体"/>
                      <w:sz w:val="20"/>
                    </w:rPr>
                    <w:t>距离省中心大于</w:t>
                  </w:r>
                  <w:r>
                    <w:rPr>
                      <w:rFonts w:ascii="宋体" w:hAnsi="宋体" w:cs="宋体" w:eastAsia="宋体"/>
                      <w:sz w:val="20"/>
                    </w:rPr>
                    <w:t>200公里专业化运营商级别机房，提供不少于两路市电冗余输入，配置N+1冗余备份UPS系统，满足系统容量放电30分钟，具备发电机组，可支持机组满载运行大于24小时。</w:t>
                  </w:r>
                </w:p>
                <w:p>
                  <w:pPr>
                    <w:pStyle w:val="null3"/>
                    <w:jc w:val="left"/>
                  </w:pPr>
                  <w:r>
                    <w:rPr>
                      <w:rFonts w:ascii="宋体" w:hAnsi="宋体" w:cs="宋体" w:eastAsia="宋体"/>
                      <w:sz w:val="20"/>
                    </w:rPr>
                    <w:t>（</w:t>
                  </w:r>
                  <w:r>
                    <w:rPr>
                      <w:rFonts w:ascii="宋体" w:hAnsi="宋体" w:cs="宋体" w:eastAsia="宋体"/>
                      <w:sz w:val="20"/>
                    </w:rPr>
                    <w:t>2）</w:t>
                  </w:r>
                  <w:r>
                    <w:rPr>
                      <w:rFonts w:ascii="宋体" w:hAnsi="宋体" w:cs="宋体" w:eastAsia="宋体"/>
                      <w:sz w:val="20"/>
                    </w:rPr>
                    <w:t>线路</w:t>
                  </w:r>
                  <w:r>
                    <w:rPr>
                      <w:rFonts w:ascii="宋体" w:hAnsi="宋体" w:cs="宋体" w:eastAsia="宋体"/>
                      <w:sz w:val="20"/>
                    </w:rPr>
                    <w:t>传输要求</w:t>
                  </w:r>
                </w:p>
                <w:p>
                  <w:pPr>
                    <w:pStyle w:val="null3"/>
                    <w:jc w:val="left"/>
                  </w:pPr>
                  <w:r>
                    <w:rPr>
                      <w:rFonts w:ascii="宋体" w:hAnsi="宋体" w:cs="宋体" w:eastAsia="宋体"/>
                      <w:sz w:val="20"/>
                    </w:rPr>
                    <w:t>确保省中心机房和异地数据备份机房的数据</w:t>
                  </w:r>
                  <w:r>
                    <w:rPr>
                      <w:rFonts w:ascii="宋体" w:hAnsi="宋体" w:cs="宋体" w:eastAsia="宋体"/>
                      <w:sz w:val="20"/>
                    </w:rPr>
                    <w:t>100Mbps的MSTP专线一条。确保数据通过该链路高质量、实时传输至异地数据节点。</w:t>
                  </w:r>
                </w:p>
                <w:p>
                  <w:pPr>
                    <w:pStyle w:val="null3"/>
                    <w:jc w:val="left"/>
                  </w:pPr>
                  <w:r>
                    <w:rPr>
                      <w:rFonts w:ascii="宋体" w:hAnsi="宋体" w:cs="宋体" w:eastAsia="宋体"/>
                      <w:sz w:val="20"/>
                    </w:rPr>
                    <w:t>（</w:t>
                  </w:r>
                  <w:r>
                    <w:rPr>
                      <w:rFonts w:ascii="宋体" w:hAnsi="宋体" w:cs="宋体" w:eastAsia="宋体"/>
                      <w:sz w:val="20"/>
                    </w:rPr>
                    <w:t>3）接入设备</w:t>
                  </w:r>
                </w:p>
                <w:p>
                  <w:pPr>
                    <w:pStyle w:val="null3"/>
                    <w:jc w:val="left"/>
                  </w:pPr>
                  <w:r>
                    <w:rPr>
                      <w:rFonts w:ascii="宋体" w:hAnsi="宋体" w:cs="宋体" w:eastAsia="宋体"/>
                      <w:sz w:val="20"/>
                    </w:rPr>
                    <w:t>业务内所需的安装线缆、接入设备等由供应商免费提供，并保障服务期内免费维修或更换。</w:t>
                  </w:r>
                </w:p>
                <w:p>
                  <w:pPr>
                    <w:pStyle w:val="null3"/>
                    <w:jc w:val="left"/>
                  </w:pPr>
                  <w:r>
                    <w:rPr>
                      <w:rFonts w:ascii="宋体" w:hAnsi="宋体" w:cs="宋体" w:eastAsia="宋体"/>
                      <w:sz w:val="20"/>
                    </w:rPr>
                    <w:t>3.灾备演练服务</w:t>
                  </w:r>
                </w:p>
                <w:p>
                  <w:pPr>
                    <w:pStyle w:val="null3"/>
                    <w:jc w:val="left"/>
                  </w:pPr>
                  <w:r>
                    <w:rPr>
                      <w:rFonts w:ascii="宋体" w:hAnsi="宋体" w:cs="宋体" w:eastAsia="宋体"/>
                      <w:sz w:val="20"/>
                    </w:rPr>
                    <w:t>应设计省中心联网收费系统异地灾备应急响应与数据恢复预案，制定不同场景下的应急响应及数据恢复流程，制定数据恢复相关的操作手册。每年度提供不少于一次数据验证演练服务，能够定时完成省中心容灾平台数据与异地备份数据的一致性。演练结束后，对演练结果进行评估，并进一步修订数据恢复预案及相关方案。</w:t>
                  </w:r>
                </w:p>
                <w:p>
                  <w:pPr>
                    <w:pStyle w:val="null3"/>
                    <w:jc w:val="left"/>
                  </w:pPr>
                  <w:r>
                    <w:rPr>
                      <w:rFonts w:ascii="宋体" w:hAnsi="宋体" w:cs="宋体" w:eastAsia="宋体"/>
                      <w:sz w:val="20"/>
                    </w:rPr>
                    <w:t>4.运维保障服务</w:t>
                  </w:r>
                </w:p>
                <w:p>
                  <w:pPr>
                    <w:pStyle w:val="null3"/>
                    <w:jc w:val="left"/>
                  </w:pPr>
                  <w:r>
                    <w:rPr>
                      <w:rFonts w:ascii="宋体" w:hAnsi="宋体" w:cs="宋体" w:eastAsia="宋体"/>
                      <w:sz w:val="20"/>
                    </w:rPr>
                    <w:t>服务期内，按需完成灾备系统的安装、配置、调整、升级、迁移、维修等工作。排除软硬件系统故障，恢复系统运行，包括故障定位、软件安装修复、数据恢复、硬件更换、硬件扩容、故障排除等。</w:t>
                  </w:r>
                </w:p>
                <w:p>
                  <w:pPr>
                    <w:pStyle w:val="null3"/>
                    <w:jc w:val="left"/>
                  </w:pPr>
                  <w:r>
                    <w:rPr>
                      <w:rFonts w:ascii="宋体" w:hAnsi="宋体" w:cs="宋体" w:eastAsia="宋体"/>
                      <w:sz w:val="20"/>
                    </w:rPr>
                    <w:t>（</w:t>
                  </w:r>
                  <w:r>
                    <w:rPr>
                      <w:rFonts w:ascii="宋体" w:hAnsi="宋体" w:cs="宋体" w:eastAsia="宋体"/>
                      <w:sz w:val="20"/>
                    </w:rPr>
                    <w:t>1）异地节点定期巡检</w:t>
                  </w:r>
                </w:p>
                <w:p>
                  <w:pPr>
                    <w:pStyle w:val="null3"/>
                    <w:jc w:val="left"/>
                  </w:pPr>
                  <w:r>
                    <w:rPr>
                      <w:rFonts w:ascii="宋体" w:hAnsi="宋体" w:cs="宋体" w:eastAsia="宋体"/>
                      <w:sz w:val="20"/>
                    </w:rPr>
                    <w:t>每季度安排厂家工程师对异地节点提供至少一次定期巡检服务，内容包括数据备份状态分析、系统健康状态分析、系统日志分析、系统诊断、性能分析等，梳理系统运行隐患、优化系统配置，提供系统运行报告。同时提供异地节点现场技术支持响应服务，当异地节点软硬件系统发生故障时，工程师须第一时间（</w:t>
                  </w:r>
                  <w:r>
                    <w:rPr>
                      <w:rFonts w:ascii="宋体" w:hAnsi="宋体" w:cs="宋体" w:eastAsia="宋体"/>
                      <w:sz w:val="20"/>
                    </w:rPr>
                    <w:t>4小时内）赶赴现场处理故障，对系统故障进行定位、排查和解决。</w:t>
                  </w:r>
                </w:p>
                <w:p>
                  <w:pPr>
                    <w:pStyle w:val="null3"/>
                    <w:jc w:val="left"/>
                  </w:pPr>
                  <w:r>
                    <w:rPr>
                      <w:rFonts w:ascii="宋体" w:hAnsi="宋体" w:cs="宋体" w:eastAsia="宋体"/>
                      <w:sz w:val="20"/>
                    </w:rPr>
                    <w:t>（</w:t>
                  </w:r>
                  <w:r>
                    <w:rPr>
                      <w:rFonts w:ascii="宋体" w:hAnsi="宋体" w:cs="宋体" w:eastAsia="宋体"/>
                      <w:sz w:val="20"/>
                    </w:rPr>
                    <w:t>2）运行监测</w:t>
                  </w:r>
                </w:p>
                <w:p>
                  <w:pPr>
                    <w:pStyle w:val="null3"/>
                    <w:jc w:val="left"/>
                  </w:pPr>
                  <w:r>
                    <w:rPr>
                      <w:rFonts w:ascii="宋体" w:hAnsi="宋体" w:cs="宋体" w:eastAsia="宋体"/>
                      <w:sz w:val="20"/>
                    </w:rPr>
                    <w:t>在服务期内，每日需对异地备份系统软硬件备份状态进行监测，检查系统运行状况、报警信息等，对系统出现的异常现象及时联系厂家处理。每周</w:t>
                  </w:r>
                  <w:r>
                    <w:rPr>
                      <w:rFonts w:ascii="宋体" w:hAnsi="宋体" w:cs="宋体" w:eastAsia="宋体"/>
                      <w:sz w:val="20"/>
                    </w:rPr>
                    <w:t>1次需从异地备份系统随机抽取若干张表或日志文件进行数据恢复，将异地恢复的数据与容灾库的数据进行对比验证，以确保机房容灾库的数据完整备份至异地。服务期每季度末，应提供系统运行报告。供应商应定期监测备份空间使用情况，当剩余存储空间小于10TB 时，应及时向采购人报告情况，制定磁盘扩容方案，于发现问题的5个工作日内完成磁盘扩容，不得影响数据备份，采购人无需额外支付费用。</w:t>
                  </w:r>
                </w:p>
                <w:p>
                  <w:pPr>
                    <w:pStyle w:val="null3"/>
                    <w:jc w:val="left"/>
                  </w:pPr>
                  <w:r>
                    <w:rPr>
                      <w:rFonts w:ascii="宋体" w:hAnsi="宋体" w:cs="宋体" w:eastAsia="宋体"/>
                      <w:sz w:val="20"/>
                    </w:rPr>
                    <w:t>5.服务报告要求</w:t>
                  </w:r>
                </w:p>
                <w:p>
                  <w:pPr>
                    <w:pStyle w:val="null3"/>
                    <w:jc w:val="left"/>
                  </w:pPr>
                  <w:r>
                    <w:rPr>
                      <w:rFonts w:ascii="宋体" w:hAnsi="宋体" w:cs="宋体" w:eastAsia="宋体"/>
                      <w:sz w:val="20"/>
                    </w:rPr>
                    <w:t>本服务项目的交付物包含但不限于以下内容：</w:t>
                  </w:r>
                </w:p>
                <w:p>
                  <w:pPr>
                    <w:pStyle w:val="null3"/>
                    <w:jc w:val="left"/>
                  </w:pPr>
                  <w:r>
                    <w:rPr>
                      <w:rFonts w:ascii="宋体" w:hAnsi="宋体" w:cs="宋体" w:eastAsia="宋体"/>
                      <w:sz w:val="20"/>
                    </w:rPr>
                    <w:t>《日监测报告》</w:t>
                  </w:r>
                </w:p>
                <w:p>
                  <w:pPr>
                    <w:pStyle w:val="null3"/>
                    <w:jc w:val="left"/>
                  </w:pPr>
                  <w:r>
                    <w:rPr>
                      <w:rFonts w:ascii="宋体" w:hAnsi="宋体" w:cs="宋体" w:eastAsia="宋体"/>
                      <w:sz w:val="20"/>
                    </w:rPr>
                    <w:t>《周巡检报告》</w:t>
                  </w:r>
                </w:p>
                <w:p>
                  <w:pPr>
                    <w:pStyle w:val="null3"/>
                    <w:jc w:val="left"/>
                  </w:pPr>
                  <w:r>
                    <w:rPr>
                      <w:rFonts w:ascii="宋体" w:hAnsi="宋体" w:cs="宋体" w:eastAsia="宋体"/>
                      <w:sz w:val="20"/>
                    </w:rPr>
                    <w:t>《周数据恢复验证报告》</w:t>
                  </w:r>
                </w:p>
                <w:p>
                  <w:pPr>
                    <w:pStyle w:val="null3"/>
                    <w:jc w:val="left"/>
                  </w:pPr>
                  <w:r>
                    <w:rPr>
                      <w:rFonts w:ascii="宋体" w:hAnsi="宋体" w:cs="宋体" w:eastAsia="宋体"/>
                      <w:sz w:val="20"/>
                    </w:rPr>
                    <w:t>《季度系统运行报告》</w:t>
                  </w:r>
                </w:p>
                <w:p>
                  <w:pPr>
                    <w:pStyle w:val="null3"/>
                    <w:jc w:val="left"/>
                  </w:pPr>
                  <w:r>
                    <w:rPr>
                      <w:rFonts w:ascii="宋体" w:hAnsi="宋体" w:cs="宋体" w:eastAsia="宋体"/>
                      <w:sz w:val="20"/>
                    </w:rPr>
                    <w:t>《数据演练预案及报告》</w:t>
                  </w:r>
                </w:p>
                <w:p>
                  <w:pPr>
                    <w:pStyle w:val="null3"/>
                    <w:jc w:val="left"/>
                  </w:pPr>
                  <w:r>
                    <w:rPr>
                      <w:rFonts w:ascii="宋体" w:hAnsi="宋体" w:cs="宋体" w:eastAsia="宋体"/>
                      <w:sz w:val="20"/>
                    </w:rPr>
                    <w:t>《年度报告》</w:t>
                  </w:r>
                </w:p>
                <w:p>
                  <w:pPr>
                    <w:pStyle w:val="null3"/>
                    <w:jc w:val="left"/>
                  </w:pPr>
                  <w:r>
                    <w:rPr>
                      <w:rFonts w:ascii="宋体" w:hAnsi="宋体" w:cs="宋体" w:eastAsia="宋体"/>
                      <w:sz w:val="20"/>
                    </w:rPr>
                    <w:t>其他需要的报告或者材料。</w:t>
                  </w:r>
                </w:p>
              </w:tc>
            </w:tr>
          </w:tbl>
          <w:p/>
        </w:tc>
      </w:tr>
    </w:tbl>
    <w:p>
      <w:pPr>
        <w:pStyle w:val="null3"/>
        <w:outlineLvl w:val="2"/>
      </w:pPr>
      <w:r>
        <w:rPr>
          <w:sz w:val="28"/>
          <w:b/>
        </w:rPr>
        <w:t>3.2.3人员配置要求</w:t>
      </w:r>
    </w:p>
    <w:p>
      <w:pPr>
        <w:pStyle w:val="null3"/>
      </w:pPr>
      <w:r>
        <w:rPr/>
        <w:t>采购包1：</w:t>
      </w:r>
    </w:p>
    <w:p>
      <w:pPr>
        <w:pStyle w:val="null3"/>
      </w:pPr>
      <w:r>
        <w:rPr/>
        <w:t>在服务过程中，对于乙方向陕西省高速公路收费中心提供服务过程中所指派具体承担服务的人员，应向陕西省高速公路收费中心提供人员名单、简历、学历等相应证明文件，并保证所提供信息的准确性和有效性。陕西省高速公路收费中心有权对派入人员的资格和相关信息进行审核。为确保陕西省高速公路收费中心服务工作的顺利开展，乙方应对服务人员及现场驻场人员素质整体把关，应满足以下条件： 1.指定一名项目经理，负责项目的整体统筹管理、资源协调、服务质量总体把关，同时应具有预见和应对项目风险的能力。 2.项目组成员（不包括项目经理）至少五人。需指派至少两名专业驻场服务人员,提供7×8小时值守服务。重要节假日、重大活动（国家、公安、省厅、部中心等护网行动）护网，安排不少于3人的现场网络安全保障，提供7×24小时值守服务，驻场期间产生的一切费用由乙方提供。 3.为保证项目的连续性，在项目服务周期内不得随意更换服务人员。</w:t>
      </w:r>
    </w:p>
    <w:p>
      <w:pPr>
        <w:pStyle w:val="null3"/>
        <w:outlineLvl w:val="2"/>
      </w:pPr>
      <w:r>
        <w:rPr>
          <w:sz w:val="28"/>
          <w:b/>
        </w:rPr>
        <w:t>3.2.4设施设备要求</w:t>
      </w:r>
    </w:p>
    <w:p>
      <w:pPr>
        <w:pStyle w:val="null3"/>
      </w:pPr>
      <w:r>
        <w:rPr/>
        <w:t>采购包1：</w:t>
      </w:r>
    </w:p>
    <w:p>
      <w:pPr>
        <w:pStyle w:val="null3"/>
      </w:pPr>
      <w:r>
        <w:rPr/>
        <w:t>详见“技术参数与性能指标”。</w:t>
      </w:r>
    </w:p>
    <w:p>
      <w:pPr>
        <w:pStyle w:val="null3"/>
        <w:outlineLvl w:val="2"/>
      </w:pPr>
      <w:r>
        <w:rPr>
          <w:sz w:val="28"/>
          <w:b/>
        </w:rPr>
        <w:t>3.2.5其他要求</w:t>
      </w:r>
    </w:p>
    <w:p>
      <w:pPr>
        <w:pStyle w:val="null3"/>
      </w:pPr>
      <w:r>
        <w:rPr/>
        <w:t>采购包1：</w:t>
      </w:r>
    </w:p>
    <w:p>
      <w:pPr>
        <w:pStyle w:val="null3"/>
      </w:pPr>
      <w:r>
        <w:rPr/>
        <w:t>1.分项价格要求 该项目预算为216.00万元，由重要信息系统网络安全运维（预算：52.50万元）、安全设备特征库升级服务（预算：123.5万元）、高速公路联网收费系统数据异地备份服务（预算：40.00万元）三部分内容组成。 磋商总报价限价：￥2,160,000.00元 单项限价： （1）重要信息系统网络安全运维服务最高限价：525,000.00元 （2）安全设备特征库升级服务最高限价：1,235,000.00元 （3）高速公路联网收费系统数据异地备份服务最高限价：400，000.00元 供应商磋商总报价不得超过磋商总报价限价，单项报价不得超过单项限价，凡报价超过限价的将按不实质性响应采购文件处理。 2.资产要求 供应商应梳理所服务的设备（系统）资产台账、网络拓扑、数据存储备份等系统所有资产和设备及软件配置信息，并在服务时间到期前1个月内提交纸质资料。 3.技术支持服务 （1）供应商应具备完善的技术支持服务体系，并承诺提供 7*24 小时的电话支持服务、故障处理服务等。 （2）安全设备特征库升级服务要求原厂技术人员对特征库进行升级，服务期内确保特征库升级至最新版本。 4.网络安全要求 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 5.保密要求 项目实施过程中所收集、产生的所有与本项目相关的文档、资料，包括文字、图片、表格、数字等各种形式所属权均归属省中心，供应商必须对所涉及到的内容保密，供应商及服务人员应按照要求签署保密协议。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（1）重要信息系统网络安全运维服务时间：2024年9月9日至2025年6月8日。 （2）安全设备特征库升级服务服务时间：自合同签订之日且具备现场实施条件后，30个工作日内完成安全设备特征库1年授权升级，同时，提供1年定期授权服务，并能确保特征库更新至最新版本。 （3）高速公路联网收费系统数据异地备份服务时间：2024年8月20日至2025年6月19日。</w:t>
      </w:r>
    </w:p>
    <w:p>
      <w:pPr>
        <w:pStyle w:val="null3"/>
        <w:outlineLvl w:val="3"/>
      </w:pPr>
      <w:r>
        <w:rPr>
          <w:sz w:val="24"/>
          <w:b/>
        </w:rPr>
        <w:t>3.3.2服务地点</w:t>
      </w:r>
    </w:p>
    <w:p>
      <w:pPr>
        <w:pStyle w:val="null3"/>
      </w:pPr>
      <w:r>
        <w:rPr/>
        <w:t>采购包1：</w:t>
      </w:r>
    </w:p>
    <w:p>
      <w:pPr>
        <w:pStyle w:val="null3"/>
      </w:pPr>
      <w:r>
        <w:rPr/>
        <w:t>（1）重要信息系统网络安全运维服务地点：陕西省高速公路收费中心。 （2）安全设备特征库升级服务服务地点：陕西省高速公路收费中心。 （3）高速公路联网收费系统数据异地备份服务地点：陕西省高速公路收费中心及数据异地备份机房。</w:t>
      </w:r>
    </w:p>
    <w:p>
      <w:pPr>
        <w:pStyle w:val="null3"/>
        <w:outlineLvl w:val="3"/>
      </w:pPr>
      <w:r>
        <w:rPr>
          <w:sz w:val="24"/>
          <w:b/>
        </w:rPr>
        <w:t>3.3.3考核（验收）标准和方法</w:t>
      </w:r>
    </w:p>
    <w:p>
      <w:pPr>
        <w:pStyle w:val="null3"/>
      </w:pPr>
      <w:r>
        <w:rPr/>
        <w:t>采购包1：</w:t>
      </w:r>
    </w:p>
    <w:p>
      <w:pPr>
        <w:pStyle w:val="null3"/>
      </w:pPr>
      <w:r>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27.84</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1.50</w:t>
      </w:r>
      <w:r>
        <w:rPr/>
        <w:t>%。</w:t>
      </w:r>
    </w:p>
    <w:p>
      <w:pPr>
        <w:pStyle w:val="null3"/>
      </w:pPr>
      <w:r>
        <w:rPr/>
        <w:t>采购包1：</w:t>
      </w:r>
      <w:r>
        <w:rPr/>
        <w:t xml:space="preserve"> 付款条件说明： </w:t>
      </w:r>
      <w:r>
        <w:rPr/>
        <w:t>（一）重要信息系统网络安全运维服务和高速公路联网收费系统数据异地备份服务在合同签订并生效后15个工作日内支付总价款的65%；剩余总价款的35%，在每月提交相应维护报告后15个工作日内支付当月服务费；最后1个月的服务费，在服务期满并验收合格后15个工作日内进行支付</w:t>
      </w:r>
      <w:r>
        <w:rPr/>
        <w:t xml:space="preserve"> ，达到付款条件起 </w:t>
      </w:r>
      <w:r>
        <w:rPr/>
        <w:t>15</w:t>
      </w:r>
      <w:r>
        <w:rPr/>
        <w:t xml:space="preserve"> 日内，支付合同总金额的 </w:t>
      </w:r>
      <w:r>
        <w:rPr/>
        <w:t>1.49</w:t>
      </w:r>
      <w:r>
        <w:rPr/>
        <w:t>%。</w:t>
      </w:r>
    </w:p>
    <w:p>
      <w:pPr>
        <w:pStyle w:val="null3"/>
      </w:pPr>
      <w:r>
        <w:rPr/>
        <w:t>采购包1：</w:t>
      </w:r>
      <w:r>
        <w:rPr/>
        <w:t xml:space="preserve"> 付款条件说明： </w:t>
      </w:r>
      <w:r>
        <w:rPr/>
        <w:t>（二）安全设备特征库升级服务。自合同签订之日起，供应商完成安全设备特征库1年授权许可，且特征库能够正常完成更新，提供1年授权升级报告后，15个工作日内支付总服务费的70%；服务期满并验收合格后15个工作日内支付总服务费的30%</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二）安全设备特征库升级服务。自合同签订之日起，供应商完成安全设备特征库1年授权许可，且特征库能够正常完成更新，提供1年授权升级报告后，15个工作日内支付总服务费的70%；服务期满并验收合格后15个工作日内支付总服务费的30%</w:t>
      </w:r>
      <w:r>
        <w:rPr/>
        <w:t xml:space="preserve"> ，达到付款条件起 </w:t>
      </w:r>
      <w:r>
        <w:rPr/>
        <w:t>15</w:t>
      </w:r>
      <w:r>
        <w:rPr/>
        <w:t xml:space="preserve"> 日内，支付合同总金额的 </w:t>
      </w:r>
      <w:r>
        <w:rPr/>
        <w:t>17.17</w:t>
      </w:r>
      <w:r>
        <w:rPr/>
        <w:t>%。</w:t>
      </w:r>
    </w:p>
    <w:p>
      <w:pPr>
        <w:pStyle w:val="null3"/>
        <w:outlineLvl w:val="3"/>
      </w:pPr>
      <w:r>
        <w:rPr>
          <w:sz w:val="24"/>
          <w:b/>
        </w:rPr>
        <w:t>3.3.6违约责任及解决争议的方法</w:t>
      </w:r>
    </w:p>
    <w:p>
      <w:pPr>
        <w:pStyle w:val="null3"/>
      </w:pPr>
      <w:r>
        <w:rPr/>
        <w:t>采购包1：</w:t>
      </w:r>
    </w:p>
    <w:p>
      <w:pPr>
        <w:pStyle w:val="null3"/>
      </w:pPr>
      <w:r>
        <w:rPr/>
        <w:t>因供应商原因，服务期间造成所服务资产实际影响的，按以下条款处理： （1）彻底清理系统隐患。全面排查清理系统网络安全隐患，确保中高危隐患彻底清零。 （2）全面摸清现网资产。全面摸清系统资产，形成资产台账，定期维护更新资产，确保资产信息准确。 （3）彻底消除口令问题。定期开展口令隐患排查，严格系统密码存储管理，确保口令问题彻底消除。 （4）及时升级安装补丁。定期开展漏洞扫描、渗透测试等工作，及时升级系统存在漏洞的软件，安装最新补丁和杀毒软件，确保系统软件升至最新版本。 （5）强化系统监测能力。充分利用现有监测平台或借助第三方监测手段做好设备（软件）状态监测，及时感知并处置异常网络安全行为，确保系统安全运行。 （6）加强系统安全防护。选用技术能力强、安全业务精湛、经验丰富、责任心强的人员做好系统安全防护，采取切实有效的措施，能够及时发现系统异常攻击行为，做好系统安全防守。 （7）做好日常管理工作。完善运维机制，规范运维程序，形成运维记录，做好设备日常巡检、加强意识技能培训、开展安全专项服务、备份系统数据配置、做好监测预警处置等日常网络安全工作。 若因上述（1）至（7）条款落实不到位，造成部、省、公安等有关部门通报时，发现并通报1次，扣除服务费5000元；造成网络安全事件时，将按照国家，部、省、中心网络安全相关规定，根据造成的实际损失、影响，上报有关部门，同时进行责任追究。</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供应商不得在“信用中国” 网站被列入失信被执行人名单、重大税收违法案件当事人名单和不得在“中国政府采购网”被列入政府采购严重违法失信行为记录名单。</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提供递交响应文件截止日期前十二个月（递交响应文件截止时间当月不计入）内已缴存的至少一个月的纳税证明或完税证明，依法免税的单位应提供相关证明材料。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提交履行合同所必需的设备和专业技术能力的书面声明。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本项目不接受联合体响应</w:t>
            </w:r>
          </w:p>
        </w:tc>
        <w:tc>
          <w:tcPr>
            <w:tcW w:type="dxa" w:w="3322"/>
          </w:tcPr>
          <w:p>
            <w:pPr>
              <w:pStyle w:val="null3"/>
            </w:pPr>
            <w:r>
              <w:rPr/>
              <w:t>非联合体投标承诺书。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未超过项目最高限价，无选择性报价</w:t>
            </w:r>
          </w:p>
        </w:tc>
        <w:tc>
          <w:tcPr>
            <w:tcW w:type="dxa" w:w="1661"/>
          </w:tcPr>
          <w:p>
            <w:pPr>
              <w:pStyle w:val="null3"/>
            </w:pPr>
            <w:r>
              <w:rPr/>
              <w:t>报价明细表 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自磋商响应文件递交截止之日起90个日历日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磋商响应文件签署、盖章有效性</w:t>
            </w:r>
          </w:p>
        </w:tc>
        <w:tc>
          <w:tcPr>
            <w:tcW w:type="dxa" w:w="3322"/>
          </w:tcPr>
          <w:p>
            <w:pPr>
              <w:pStyle w:val="null3"/>
            </w:pPr>
            <w:r>
              <w:rPr/>
              <w:t>磋商响应文件的签署、盖章符合竞争性磋商文件要求</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商务响应偏离表 标的清单 报价表</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要求实质性条款完全响应，不能有采购人不能接受的附加条件</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磋商保证金缴纳凭证</w:t>
            </w:r>
          </w:p>
        </w:tc>
        <w:tc>
          <w:tcPr>
            <w:tcW w:type="dxa" w:w="1661"/>
          </w:tcPr>
          <w:p>
            <w:pPr>
              <w:pStyle w:val="null3"/>
            </w:pPr>
            <w:r>
              <w:rPr/>
              <w:t>投标保证金汇款凭证及基本账户信息</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不存在法律、法规和磋商文件规定的其他无效情况</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根据供应商针对本项目具体内容、软硬件资源、运行情况和系统环境的理解掌握程度，能否保证中心重要信息系统网络安全日常维护管理的正常开展响应情况进行打分。需求分析全面、透彻得(7-10]分；相对全面、合理得(4-7]分；一般全面、合理，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整体服务方案</w:t>
            </w:r>
          </w:p>
        </w:tc>
        <w:tc>
          <w:tcPr>
            <w:tcW w:type="dxa" w:w="2492"/>
          </w:tcPr>
          <w:p>
            <w:pPr>
              <w:pStyle w:val="null3"/>
            </w:pPr>
            <w:r>
              <w:rPr/>
              <w:t>供应商需提供科学、完整、合理、规范的服务方案，包括项目总体服务方案设计、标准依据。方案内容完整，分析全面。总体服务方案设计科学合理、描述条理清晰，可行性、安全性强，完全满足采购需求得(10-15]分；方案内容较完整，分析较全面，可行性较强，满足采购需求得(5-10]分；方案内容一般，可行性一般，基本满足采购需求得(0-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人员配置方案</w:t>
            </w:r>
          </w:p>
        </w:tc>
        <w:tc>
          <w:tcPr>
            <w:tcW w:type="dxa" w:w="2492"/>
          </w:tcPr>
          <w:p>
            <w:pPr>
              <w:pStyle w:val="null3"/>
            </w:pPr>
            <w:r>
              <w:rPr/>
              <w:t>供应商应提供详细、完善的项目管理方案，有详细的人员配置方案、健全的组织机构及工作安排，岗位分工明确，专业性强，同类项目经验丰富，得(7-10]分；有详细的人员配置方案、组织机构及工作安排基本完善、合理，岗位分工明确，具有较丰富的同类项目经验，得(4-7]分；有详细的人员配置方案，组织机构及工作安排合理性一般，岗位分工不清晰，缺少同类项目经验，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人员简历表</w:t>
            </w:r>
          </w:p>
          <w:p>
            <w:pPr>
              <w:pStyle w:val="null3"/>
            </w:pPr>
            <w:r>
              <w:rPr/>
              <w:t>供应商认为需要提供的其他资料</w:t>
            </w:r>
          </w:p>
        </w:tc>
      </w:tr>
      <w:tr>
        <w:tc>
          <w:tcPr>
            <w:tcW w:type="dxa" w:w="831"/>
            <w:vMerge/>
          </w:tcPr>
          <w:p/>
        </w:tc>
        <w:tc>
          <w:tcPr>
            <w:tcW w:type="dxa" w:w="1661"/>
          </w:tcPr>
          <w:p>
            <w:pPr>
              <w:pStyle w:val="null3"/>
            </w:pPr>
            <w:r>
              <w:rPr/>
              <w:t>技术能力</w:t>
            </w:r>
          </w:p>
        </w:tc>
        <w:tc>
          <w:tcPr>
            <w:tcW w:type="dxa" w:w="2492"/>
          </w:tcPr>
          <w:p>
            <w:pPr>
              <w:pStyle w:val="null3"/>
            </w:pPr>
            <w:r>
              <w:rPr/>
              <w:t>①信息安全管理体系认证证书(ISO/IEC27001)；②ITSS信息技术服务运行维护标准符合性证书；③信息安全服务资质认证证书-信息安全风险评估服务资质认证；④信息安全服务资质认证证书-信息安全应急处理服务资质；⑤信息安全服务资质认证证书--信息系统灾难备份与恢复类；⑥信息安全服务资质认证证书-信息系统安全运维资质；⑦信息安全服务资质认证证书-信息系统安全集成资质。以上资质提供其中任意三项证书，得6分，提供不足三项得0分,此外每多提供一项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质量保证措施内容总体思路清晰合理、可行性强得（7—10]分；质量保证措施总体思路较清晰合理，可行性较强得（4—7]分；质量保证措施总体思路基本清晰合理，可行性一般得（0-4]分；未提供得0分。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应急预案</w:t>
            </w:r>
          </w:p>
        </w:tc>
        <w:tc>
          <w:tcPr>
            <w:tcW w:type="dxa" w:w="2492"/>
          </w:tcPr>
          <w:p>
            <w:pPr>
              <w:pStyle w:val="null3"/>
            </w:pPr>
            <w:r>
              <w:rPr/>
              <w:t>针对本项目提供有效、可行的业务连续性（应急方案）方案，应急预案内容完善、合理可行、针对性强的得（7—10]分；应急预案内容较完善、较合理可行、针对性较强的得（4—7]分；应急预案内容基本完善、合理、针对性一般的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售后服务</w:t>
            </w:r>
          </w:p>
        </w:tc>
        <w:tc>
          <w:tcPr>
            <w:tcW w:type="dxa" w:w="2492"/>
          </w:tcPr>
          <w:p>
            <w:pPr>
              <w:pStyle w:val="null3"/>
            </w:pPr>
            <w:r>
              <w:rPr/>
              <w:t>针对本项目及采购人实际需求提供详细具体可行的售后服务措施承诺进行赋分。售后服务方案全面、合理，得（7—10]分；售后服务方案相对全面、合理，得（4—7]分；售后服务方案一般全面、合理，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供应商须提供2021年至今三个类似项目业绩证明（不满足得0分，满足得2分），此外每增加1个有效业绩证明得1分，最高得5分。（满分5分）提供加盖公章的合同、协议书复印件。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1、满足磋商文件要求且最终报价最低的供应商的价格为磋商基准价，其价格分为满分20分。 2、磋商报价得分=（磋商基准价/最终磋商报价） ×20（因落实政府采购政策进行价格调整的，以调整后的价格计算磋商基准价和磋商报价得分，详见磋商文件政府采购政策评分标准）。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详见附件：投标保证金汇款凭证及基本账户信息</w:t>
      </w:r>
    </w:p>
    <w:p>
      <w:pPr>
        <w:pStyle w:val="null3"/>
        <w:ind w:firstLine="960"/>
      </w:pPr>
      <w:r>
        <w:rPr/>
        <w:t>详见附件：报价表</w:t>
      </w:r>
    </w:p>
    <w:p>
      <w:pPr>
        <w:pStyle w:val="null3"/>
        <w:ind w:firstLine="960"/>
      </w:pPr>
      <w:r>
        <w:rPr/>
        <w:t>详见附件：标的清单</w:t>
      </w:r>
    </w:p>
    <w:p>
      <w:pPr>
        <w:pStyle w:val="null3"/>
        <w:ind w:firstLine="960"/>
      </w:pPr>
      <w:r>
        <w:rPr/>
        <w:t>详见附件：报价明细表</w:t>
      </w:r>
    </w:p>
    <w:p>
      <w:pPr>
        <w:pStyle w:val="null3"/>
        <w:ind w:firstLine="960"/>
      </w:pPr>
      <w:r>
        <w:rPr/>
        <w:t>详见附件：商务响应偏离表</w:t>
      </w:r>
    </w:p>
    <w:p>
      <w:pPr>
        <w:pStyle w:val="null3"/>
        <w:ind w:firstLine="960"/>
      </w:pPr>
      <w:r>
        <w:rPr/>
        <w:t>详见附件：服务方案</w:t>
      </w:r>
    </w:p>
    <w:p>
      <w:pPr>
        <w:pStyle w:val="null3"/>
        <w:ind w:firstLine="960"/>
      </w:pPr>
      <w:r>
        <w:rPr/>
        <w:t>详见附件：人员简历表</w:t>
      </w:r>
    </w:p>
    <w:p>
      <w:pPr>
        <w:pStyle w:val="null3"/>
        <w:ind w:firstLine="960"/>
      </w:pPr>
      <w:r>
        <w:rPr/>
        <w:t>详见附件：类似项目业绩</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详见附件：《中心重要信息系统网络安全运维》合同参考格式及主要条款.docx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