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绿色低碳能源综合实验（实训）中心项目全过程造价咨询服务</w:t>
      </w:r>
    </w:p>
    <w:p>
      <w:pPr>
        <w:pStyle w:val="null3"/>
        <w:jc w:val="center"/>
        <w:outlineLvl w:val="2"/>
      </w:pPr>
      <w:r>
        <w:rPr>
          <w:sz w:val="28"/>
          <w:b/>
        </w:rPr>
        <w:t>采购项目编号：</w:t>
      </w:r>
      <w:r>
        <w:rPr>
          <w:sz w:val="28"/>
          <w:b/>
        </w:rPr>
        <w:t>【KRDL】K3-2406052</w:t>
      </w:r>
      <w:r>
        <w:br/>
      </w:r>
      <w:r>
        <w:br/>
      </w:r>
      <w:r>
        <w:br/>
      </w:r>
    </w:p>
    <w:p>
      <w:pPr>
        <w:pStyle w:val="null3"/>
        <w:jc w:val="center"/>
        <w:outlineLvl w:val="2"/>
      </w:pPr>
      <w:r>
        <w:rPr>
          <w:sz w:val="28"/>
          <w:b/>
        </w:rPr>
        <w:t>西安石油大学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2024年06月24日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西安石油大学</w:t>
      </w:r>
      <w:r>
        <w:rPr/>
        <w:t>委托，拟对</w:t>
      </w:r>
      <w:r>
        <w:rPr/>
        <w:t>绿色低碳能源综合实验（实训）中心项目全过程造价咨询服务</w:t>
      </w:r>
      <w:r>
        <w:rPr/>
        <w:t>采用竞争性磋商采购方式进行采购，兹邀请供应商参加本项目的竞争性磋商。</w:t>
      </w:r>
    </w:p>
    <w:p>
      <w:pPr>
        <w:pStyle w:val="null3"/>
        <w:outlineLvl w:val="2"/>
      </w:pPr>
      <w:r>
        <w:rPr>
          <w:sz w:val="28"/>
          <w:b/>
        </w:rPr>
        <w:t>一、项目编号：</w:t>
      </w:r>
      <w:r>
        <w:rPr>
          <w:sz w:val="28"/>
          <w:b/>
        </w:rPr>
        <w:t>【KRDL】K3-2406052</w:t>
      </w:r>
    </w:p>
    <w:p>
      <w:pPr>
        <w:pStyle w:val="null3"/>
        <w:outlineLvl w:val="2"/>
      </w:pPr>
      <w:r>
        <w:rPr>
          <w:sz w:val="28"/>
          <w:b/>
        </w:rPr>
        <w:t>二、项目名称：</w:t>
      </w:r>
      <w:r>
        <w:rPr>
          <w:sz w:val="28"/>
          <w:b/>
        </w:rPr>
        <w:t>绿色低碳能源综合实验（实训）中心项目全过程造价咨询服务</w:t>
      </w:r>
    </w:p>
    <w:p>
      <w:pPr>
        <w:pStyle w:val="null3"/>
        <w:outlineLvl w:val="2"/>
      </w:pPr>
      <w:r>
        <w:rPr>
          <w:sz w:val="28"/>
          <w:b/>
        </w:rPr>
        <w:t>三、磋商项目简介</w:t>
      </w:r>
    </w:p>
    <w:p>
      <w:pPr>
        <w:pStyle w:val="null3"/>
        <w:ind w:firstLine="480"/>
      </w:pPr>
      <w:r>
        <w:rPr/>
        <w:t>西安石油大学绿色低碳能源综合实验（实训）中心位于西安石油大学鄠邑校区，项目总投资约1.57亿元，建设总面积22446.62㎡，其中地上20108.57㎡，地下建筑面积2338.05㎡。本次招标为西安石油大学绿色低碳能源综合实验（实训）中心项目实施阶段全过程跟踪审计相关的造价咨询服务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采购包1（西安石油大学绿色低碳能源综合实验（实训）中心项目全过程造价咨询服务项目）：属于专门面向中小企业采购。</w:t>
      </w:r>
    </w:p>
    <w:p>
      <w:pPr>
        <w:pStyle w:val="null3"/>
        <w:ind w:firstLine="480"/>
      </w:pPr>
      <w:r>
        <w:rPr/>
        <w:t>（三）本项目的特定资格要求：</w:t>
      </w:r>
    </w:p>
    <w:p>
      <w:pPr>
        <w:pStyle w:val="null3"/>
      </w:pPr>
      <w:r>
        <w:rPr/>
        <w:t>采购包1：</w:t>
      </w:r>
    </w:p>
    <w:p>
      <w:pPr>
        <w:pStyle w:val="null3"/>
      </w:pPr>
      <w:r>
        <w:rPr/>
        <w:t>1、营业执照：供应商为向采购人提供相应服务的法人或其他组织；</w:t>
      </w:r>
    </w:p>
    <w:p>
      <w:pPr>
        <w:pStyle w:val="null3"/>
      </w:pPr>
      <w:r>
        <w:rPr/>
        <w:t>2、拟派项目负责人资质要求：拟派项目负责人须具备一级注册造价工程师（土建专业）资格，且在本单位注册并缴纳社保；</w:t>
      </w:r>
    </w:p>
    <w:p>
      <w:pPr>
        <w:pStyle w:val="null3"/>
      </w:pPr>
      <w:r>
        <w:rPr/>
        <w:t>3、信用资格要求：截止至竞争性磋商响应文件递交截止时间之前，供应商未在“信用中国”网站中被列入“信用服务”查询栏目中严重失信主体名单以及重点领域严重失信主体名单；供应商未被国家企业信用信息公示系统被列为严重违法失信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 xml:space="preserve"> 710054</w:t>
      </w:r>
    </w:p>
    <w:p>
      <w:pPr>
        <w:pStyle w:val="null3"/>
      </w:pPr>
      <w:r>
        <w:rPr/>
        <w:t xml:space="preserve"> 联系人： </w:t>
      </w:r>
      <w:r>
        <w:rPr/>
        <w:t>西安石油大学经办</w:t>
      </w:r>
    </w:p>
    <w:p>
      <w:pPr>
        <w:pStyle w:val="null3"/>
      </w:pPr>
      <w:r>
        <w:rPr/>
        <w:t xml:space="preserve"> 联系电话： </w:t>
      </w:r>
      <w:r>
        <w:rPr/>
        <w:t>029-88382832</w:t>
      </w:r>
    </w:p>
    <w:p>
      <w:pPr>
        <w:pStyle w:val="null3"/>
        <w:outlineLvl w:val="3"/>
      </w:pPr>
      <w:r>
        <w:rPr>
          <w:sz w:val="24"/>
          <w:b/>
        </w:rPr>
        <w:t>代理机构：</w:t>
      </w:r>
      <w:r>
        <w:rPr>
          <w:sz w:val="24"/>
          <w:b/>
        </w:rPr>
        <w:t>开瑞项目管理有限公司</w:t>
      </w:r>
    </w:p>
    <w:p>
      <w:pPr>
        <w:pStyle w:val="null3"/>
      </w:pPr>
      <w:r>
        <w:rPr/>
        <w:t xml:space="preserve"> 地址： </w:t>
      </w:r>
      <w:r>
        <w:rPr/>
        <w:t xml:space="preserve"> 陕西省西安市莲湖区高新二路1号招商银行大厦19层</w:t>
      </w:r>
    </w:p>
    <w:p>
      <w:pPr>
        <w:pStyle w:val="null3"/>
      </w:pPr>
      <w:r>
        <w:rPr/>
        <w:t xml:space="preserve"> 邮编： </w:t>
      </w:r>
      <w:r>
        <w:rPr/>
        <w:t xml:space="preserve"> 710000</w:t>
      </w:r>
    </w:p>
    <w:p>
      <w:pPr>
        <w:pStyle w:val="null3"/>
      </w:pPr>
      <w:r>
        <w:rPr/>
        <w:t xml:space="preserve"> 联系人： </w:t>
      </w:r>
      <w:r>
        <w:rPr/>
        <w:t>马玉娇 张晨</w:t>
      </w:r>
    </w:p>
    <w:p>
      <w:pPr>
        <w:pStyle w:val="null3"/>
      </w:pPr>
      <w:r>
        <w:rPr/>
        <w:t xml:space="preserve"> 联系电话： </w:t>
      </w:r>
      <w:r>
        <w:rPr/>
        <w:t>15109119970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代理服务费收费标准：1.确定成交供应商后3日内，由成交供应商按国家计委颁发的《招标代理 服务收费管理暂行办法》（计价格[2002]1980号）和国家发展改革委员会办公厅颁发的《关于 招标代理服务收费有关问题的通知》（发改办价格[2003] 857号）的有关规定标准，向采购代理机构一次付清代理服务费。 1.代理费收款账户 公司名称：开瑞项目管理有限公司 银行账号129905724510808 开户行：招商银行股份有限公司陕西自贸试验区西安高新科技支行 转账事由 ：***项目服务费 2.磋商保证金在转账过程中应备注项目简称或项目编号。</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开瑞项目管理有限公司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联系人：马工</w:t>
      </w:r>
    </w:p>
    <w:p>
      <w:pPr>
        <w:pStyle w:val="null3"/>
      </w:pPr>
      <w:r>
        <w:rPr/>
        <w:t>联系电话：15109119970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石油大学绿色低碳能源综合实验（实训）中心位于西安石油大学鄠邑校区，项目总投资约1.57亿元，建设总面积22446.62㎡，其中地上20108.57㎡，地下建筑面积2338.05㎡。本次招标为西安石油大学绿色低碳能源综合实验（实训）中心项目实施阶段全过程跟踪审计相关的造价咨询服务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西安石油大学绿色低碳能源综合实验（实训）中心项目全过程造价咨询服务</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标的名称：西安石油大学绿色低碳能源综合实验（实训）中心项目全过程造价咨询服务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21"/>
                <w:color w:val="000000"/>
              </w:rPr>
              <w:t>一、采购内容</w:t>
            </w:r>
          </w:p>
          <w:p>
            <w:pPr>
              <w:pStyle w:val="null3"/>
              <w:jc w:val="left"/>
            </w:pPr>
            <w:r>
              <w:rPr>
                <w:rFonts w:ascii="arial, helvetica, sans-serif" w:hAnsi="arial, helvetica, sans-serif" w:cs="arial, helvetica, sans-serif" w:eastAsia="arial, helvetica, sans-serif"/>
                <w:sz w:val="21"/>
                <w:color w:val="000000"/>
              </w:rPr>
              <w:t>本次招标为西安石油大学绿色低碳能源综合实验（实训）中心项目实施阶段的全过程造价咨询服务工作。主要服务范围及内容如下：招标阶段实施核编工程量清单及招标控制价、审查招标文件及施工合同等；施工阶段实施审核进度款支付、审核工程签证、审核设计变更、审核材料（设备）认质认价、参与隐蔽工程验收、定期参加工地例会等；结算阶段实施竣工结算审核等。</w:t>
            </w:r>
          </w:p>
          <w:p>
            <w:pPr>
              <w:pStyle w:val="null3"/>
              <w:jc w:val="left"/>
            </w:pPr>
            <w:r>
              <w:rPr>
                <w:rFonts w:ascii="arial, helvetica, sans-serif" w:hAnsi="arial, helvetica, sans-serif" w:cs="arial, helvetica, sans-serif" w:eastAsia="arial, helvetica, sans-serif"/>
                <w:sz w:val="21"/>
                <w:color w:val="000000"/>
              </w:rPr>
              <w:t>二、服务范围及工作内容</w:t>
            </w:r>
          </w:p>
          <w:p>
            <w:pPr>
              <w:pStyle w:val="null3"/>
              <w:jc w:val="left"/>
            </w:pPr>
            <w:r>
              <w:rPr>
                <w:rFonts w:ascii="arial, helvetica, sans-serif" w:hAnsi="arial, helvetica, sans-serif" w:cs="arial, helvetica, sans-serif" w:eastAsia="arial, helvetica, sans-serif"/>
                <w:sz w:val="21"/>
                <w:color w:val="000000"/>
              </w:rPr>
              <w:t>1.结合项目实际，编制详细的全过程咨询实施方案。</w:t>
            </w:r>
          </w:p>
          <w:p>
            <w:pPr>
              <w:pStyle w:val="null3"/>
              <w:jc w:val="left"/>
            </w:pPr>
            <w:r>
              <w:rPr>
                <w:rFonts w:ascii="arial, helvetica, sans-serif" w:hAnsi="arial, helvetica, sans-serif" w:cs="arial, helvetica, sans-serif" w:eastAsia="arial, helvetica, sans-serif"/>
                <w:sz w:val="21"/>
                <w:color w:val="000000"/>
              </w:rPr>
              <w:t>2.招标阶段主要工作内容包括工程量清单</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招标控制价的编制及审核，施工招标文件、合同条款审核等。</w:t>
            </w:r>
          </w:p>
          <w:p>
            <w:pPr>
              <w:pStyle w:val="null3"/>
              <w:jc w:val="left"/>
            </w:pPr>
            <w:r>
              <w:rPr>
                <w:rFonts w:ascii="arial, helvetica, sans-serif" w:hAnsi="arial, helvetica, sans-serif" w:cs="arial, helvetica, sans-serif" w:eastAsia="arial, helvetica, sans-serif"/>
                <w:sz w:val="21"/>
                <w:color w:val="000000"/>
              </w:rPr>
              <w:t>3.施工阶段实施工作内容包括审核进度款支付、审核工程签证费用、审核设计变更费用、审核工程索赔费用，参加材料（设备）询价认质认价、参加隐蔽工程验收、参加造价及合同相关的会议，定期参加工地例会等。</w:t>
            </w:r>
          </w:p>
          <w:p>
            <w:pPr>
              <w:pStyle w:val="null3"/>
              <w:jc w:val="left"/>
            </w:pPr>
            <w:r>
              <w:rPr>
                <w:rFonts w:ascii="arial, helvetica, sans-serif" w:hAnsi="arial, helvetica, sans-serif" w:cs="arial, helvetica, sans-serif" w:eastAsia="arial, helvetica, sans-serif"/>
                <w:sz w:val="21"/>
                <w:color w:val="000000"/>
              </w:rPr>
              <w:t>4.结算阶段工作内容包括实施竣工结算审核、合同争议鉴定、索赔等工作。</w:t>
            </w:r>
          </w:p>
          <w:p>
            <w:pPr>
              <w:pStyle w:val="null3"/>
              <w:jc w:val="left"/>
            </w:pPr>
            <w:r>
              <w:rPr>
                <w:rFonts w:ascii="arial, helvetica, sans-serif" w:hAnsi="arial, helvetica, sans-serif" w:cs="arial, helvetica, sans-serif" w:eastAsia="arial, helvetica, sans-serif"/>
                <w:sz w:val="21"/>
                <w:color w:val="000000"/>
              </w:rPr>
              <w:t>5.记录跟踪审计日志、过程资料收集、相关资料归档。</w:t>
            </w:r>
          </w:p>
          <w:p>
            <w:pPr>
              <w:pStyle w:val="null3"/>
              <w:jc w:val="left"/>
            </w:pPr>
            <w:r>
              <w:rPr>
                <w:rFonts w:ascii="arial, helvetica, sans-serif" w:hAnsi="arial, helvetica, sans-serif" w:cs="arial, helvetica, sans-serif" w:eastAsia="arial, helvetica, sans-serif"/>
                <w:sz w:val="21"/>
                <w:color w:val="000000"/>
              </w:rPr>
              <w:t>6.根据委托人要求或项目需求，完成全过程造价咨询服务的其他内容。</w:t>
            </w:r>
          </w:p>
          <w:p>
            <w:pPr>
              <w:pStyle w:val="null3"/>
              <w:jc w:val="left"/>
            </w:pPr>
            <w:r>
              <w:rPr>
                <w:rFonts w:ascii="arial, helvetica, sans-serif" w:hAnsi="arial, helvetica, sans-serif" w:cs="arial, helvetica, sans-serif" w:eastAsia="arial, helvetica, sans-serif"/>
                <w:sz w:val="21"/>
                <w:color w:val="000000"/>
              </w:rPr>
              <w:t>三、质量标准</w:t>
            </w:r>
          </w:p>
          <w:p>
            <w:pPr>
              <w:pStyle w:val="null3"/>
              <w:jc w:val="left"/>
            </w:pPr>
            <w:r>
              <w:rPr>
                <w:rFonts w:ascii="arial, helvetica, sans-serif" w:hAnsi="arial, helvetica, sans-serif" w:cs="arial, helvetica, sans-serif" w:eastAsia="arial, helvetica, sans-serif"/>
                <w:sz w:val="21"/>
                <w:color w:val="000000"/>
              </w:rPr>
              <w:t>工程造价咨询成果文件应符合</w:t>
            </w:r>
            <w:r>
              <w:rPr>
                <w:rFonts w:ascii="arial, helvetica, sans-serif" w:hAnsi="arial, helvetica, sans-serif" w:cs="arial, helvetica, sans-serif" w:eastAsia="arial, helvetica, sans-serif"/>
                <w:sz w:val="21"/>
                <w:color w:val="000000"/>
              </w:rPr>
              <w:t>：《建设工程造价咨询规范（</w:t>
            </w:r>
            <w:r>
              <w:rPr>
                <w:rFonts w:ascii="arial, helvetica, sans-serif" w:hAnsi="arial, helvetica, sans-serif" w:cs="arial, helvetica, sans-serif" w:eastAsia="arial, helvetica, sans-serif"/>
                <w:sz w:val="21"/>
                <w:color w:val="000000"/>
              </w:rPr>
              <w:t>GB/T50195-2015 ）》 《建设工程造价咨询成果文件质量标准（CECA/GC7-2012） 》《陕西省建设工程工程量清单计价规则》（2009年版）等有关规定、标准、规范和委托人的要求 。</w:t>
            </w:r>
          </w:p>
        </w:tc>
      </w:tr>
    </w:tbl>
    <w:p>
      <w:pPr>
        <w:pStyle w:val="null3"/>
        <w:outlineLvl w:val="2"/>
      </w:pPr>
      <w:r>
        <w:rPr>
          <w:sz w:val="28"/>
          <w:b/>
        </w:rPr>
        <w:t>3.2.3人员配置要求</w:t>
      </w:r>
    </w:p>
    <w:p>
      <w:pPr>
        <w:pStyle w:val="null3"/>
      </w:pPr>
      <w:r>
        <w:rPr/>
        <w:t>采购包1：</w:t>
      </w:r>
    </w:p>
    <w:p>
      <w:pPr>
        <w:pStyle w:val="null3"/>
      </w:pPr>
      <w:r>
        <w:rPr/>
        <w:t>满足项目需求及采购人要求。</w:t>
      </w:r>
    </w:p>
    <w:p>
      <w:pPr>
        <w:pStyle w:val="null3"/>
        <w:outlineLvl w:val="2"/>
      </w:pPr>
      <w:r>
        <w:rPr>
          <w:sz w:val="28"/>
          <w:b/>
        </w:rPr>
        <w:t>3.2.4设施设备要求</w:t>
      </w:r>
    </w:p>
    <w:p>
      <w:pPr>
        <w:pStyle w:val="null3"/>
      </w:pPr>
      <w:r>
        <w:rPr/>
        <w:t>采购包1：</w:t>
      </w:r>
    </w:p>
    <w:p>
      <w:pPr>
        <w:pStyle w:val="null3"/>
      </w:pPr>
      <w:r>
        <w:rPr/>
        <w:t>满足项目需求及采购人要求。</w:t>
      </w:r>
    </w:p>
    <w:p>
      <w:pPr>
        <w:pStyle w:val="null3"/>
        <w:outlineLvl w:val="2"/>
      </w:pPr>
      <w:r>
        <w:rPr>
          <w:sz w:val="28"/>
          <w:b/>
        </w:rPr>
        <w:t>3.2.5其他要求</w:t>
      </w:r>
    </w:p>
    <w:p>
      <w:pPr>
        <w:pStyle w:val="null3"/>
      </w:pPr>
      <w:r>
        <w:rPr/>
        <w:t>采购包1：</w:t>
      </w:r>
    </w:p>
    <w:p>
      <w:pPr>
        <w:pStyle w:val="null3"/>
      </w:pPr>
      <w:r>
        <w:rPr/>
        <w:t>工程造价咨询成果文件应符合 ：《建设工程造价咨询规范（GB/T50195-2015 ）》 《建设工程造价咨询成果文件质量标准（CECA/GC7-2012） 》《陕西省建设工程工程量清单计价规则》（2009年版）等现行有关规定、标准、规范和采购人的要求。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本合同约定的建设工程造价咨询服务自合同签订开始实施，至工程竣工结算审定终结</w:t>
      </w:r>
    </w:p>
    <w:p>
      <w:pPr>
        <w:pStyle w:val="null3"/>
        <w:outlineLvl w:val="3"/>
      </w:pPr>
      <w:r>
        <w:rPr>
          <w:sz w:val="24"/>
          <w:b/>
        </w:rPr>
        <w:t>3.3.2服务地点</w:t>
      </w:r>
    </w:p>
    <w:p>
      <w:pPr>
        <w:pStyle w:val="null3"/>
      </w:pPr>
      <w:r>
        <w:rPr/>
        <w:t>采购包1：</w:t>
      </w:r>
    </w:p>
    <w:p>
      <w:pPr>
        <w:pStyle w:val="null3"/>
      </w:pPr>
      <w:r>
        <w:rPr/>
        <w:t>西安石油大学鄠邑校区</w:t>
      </w:r>
    </w:p>
    <w:p>
      <w:pPr>
        <w:pStyle w:val="null3"/>
        <w:outlineLvl w:val="3"/>
      </w:pPr>
      <w:r>
        <w:rPr>
          <w:sz w:val="24"/>
          <w:b/>
        </w:rPr>
        <w:t>3.3.3考核（验收）标准和方法</w:t>
      </w:r>
    </w:p>
    <w:p>
      <w:pPr>
        <w:pStyle w:val="null3"/>
      </w:pPr>
      <w:r>
        <w:rPr/>
        <w:t>采购包1：</w:t>
      </w:r>
    </w:p>
    <w:p>
      <w:pPr>
        <w:pStyle w:val="null3"/>
      </w:pPr>
      <w:r>
        <w:rPr/>
        <w:t>本项目验收由采购人有关部门进行验收，应达到合格（达到国家强制性合格标准），具体参照采购人相关制度执行。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待本项目编制核对工程量清单及招标控制价结束后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在本项目实施跟踪审计阶段，每半年支付一次进度款，每次支付暂定合同金额的10%，累计支付比例不超过60%</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待出具本项目结算审核成果文件后，一次付清剩余的合同约定的结算金额</w:t>
      </w:r>
      <w:r>
        <w:rPr/>
        <w:t xml:space="preserve"> ，达到付款条件起 </w:t>
      </w:r>
      <w:r>
        <w:rPr/>
        <w:t>10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 xml:space="preserve"> 因违约或终止合同而引起的损失和损害的赔偿，供应商与采购人之间应协商解决；如未能达成一致，可提交有关主管部门调解；协商或调解不成的，根据双方约定提交仲裁机关仲裁，或向人民法院提起诉讼。</w:t>
      </w:r>
    </w:p>
    <w:p>
      <w:pPr>
        <w:pStyle w:val="null3"/>
        <w:outlineLvl w:val="2"/>
      </w:pPr>
      <w:r>
        <w:rPr>
          <w:sz w:val="28"/>
          <w:b/>
        </w:rPr>
        <w:t>3.4其他要求</w:t>
      </w:r>
    </w:p>
    <w:p>
      <w:pPr>
        <w:pStyle w:val="null3"/>
      </w:pPr>
      <w:r>
        <w:rPr/>
        <w:t>磋商报价： （1）造价咨询服务费和效益收费（审减费）投标报价参考陕西省物价局、陕西省住房和城乡建设厅颁布的《关于我省工程造价咨询服务收费管理有关问题的通知》（陕价行发〔2014〕88号）的规定，结合西安市场及企业自身实际情况自主报价。 （2）全过程造价咨询投标报价=基本服务费+审核成果费，全过程造价咨询投标报价超过本项目预算金额的按照无效报价处理。 投标报价时填报基本服务费与审核成果费的总金额，在分项报价表中明确基本服务费与审核成果费的具体金额及相应费率，其中： 基本服务费=以暂估建安工程成本12500万元为基数×基本服务费投标报价费率，该费率采以“‰”形式填报； 审核成果费=以暂估建安工程成本12500万元×5%为基数×审核成果费投标报价费率，该费率以“%”形式填报。 全过程造价咨询结算时，基本费服务结算时只按照最终施工项目的结算金额计取基本费，审核成果费只在结算审核时计取，其他本次全过程造价咨询所涉及的服务内容均不再另行计费，投标人在报价时综合考虑。 （3）本次磋商报价不包含审减额超过5%部分的审核成果费，对超过5%以上部分审减金额×审核成果费率（中标费率）据实结算支付给咨询人，此项费用来源由被审核的施工单位承担，具体详见工程施工合同相关条款约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供应商应提交的相关资格证明材料(1)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承诺书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供应商应提交的相关资格证明材料(1)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r>
        <w:tc>
          <w:tcPr>
            <w:tcW w:type="dxa" w:w="831"/>
          </w:tcPr>
          <w:p>
            <w:pPr>
              <w:pStyle w:val="null3"/>
            </w:pPr>
            <w:r>
              <w:rPr/>
              <w:t>2</w:t>
            </w:r>
          </w:p>
        </w:tc>
        <w:tc>
          <w:tcPr>
            <w:tcW w:type="dxa" w:w="2492"/>
          </w:tcPr>
          <w:p>
            <w:pPr>
              <w:pStyle w:val="null3"/>
            </w:pPr>
            <w:r>
              <w:rPr/>
              <w:t>需落实的政府采购政策</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供应商为向采购人提供相应服务的法人或其他组织；</w:t>
            </w:r>
          </w:p>
        </w:tc>
        <w:tc>
          <w:tcPr>
            <w:tcW w:type="dxa" w:w="1661"/>
          </w:tcPr>
          <w:p>
            <w:pPr>
              <w:pStyle w:val="null3"/>
            </w:pPr>
            <w:r>
              <w:rPr/>
              <w:t>承诺书 供应商应提交的相关资格证明材料(1) 响应函</w:t>
            </w:r>
          </w:p>
        </w:tc>
      </w:tr>
      <w:tr>
        <w:tc>
          <w:tcPr>
            <w:tcW w:type="dxa" w:w="831"/>
          </w:tcPr>
          <w:p>
            <w:pPr>
              <w:pStyle w:val="null3"/>
            </w:pPr>
            <w:r>
              <w:rPr/>
              <w:t>2</w:t>
            </w:r>
          </w:p>
        </w:tc>
        <w:tc>
          <w:tcPr>
            <w:tcW w:type="dxa" w:w="2492"/>
          </w:tcPr>
          <w:p>
            <w:pPr>
              <w:pStyle w:val="null3"/>
            </w:pPr>
            <w:r>
              <w:rPr/>
              <w:t>拟派项目负责人资质要求</w:t>
            </w:r>
          </w:p>
        </w:tc>
        <w:tc>
          <w:tcPr>
            <w:tcW w:type="dxa" w:w="3322"/>
          </w:tcPr>
          <w:p>
            <w:pPr>
              <w:pStyle w:val="null3"/>
            </w:pPr>
            <w:r>
              <w:rPr/>
              <w:t>拟派项目负责人须具备一级注册造价工程师（土建专业）资格，且在本单位注册并缴纳社保；</w:t>
            </w:r>
          </w:p>
        </w:tc>
        <w:tc>
          <w:tcPr>
            <w:tcW w:type="dxa" w:w="1661"/>
          </w:tcPr>
          <w:p>
            <w:pPr>
              <w:pStyle w:val="null3"/>
            </w:pPr>
            <w:r>
              <w:rPr/>
              <w:t>项目团队配备 响应函</w:t>
            </w:r>
          </w:p>
        </w:tc>
      </w:tr>
      <w:tr>
        <w:tc>
          <w:tcPr>
            <w:tcW w:type="dxa" w:w="831"/>
          </w:tcPr>
          <w:p>
            <w:pPr>
              <w:pStyle w:val="null3"/>
            </w:pPr>
            <w:r>
              <w:rPr/>
              <w:t>3</w:t>
            </w:r>
          </w:p>
        </w:tc>
        <w:tc>
          <w:tcPr>
            <w:tcW w:type="dxa" w:w="2492"/>
          </w:tcPr>
          <w:p>
            <w:pPr>
              <w:pStyle w:val="null3"/>
            </w:pPr>
            <w:r>
              <w:rPr/>
              <w:t>信用资格要求</w:t>
            </w:r>
          </w:p>
        </w:tc>
        <w:tc>
          <w:tcPr>
            <w:tcW w:type="dxa" w:w="3322"/>
          </w:tcPr>
          <w:p>
            <w:pPr>
              <w:pStyle w:val="null3"/>
            </w:pPr>
            <w:r>
              <w:rPr/>
              <w:t>截止至竞争性磋商响应文件递交截止时间之前，供应商未在“信用中国”网站中被列入“信用服务”查询栏目中严重失信主体名单以及重点领域严重失信主体名单；供应商未被国家企业信用信息公示系统被列为严重违法失信名单；</w:t>
            </w:r>
          </w:p>
        </w:tc>
        <w:tc>
          <w:tcPr>
            <w:tcW w:type="dxa" w:w="1661"/>
          </w:tcPr>
          <w:p>
            <w:pPr>
              <w:pStyle w:val="null3"/>
            </w:pPr>
            <w:r>
              <w:rPr/>
              <w:t>承诺书 供应商应提交的相关资格证明材料(1)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响应文件按竞争性磋商文件要求签署、盖章</w:t>
            </w:r>
          </w:p>
        </w:tc>
        <w:tc>
          <w:tcPr>
            <w:tcW w:type="dxa" w:w="3322"/>
          </w:tcPr>
          <w:p>
            <w:pPr>
              <w:pStyle w:val="null3"/>
            </w:pPr>
            <w:r>
              <w:rPr/>
              <w:t>响应文件按竞争性磋商文件要求签署、盖章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磋商报价未超过竞争性磋商文件中规定的最高限价</w:t>
            </w:r>
          </w:p>
        </w:tc>
        <w:tc>
          <w:tcPr>
            <w:tcW w:type="dxa" w:w="3322"/>
          </w:tcPr>
          <w:p>
            <w:pPr>
              <w:pStyle w:val="null3"/>
            </w:pPr>
            <w:r>
              <w:rPr/>
              <w:t>磋商报价未超过竞争性磋商文件中规定的最高限价</w:t>
            </w:r>
          </w:p>
        </w:tc>
        <w:tc>
          <w:tcPr>
            <w:tcW w:type="dxa" w:w="1661"/>
          </w:tcPr>
          <w:p>
            <w:pPr>
              <w:pStyle w:val="null3"/>
            </w:pPr>
            <w:r>
              <w:rPr/>
              <w:t>响应文件封面 分项报价表 标的清单 报价表</w:t>
            </w:r>
          </w:p>
        </w:tc>
      </w:tr>
      <w:tr>
        <w:tc>
          <w:tcPr>
            <w:tcW w:type="dxa" w:w="831"/>
          </w:tcPr>
          <w:p>
            <w:pPr>
              <w:pStyle w:val="null3"/>
            </w:pPr>
            <w:r>
              <w:rPr/>
              <w:t>4</w:t>
            </w:r>
          </w:p>
        </w:tc>
        <w:tc>
          <w:tcPr>
            <w:tcW w:type="dxa" w:w="249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332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1661"/>
          </w:tcPr>
          <w:p>
            <w:pPr>
              <w:pStyle w:val="null3"/>
            </w:pPr>
            <w:r>
              <w:rPr/>
              <w:t>响应文件封面 服务内容及服务邀请应答表 分项报价表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1.咨询工作流程及各阶段实施方案 内容完整详细、工作程序科学合理，实施思路框架清晰，得2.1-4分； 内容基本详细、工作程序基本科学合理，实施思路框架基本清晰，得1.0-2.0分；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w:t>
            </w:r>
          </w:p>
        </w:tc>
        <w:tc>
          <w:tcPr>
            <w:tcW w:type="dxa" w:w="2492"/>
          </w:tcPr>
          <w:p>
            <w:pPr>
              <w:pStyle w:val="null3"/>
            </w:pPr>
            <w:r>
              <w:rPr/>
              <w:t>2.咨询工作制度 内容完整详细、工作制度科学合理，可行得2.1-4分； 内容基本可行，合理性、针对性有欠缺得 1.0-2.0 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3.咨询岗位职责 内容完整详细、职责明确， 得2.1-4分； 内容基本详细，职责较明确得 1.0-2.0 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4.咨询服务质量保证措施 包括但不限于：①对审计程序、方法及其他说明建立健全的质量控制体系②有质量目标无法实现时的认罚承诺，进行综合评定赋分： 咨询服务质量的保证组织措施科学合理、满足项目要求，合理性、针对性强得2.1-4分； 咨询服务质量的保证组织措施有一定可行性，基本满足项目要求，具有一定的合理性、针对性得 1.0-2.0分。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5.咨询进度保证措施 全面完整，细节明确，各环节配合科学紧凑，针对性强，得2.1-4分； 咨询进度保证措施基本完整，细节较明确，针对性较强，得1.0-2.0分。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6.合理化建议及增值服务 包括但不限于：①合理化建议内容科学、合理，可操作性强②提供免费业务咨询、指导等内容，进行综合评定赋分： 合理化建议内容科学、合理，可操作性强并提供免费业务咨询、指导等内容得2.1-3分； 合理化建议内容基本科学、合理，可操作性较强并提供免费业务咨询、指导等内容得1.0-2分。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7.档案管理措施 根据资料管理制度（包括但不限于交接、审核、保管、移交、归档等）赋分： 资料管理制度完善，资料处置链条完整，措施具体，责任清晰，可靠性强，根据详细程度计2.1-3分。 资料管理制度及资料处置链条不完善，存在部分漏项或缺陷，根据详细程度计1.0-2分。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8.服务承诺 包括不限于人员到位承诺、服务保证承诺、及时响应承诺等内容： 服务承诺内容详尽，描述清晰、完善得2.1-3分； 服务承诺内容基本详尽、描述较清晰、完善得1.0-2分；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9.廉洁、保密措施 根据企业的廉洁从业和保密制度及对参与本项目相关人员的管理等： 完全满足本项目需求，详尽具体、全面可行的得2.1-3分； 基本满足本项目需求，对于问题均有较为具体的叙述，基本可行的得1.0-2分；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10.风险控制及重难点分析 针对本项目全过程造价咨询服务及重点、难点的分析和研判，提供健全完善的风险控制制度、有效的重难点控制措施。 风险控制内容全面完整，重难点分析合理、科学、措施切实可行计 2.1-3分； 风险控制内容不完整，措施简单，不能保障项目顺利实施的计1.0-2分。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项目团队配备</w:t>
            </w:r>
          </w:p>
        </w:tc>
        <w:tc>
          <w:tcPr>
            <w:tcW w:type="dxa" w:w="2492"/>
          </w:tcPr>
          <w:p>
            <w:pPr>
              <w:pStyle w:val="null3"/>
            </w:pPr>
            <w:r>
              <w:rPr/>
              <w:t>1.项目负责人（13分） （1）具有高级职称得3分；具有中级职称得1分，其他不得分；需附相关证书复印件。 （2）工作年限（以注册证初始注册时间为准）：具有10年及以上相关工作经验5分；5年及以上，10年以下的相关工作经验得3分。5年以下相关工作经验不得分。 （3）业绩履历：项目负责人近五年（近五年指2019年01月01日起至今）具有1项总建筑面积≥3万平方米或项目投资≥10000万元的建筑工程类全过程造价咨询业绩得5分。 注：以相关证书复印件加盖单位公章为准，企业业绩与项目负责人业绩不重复打分，业绩证明文件以合同或成果文件复印件加盖单位公章为准。 2.项目组成人员（8分） 拟投入项目组成员配备土建专业3人、安装专业2人（不包括项目负责人），所有人员需为一级注册造价师。不满足基本要求的得0分，满足基本要求的得5分；比基本要求每增加投入1名符合要求的人员，加1分，最高8分。 注：以加盖公章的执业证书及注册证书的复印件（扫描件）、社保缴纳证明材料为准。</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p>
            <w:pPr>
              <w:pStyle w:val="null3"/>
            </w:pPr>
            <w:r>
              <w:rPr/>
              <w:t>项目团队配备</w:t>
            </w:r>
          </w:p>
        </w:tc>
      </w:tr>
      <w:tr>
        <w:tc>
          <w:tcPr>
            <w:tcW w:type="dxa" w:w="831"/>
            <w:vMerge/>
          </w:tcPr>
          <w:p/>
        </w:tc>
        <w:tc>
          <w:tcPr>
            <w:tcW w:type="dxa" w:w="1661"/>
          </w:tcPr>
          <w:p>
            <w:pPr>
              <w:pStyle w:val="null3"/>
            </w:pPr>
            <w:r>
              <w:rPr/>
              <w:t>业绩</w:t>
            </w:r>
          </w:p>
        </w:tc>
        <w:tc>
          <w:tcPr>
            <w:tcW w:type="dxa" w:w="2492"/>
          </w:tcPr>
          <w:p>
            <w:pPr>
              <w:pStyle w:val="null3"/>
            </w:pPr>
            <w:r>
              <w:rPr/>
              <w:t>供应商（提供2019年01月01日起至今）企业业绩： 1.具有1项全过程造价咨询或全过程跟踪审计业绩，得3分。 2.每增加1项总建筑面积≥15万平方米或总投资额≥50000万元的全过程造价咨询业绩，得3分；每增加1项建筑面积≥3万平方米或总投资额≥10000万元的建筑工程类全过程造价咨询业绩，得2分；最高18分。 3.每增加1项总建筑面积≥3万平方米或项目投资≥10000万元的建筑工程类工程量清单编制或最高投标限价编制或结算审计业绩，得1分，最高得3分。 注：企业业绩与项目负责人业绩不重复打分，业绩证明文件以合同或成果文件复印件加盖单位公章为准。</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服务方案</w:t>
            </w:r>
          </w:p>
          <w:p>
            <w:pPr>
              <w:pStyle w:val="null3"/>
            </w:pPr>
            <w:r>
              <w:rPr/>
              <w:t>企业业绩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经初审合格的响应文件，其磋商报价为有效投标价。评标基准价：即满足磋商文件要求且所投全过程造价咨询投标报价数值最小的磋商报价为评标基准价。 其他供应商的价格分统一按照下列公式计算。磋商报价得分=(评标基准价／磋商报价)×20 备注：全过程造价咨询投标报价=基本服务费+审核成果费，全过程造价咨询投标报价超过本项目预算金额的按照废标处理。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详见附件：供应商应提交的相关资格证明材料(1)</w:t>
      </w:r>
    </w:p>
    <w:p>
      <w:pPr>
        <w:pStyle w:val="null3"/>
        <w:ind w:firstLine="960"/>
      </w:pPr>
      <w:r>
        <w:rPr/>
        <w:t>详见附件：企业业绩</w:t>
      </w:r>
    </w:p>
    <w:p>
      <w:pPr>
        <w:pStyle w:val="null3"/>
        <w:ind w:firstLine="960"/>
      </w:pPr>
      <w:r>
        <w:rPr/>
        <w:t>详见附件：项目团队配备</w:t>
      </w:r>
    </w:p>
    <w:p>
      <w:pPr>
        <w:pStyle w:val="null3"/>
        <w:ind w:firstLine="960"/>
      </w:pPr>
      <w:r>
        <w:rPr/>
        <w:t>详见附件：承诺书</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