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版本号：240625001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污水处理站整体外包</w:t>
      </w:r>
    </w:p>
    <w:p>
      <w:pPr>
        <w:pStyle w:val="null3"/>
        <w:jc w:val="center"/>
        <w:outlineLvl w:val="2"/>
      </w:pPr>
      <w:r>
        <w:rPr>
          <w:sz w:val="28"/>
          <w:b/>
        </w:rPr>
        <w:t>采购项目编号：</w:t>
      </w:r>
      <w:r>
        <w:rPr>
          <w:sz w:val="28"/>
          <w:b/>
        </w:rPr>
        <w:t>SXZCX2024-019</w:t>
      </w:r>
      <w:r>
        <w:br/>
      </w:r>
      <w:r>
        <w:br/>
      </w:r>
      <w:r>
        <w:br/>
      </w:r>
    </w:p>
    <w:p>
      <w:pPr>
        <w:pStyle w:val="null3"/>
        <w:jc w:val="center"/>
        <w:outlineLvl w:val="2"/>
      </w:pPr>
      <w:r>
        <w:rPr>
          <w:sz w:val="28"/>
          <w:b/>
        </w:rPr>
        <w:t>西安医学院</w:t>
      </w:r>
    </w:p>
    <w:p>
      <w:pPr>
        <w:pStyle w:val="null3"/>
        <w:jc w:val="center"/>
        <w:outlineLvl w:val="2"/>
      </w:pPr>
      <w:r>
        <w:rPr>
          <w:sz w:val="28"/>
          <w:b/>
        </w:rPr>
        <w:t>陕西省中诚信招标有限公司</w:t>
      </w:r>
      <w:r>
        <w:rPr>
          <w:sz w:val="28"/>
          <w:b/>
        </w:rPr>
        <w:t>共同编制</w:t>
      </w:r>
    </w:p>
    <w:p>
      <w:pPr>
        <w:pStyle w:val="null3"/>
        <w:jc w:val="center"/>
        <w:outlineLvl w:val="2"/>
      </w:pPr>
      <w:r>
        <w:rPr>
          <w:sz w:val="28"/>
          <w:b/>
        </w:rPr>
        <w:t>2024年06月25日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陕西省中诚信招标有限公司</w:t>
      </w:r>
      <w:r>
        <w:rPr/>
        <w:t>（以下简称“代理机构”）受</w:t>
      </w:r>
      <w:r>
        <w:rPr/>
        <w:t>西安医学院</w:t>
      </w:r>
      <w:r>
        <w:rPr/>
        <w:t>委托，拟对</w:t>
      </w:r>
      <w:r>
        <w:rPr/>
        <w:t>污水处理站整体外包</w:t>
      </w:r>
      <w:r>
        <w:rPr/>
        <w:t>采用竞争性磋商采购方式进行采购，兹邀请供应商参加本项目的竞争性磋商。</w:t>
      </w:r>
    </w:p>
    <w:p>
      <w:pPr>
        <w:pStyle w:val="null3"/>
        <w:outlineLvl w:val="2"/>
      </w:pPr>
      <w:r>
        <w:rPr>
          <w:sz w:val="28"/>
          <w:b/>
        </w:rPr>
        <w:t>一、项目编号：</w:t>
      </w:r>
      <w:r>
        <w:rPr>
          <w:sz w:val="28"/>
          <w:b/>
        </w:rPr>
        <w:t>SXZCX2024-019</w:t>
      </w:r>
    </w:p>
    <w:p>
      <w:pPr>
        <w:pStyle w:val="null3"/>
        <w:outlineLvl w:val="2"/>
      </w:pPr>
      <w:r>
        <w:rPr>
          <w:sz w:val="28"/>
          <w:b/>
        </w:rPr>
        <w:t>二、项目名称：</w:t>
      </w:r>
      <w:r>
        <w:rPr>
          <w:sz w:val="28"/>
          <w:b/>
        </w:rPr>
        <w:t>污水处理站整体外包</w:t>
      </w:r>
    </w:p>
    <w:p>
      <w:pPr>
        <w:pStyle w:val="null3"/>
        <w:outlineLvl w:val="2"/>
      </w:pPr>
      <w:r>
        <w:rPr>
          <w:sz w:val="28"/>
          <w:b/>
        </w:rPr>
        <w:t>三、磋商项目简介</w:t>
      </w:r>
    </w:p>
    <w:p>
      <w:pPr>
        <w:pStyle w:val="null3"/>
        <w:ind w:firstLine="480"/>
      </w:pPr>
      <w:r>
        <w:rPr/>
        <w:t>本次采购内容为西安医学院污水处理站整体运维外包服务（具体内容及要求详见磋商文件）。</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采购包1（污水处理站整体外包）：属于专门面向中小企业采购。</w:t>
      </w:r>
    </w:p>
    <w:p>
      <w:pPr>
        <w:pStyle w:val="null3"/>
        <w:ind w:firstLine="480"/>
      </w:pPr>
      <w:r>
        <w:rPr/>
        <w:t>（三）本项目的特定资格要求：</w:t>
      </w:r>
    </w:p>
    <w:p>
      <w:pPr>
        <w:pStyle w:val="null3"/>
      </w:pPr>
      <w:r>
        <w:rPr/>
        <w:t>采购包1：</w:t>
      </w:r>
    </w:p>
    <w:p>
      <w:pPr>
        <w:pStyle w:val="null3"/>
      </w:pPr>
      <w:r>
        <w:rPr/>
        <w:t>1、法定代表人授权书及被授权人身份证：法定代表人授权书及被授权人身份证（加盖公章）（法定代表人直接参加投标，只须提交其身份证）（复印件加盖公章）。</w:t>
      </w:r>
    </w:p>
    <w:p>
      <w:pPr>
        <w:pStyle w:val="null3"/>
      </w:pPr>
      <w:r>
        <w:rPr/>
        <w:t>2、具有独立承担民事责任的能力：提供有效的营业执照副本、组织机构代码证、税务登记证（国、地税）（已办理三证合一或五证合一的只需提供营业执照副本）（复印件加盖公章）。</w:t>
      </w:r>
    </w:p>
    <w:p>
      <w:pPr>
        <w:pStyle w:val="null3"/>
      </w:pPr>
      <w:r>
        <w:rPr/>
        <w:t>3、具有良好的商业信誉和健全的财务会计制度：供应商需提供完整的2023年度财务审计报告（新成立的公司除外）或开标前三个月开户银行出具的资信证明。</w:t>
      </w:r>
    </w:p>
    <w:p>
      <w:pPr>
        <w:pStyle w:val="null3"/>
      </w:pPr>
      <w:r>
        <w:rPr/>
        <w:t>4、社会保障资金缴纳证明：提供在职人员2024年1月1日至今任意一个月公司正常缴纳社保的证明材料（社保中心出具的在职人员缴费情况或者职工基本养老保险个人账户付款凭证）（复印件加盖公章）。</w:t>
      </w:r>
    </w:p>
    <w:p>
      <w:pPr>
        <w:pStyle w:val="null3"/>
      </w:pPr>
      <w:r>
        <w:rPr/>
        <w:t>5、税收缴纳证明：提供2024年1月1日至今任意一个月的纳税证明或完税证明；依法免税的单位应提供相关证明材料。</w:t>
      </w:r>
    </w:p>
    <w:p>
      <w:pPr>
        <w:pStyle w:val="null3"/>
      </w:pPr>
      <w:r>
        <w:rPr/>
        <w:t>6、参加政府采购活动前三年内，在经营活动中没有重大违法记录的书面声明：参加政府采购活动前三年内，在经营活动中没有重大违法记录的书面声明（加盖公章）。</w:t>
      </w:r>
    </w:p>
    <w:p>
      <w:pPr>
        <w:pStyle w:val="null3"/>
      </w:pPr>
      <w:r>
        <w:rPr/>
        <w:t>7、具有履行合同所必需的设备和专业技术能力的书面声明：具有履行合同所必需的设备和专业技术能力的书面声明。</w:t>
      </w:r>
    </w:p>
    <w:p>
      <w:pPr>
        <w:pStyle w:val="null3"/>
      </w:pPr>
      <w:r>
        <w:rPr/>
        <w:t>8、特殊资质：供应商应具备建设行政主管部门核发的环保工程专业承包三级以上（含三级）资质。</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710016</w:t>
      </w:r>
    </w:p>
    <w:p>
      <w:pPr>
        <w:pStyle w:val="null3"/>
      </w:pPr>
      <w:r>
        <w:rPr/>
        <w:t xml:space="preserve"> 联系人： </w:t>
      </w:r>
      <w:r>
        <w:rPr/>
        <w:t>苏老师</w:t>
      </w:r>
    </w:p>
    <w:p>
      <w:pPr>
        <w:pStyle w:val="null3"/>
      </w:pPr>
      <w:r>
        <w:rPr/>
        <w:t xml:space="preserve"> 联系电话： </w:t>
      </w:r>
      <w:r>
        <w:rPr/>
        <w:t>029-86177468</w:t>
      </w:r>
    </w:p>
    <w:p>
      <w:pPr>
        <w:pStyle w:val="null3"/>
        <w:outlineLvl w:val="3"/>
      </w:pPr>
      <w:r>
        <w:rPr>
          <w:sz w:val="24"/>
          <w:b/>
        </w:rPr>
        <w:t>代理机构：</w:t>
      </w:r>
      <w:r>
        <w:rPr>
          <w:sz w:val="24"/>
          <w:b/>
        </w:rPr>
        <w:t>陕西省中诚信招标有限公司</w:t>
      </w:r>
    </w:p>
    <w:p>
      <w:pPr>
        <w:pStyle w:val="null3"/>
      </w:pPr>
      <w:r>
        <w:rPr/>
        <w:t xml:space="preserve"> 地址： </w:t>
      </w:r>
      <w:r>
        <w:rPr/>
        <w:t>西安市碑林区南二环西段华融国际商务大厦A座15F</w:t>
      </w:r>
    </w:p>
    <w:p>
      <w:pPr>
        <w:pStyle w:val="null3"/>
      </w:pPr>
      <w:r>
        <w:rPr/>
        <w:t xml:space="preserve"> 邮编： </w:t>
      </w:r>
      <w:r>
        <w:rPr/>
        <w:t>710000</w:t>
      </w:r>
    </w:p>
    <w:p>
      <w:pPr>
        <w:pStyle w:val="null3"/>
      </w:pPr>
      <w:r>
        <w:rPr/>
        <w:t xml:space="preserve"> 联系人： </w:t>
      </w:r>
      <w:r>
        <w:rPr/>
        <w:t>王工</w:t>
      </w:r>
    </w:p>
    <w:p>
      <w:pPr>
        <w:pStyle w:val="null3"/>
      </w:pPr>
      <w:r>
        <w:rPr/>
        <w:t xml:space="preserve"> 联系电话： </w:t>
      </w:r>
      <w:r>
        <w:rPr/>
        <w:t>029-85561586</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采购包1：710,000.00元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说明：本项目需提交采购总预算5%的履约保证金，合同签订后，中标供应商交纳履约保证金到采购需求单位指定账户，履约期满后一次性无息返还至中标供应商。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 1980号)和发改办价格[2003]857号文件等法律法规规定的计价标准下浮20%收取。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采购包1：组织现场踏勘：是</w:t>
            </w:r>
          </w:p>
          <w:p>
            <w:pPr>
              <w:pStyle w:val="null3"/>
              <w:ind w:firstLine="975"/>
            </w:pPr>
            <w:r>
              <w:rPr/>
              <w:t>踏勘时间：2024-07-04 09:30:00</w:t>
            </w:r>
          </w:p>
          <w:p>
            <w:pPr>
              <w:pStyle w:val="null3"/>
              <w:ind w:firstLine="975"/>
            </w:pPr>
            <w:r>
              <w:rPr/>
              <w:t>踏勘地点：西安医学院未央校区北大门</w:t>
            </w:r>
          </w:p>
          <w:p>
            <w:pPr>
              <w:pStyle w:val="null3"/>
              <w:ind w:firstLine="975"/>
            </w:pPr>
            <w:r>
              <w:rPr/>
              <w:t>联系人：董老师</w:t>
            </w:r>
          </w:p>
          <w:p>
            <w:pPr>
              <w:pStyle w:val="null3"/>
              <w:ind w:firstLine="975"/>
            </w:pPr>
            <w:r>
              <w:rPr/>
              <w:t>联系电话号码：029-86177421</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西安医学院</w:t>
      </w:r>
      <w:r>
        <w:rPr/>
        <w:t>和</w:t>
      </w:r>
      <w:r>
        <w:rPr/>
        <w:t>陕西省中诚信招标有限公司</w:t>
      </w:r>
      <w:r>
        <w:rPr/>
        <w:t>享有。对磋商文件中供应商参加本次政府采购活动应当具备的条件，磋商项目技术、服务、商务及其他要求，评审细则及标准由</w:t>
      </w:r>
      <w:r>
        <w:rPr/>
        <w:t>西安医学院</w:t>
      </w:r>
      <w:r>
        <w:rPr/>
        <w:t>负责解释。除上述磋商文件内容，其他内容由</w:t>
      </w:r>
      <w:r>
        <w:rPr/>
        <w:t>陕西省中诚信招标有限公司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西安医学院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陕西省中诚信招标有限公司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结合商务要求及技术要求，以采购文件中的规定为准，如果响应文件中的承诺优于采购文件规定，则以响应文件为准。</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陕西省中诚信招标有限公司</w:t>
      </w:r>
      <w:r>
        <w:rPr/>
        <w:t xml:space="preserve"> 负责答复；供应商对除采购需求外的采购文件的询问、质疑由</w:t>
      </w:r>
      <w:r>
        <w:rPr/>
        <w:t>陕西省中诚信招标有限公司</w:t>
      </w:r>
      <w:r>
        <w:rPr/>
        <w:t xml:space="preserve"> 负责答复；供应商对采购过程、采购结果的询问、质疑由 </w:t>
      </w:r>
      <w:r>
        <w:rPr/>
        <w:t>陕西省中诚信招标有限公司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联系人：王工</w:t>
      </w:r>
    </w:p>
    <w:p>
      <w:pPr>
        <w:pStyle w:val="null3"/>
      </w:pPr>
      <w:r>
        <w:rPr/>
        <w:t>联系电话：02985561586</w:t>
      </w:r>
    </w:p>
    <w:p>
      <w:pPr>
        <w:pStyle w:val="null3"/>
      </w:pPr>
      <w:r>
        <w:rPr/>
        <w:t>地址：西安市碑林区南二环西段华融国际商务大厦A座11E</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西安医学院污水处理站整体外包服务项目，主要包括：污水处理、污泥处置、水池清理、设备维护、仪表校准、药剂购置、第三方检测服务等污水处理站运营相关服务内容。本项目服务期限2年，合同1年1签，1年后考核80分以上，可续签第二年合同。考核表详见附件。</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710,000.00</w:t>
      </w:r>
    </w:p>
    <w:p>
      <w:pPr>
        <w:pStyle w:val="null3"/>
      </w:pPr>
      <w:r>
        <w:rPr/>
        <w:t>采购包最高限价（元）: 710,000.00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污水处理站整体外包</w:t>
            </w:r>
          </w:p>
        </w:tc>
        <w:tc>
          <w:tcPr>
            <w:tcW w:type="dxa" w:w="831"/>
          </w:tcPr>
          <w:p>
            <w:pPr>
              <w:pStyle w:val="null3"/>
              <w:jc w:val="right"/>
            </w:pPr>
            <w:r>
              <w:rPr/>
              <w:t>1.00</w:t>
            </w:r>
          </w:p>
        </w:tc>
        <w:tc>
          <w:tcPr>
            <w:tcW w:type="dxa" w:w="831"/>
          </w:tcPr>
          <w:p>
            <w:pPr>
              <w:pStyle w:val="null3"/>
              <w:jc w:val="right"/>
            </w:pPr>
            <w:r>
              <w:rPr/>
              <w:t>710,000.00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标的名称：污水处理站整体外包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8"/>
                <w:b/>
              </w:rPr>
              <w:t>一、主要标准</w:t>
            </w:r>
          </w:p>
          <w:p>
            <w:pPr>
              <w:pStyle w:val="null3"/>
              <w:ind w:firstLine="562"/>
              <w:jc w:val="both"/>
            </w:pPr>
            <w:r>
              <w:rPr>
                <w:rFonts w:ascii="宋体" w:hAnsi="宋体" w:cs="宋体" w:eastAsia="宋体"/>
                <w:sz w:val="28"/>
                <w:b/>
              </w:rPr>
              <w:t>（一）水质标准</w:t>
            </w:r>
          </w:p>
          <w:p>
            <w:pPr>
              <w:pStyle w:val="null3"/>
              <w:ind w:firstLine="641"/>
              <w:jc w:val="both"/>
            </w:pPr>
            <w:r>
              <w:rPr>
                <w:rFonts w:ascii="宋体" w:hAnsi="宋体" w:cs="宋体" w:eastAsia="宋体"/>
                <w:sz w:val="28"/>
              </w:rPr>
              <w:t>污水处理站自2010年建成投入使用，主要设备及构筑物见附录，设计污水处理</w:t>
            </w:r>
            <w:r>
              <w:rPr>
                <w:rFonts w:ascii="宋体" w:hAnsi="宋体" w:cs="宋体" w:eastAsia="宋体"/>
                <w:sz w:val="28"/>
              </w:rPr>
              <w:t>量3000m3/d，运行期间污水处理量约1500m3/d。</w:t>
            </w:r>
          </w:p>
          <w:p>
            <w:pPr>
              <w:pStyle w:val="null3"/>
              <w:jc w:val="both"/>
              <w:outlineLvl w:val="4"/>
            </w:pPr>
            <w:r>
              <w:rPr>
                <w:rFonts w:ascii="宋体" w:hAnsi="宋体" w:cs="宋体" w:eastAsia="宋体"/>
                <w:sz w:val="24"/>
                <w:b/>
              </w:rPr>
              <w:t>1</w:t>
            </w:r>
            <w:r>
              <w:rPr>
                <w:rFonts w:ascii="宋体" w:hAnsi="宋体" w:cs="宋体" w:eastAsia="宋体"/>
                <w:sz w:val="24"/>
                <w:b/>
              </w:rPr>
              <w:t>、进水主要水质指标</w:t>
            </w:r>
          </w:p>
          <w:tbl>
            <w:tblPr>
              <w:tblInd w:type="dxa" w:w="135"/>
              <w:tblBorders>
                <w:top w:val="none" w:color="000000" w:sz="4"/>
                <w:left w:val="none" w:color="000000" w:sz="4"/>
                <w:bottom w:val="none" w:color="000000" w:sz="4"/>
                <w:right w:val="none" w:color="000000" w:sz="4"/>
                <w:insideH w:val="none"/>
                <w:insideV w:val="none"/>
              </w:tblBorders>
            </w:tblPr>
            <w:tblGrid>
              <w:gridCol w:w="670"/>
              <w:gridCol w:w="1040"/>
              <w:gridCol w:w="843"/>
            </w:tblGrid>
            <w:tr>
              <w:tc>
                <w:tcPr>
                  <w:tcW w:type="dxa" w:w="670"/>
                  <w:tcMar>
                    <w:top w:type="dxa" w:w="0"/>
                    <w:left w:type="dxa" w:w="105"/>
                    <w:bottom w:type="dxa" w:w="0"/>
                    <w:right w:type="dxa" w:w="105"/>
                  </w:tcMar>
                </w:tcPr>
                <w:p>
                  <w:pPr>
                    <w:pStyle w:val="null3"/>
                    <w:jc w:val="center"/>
                  </w:pPr>
                  <w:r>
                    <w:rPr>
                      <w:rFonts w:ascii="宋体" w:hAnsi="宋体" w:cs="宋体" w:eastAsia="宋体"/>
                      <w:sz w:val="24"/>
                    </w:rPr>
                    <w:t>项   目</w:t>
                  </w:r>
                </w:p>
              </w:tc>
              <w:tc>
                <w:tcPr>
                  <w:tcW w:type="dxa" w:w="104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最高浓度</w:t>
                  </w:r>
                </w:p>
              </w:tc>
              <w:tc>
                <w:tcPr>
                  <w:tcW w:type="dxa" w:w="843"/>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单   位</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COD</w:t>
                  </w:r>
                  <w:r>
                    <w:rPr>
                      <w:rFonts w:ascii="宋体" w:hAnsi="宋体" w:cs="宋体" w:eastAsia="宋体"/>
                      <w:sz w:val="24"/>
                      <w:vertAlign w:val="subscript"/>
                    </w:rPr>
                    <w:t>Cr</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350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BOD</w:t>
                  </w:r>
                  <w:r>
                    <w:rPr>
                      <w:rFonts w:ascii="宋体" w:hAnsi="宋体" w:cs="宋体" w:eastAsia="宋体"/>
                      <w:sz w:val="24"/>
                      <w:vertAlign w:val="subscript"/>
                    </w:rPr>
                    <w:t>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SS</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400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pH</w:t>
                  </w:r>
                  <w:r>
                    <w:rPr>
                      <w:rFonts w:ascii="宋体" w:hAnsi="宋体" w:cs="宋体" w:eastAsia="宋体"/>
                      <w:sz w:val="24"/>
                    </w:rPr>
                    <w:t>值</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r>
                    <w:rPr>
                      <w:rFonts w:ascii="宋体" w:hAnsi="宋体" w:cs="宋体" w:eastAsia="宋体"/>
                      <w:sz w:val="24"/>
                    </w:rPr>
                    <w:t>－9</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无量纲</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氨氮</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总磷</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7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粪大肠菌群</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3.8</w:t>
                  </w:r>
                  <w:r>
                    <w:rPr>
                      <w:rFonts w:ascii="宋体" w:hAnsi="宋体" w:cs="宋体" w:eastAsia="宋体"/>
                      <w:sz w:val="24"/>
                    </w:rPr>
                    <w:t>×10</w:t>
                  </w:r>
                  <w:r>
                    <w:rPr>
                      <w:rFonts w:ascii="宋体" w:hAnsi="宋体" w:cs="宋体" w:eastAsia="宋体"/>
                      <w:sz w:val="24"/>
                      <w:vertAlign w:val="superscript"/>
                    </w:rPr>
                    <w:t>10</w:t>
                  </w:r>
                </w:p>
              </w:tc>
              <w:tc>
                <w:tcPr>
                  <w:tcW w:type="dxa" w:w="843"/>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MPN/L</w:t>
                  </w:r>
                </w:p>
              </w:tc>
            </w:tr>
            <w:tr>
              <w:tc>
                <w:tcPr>
                  <w:tcW w:type="dxa" w:w="670"/>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动植物油</w:t>
                  </w:r>
                </w:p>
              </w:tc>
              <w:tc>
                <w:tcPr>
                  <w:tcW w:type="dxa" w:w="1040"/>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843"/>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bl>
          <w:p>
            <w:pPr>
              <w:pStyle w:val="null3"/>
            </w:pPr>
            <w:r>
              <w:rPr/>
              <w:t xml:space="preserve"> </w:t>
            </w:r>
          </w:p>
          <w:p>
            <w:pPr>
              <w:pStyle w:val="null3"/>
            </w:pPr>
            <w:r>
              <w:rPr/>
              <w:t xml:space="preserve"> </w:t>
            </w:r>
          </w:p>
          <w:p>
            <w:pPr>
              <w:pStyle w:val="null3"/>
            </w:pPr>
            <w:r>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rFonts w:ascii="宋体" w:hAnsi="宋体" w:cs="宋体" w:eastAsia="宋体"/>
                <w:sz w:val="24"/>
                <w:b/>
              </w:rPr>
              <w:t>2</w:t>
            </w:r>
            <w:r>
              <w:rPr>
                <w:rFonts w:ascii="宋体" w:hAnsi="宋体" w:cs="宋体" w:eastAsia="宋体"/>
                <w:sz w:val="24"/>
                <w:b/>
              </w:rPr>
              <w:t>、外排出水主要水质指标</w:t>
            </w:r>
          </w:p>
          <w:tbl>
            <w:tblPr>
              <w:tblInd w:type="dxa" w:w="135"/>
              <w:tblBorders>
                <w:top w:val="none" w:color="000000" w:sz="4"/>
                <w:left w:val="none" w:color="000000" w:sz="4"/>
                <w:bottom w:val="none" w:color="000000" w:sz="4"/>
                <w:right w:val="none" w:color="000000" w:sz="4"/>
                <w:insideH w:val="none"/>
                <w:insideV w:val="none"/>
              </w:tblBorders>
            </w:tblPr>
            <w:tblGrid>
              <w:gridCol w:w="669"/>
              <w:gridCol w:w="1040"/>
              <w:gridCol w:w="842"/>
            </w:tblGrid>
            <w:tr>
              <w:tc>
                <w:tcPr>
                  <w:tcW w:type="dxa" w:w="669"/>
                  <w:tcMar>
                    <w:top w:type="dxa" w:w="0"/>
                    <w:left w:type="dxa" w:w="105"/>
                    <w:bottom w:type="dxa" w:w="0"/>
                    <w:right w:type="dxa" w:w="105"/>
                  </w:tcMar>
                </w:tcPr>
                <w:p>
                  <w:pPr>
                    <w:pStyle w:val="null3"/>
                    <w:jc w:val="center"/>
                  </w:pPr>
                  <w:r>
                    <w:rPr>
                      <w:rFonts w:ascii="宋体" w:hAnsi="宋体" w:cs="宋体" w:eastAsia="宋体"/>
                      <w:sz w:val="24"/>
                    </w:rPr>
                    <w:t>项   目</w:t>
                  </w:r>
                </w:p>
              </w:tc>
              <w:tc>
                <w:tcPr>
                  <w:tcW w:type="dxa" w:w="1040"/>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最高浓度</w:t>
                  </w:r>
                </w:p>
              </w:tc>
              <w:tc>
                <w:tcPr>
                  <w:tcW w:type="dxa" w:w="842"/>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单   位</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COD</w:t>
                  </w:r>
                  <w:r>
                    <w:rPr>
                      <w:rFonts w:ascii="宋体" w:hAnsi="宋体" w:cs="宋体" w:eastAsia="宋体"/>
                      <w:sz w:val="24"/>
                      <w:vertAlign w:val="subscript"/>
                    </w:rPr>
                    <w:t>Cr</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BOD</w:t>
                  </w:r>
                  <w:r>
                    <w:rPr>
                      <w:rFonts w:ascii="宋体" w:hAnsi="宋体" w:cs="宋体" w:eastAsia="宋体"/>
                      <w:sz w:val="24"/>
                      <w:vertAlign w:val="subscript"/>
                    </w:rPr>
                    <w:t>5</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SS</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pH</w:t>
                  </w:r>
                  <w:r>
                    <w:rPr>
                      <w:rFonts w:ascii="宋体" w:hAnsi="宋体" w:cs="宋体" w:eastAsia="宋体"/>
                      <w:sz w:val="24"/>
                    </w:rPr>
                    <w:t>值</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6.5</w:t>
                  </w:r>
                  <w:r>
                    <w:rPr>
                      <w:rFonts w:ascii="宋体" w:hAnsi="宋体" w:cs="宋体" w:eastAsia="宋体"/>
                      <w:sz w:val="24"/>
                    </w:rPr>
                    <w:t>～9</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无量纲</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氨氮</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总磷</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粪大肠菌群</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MPN/L</w:t>
                  </w:r>
                </w:p>
              </w:tc>
            </w:tr>
            <w:tr>
              <w:tc>
                <w:tcPr>
                  <w:tcW w:type="dxa" w:w="669"/>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动植物油</w:t>
                  </w:r>
                </w:p>
              </w:tc>
              <w:tc>
                <w:tcPr>
                  <w:tcW w:type="dxa" w:w="104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669"/>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溶解性总固体</w:t>
                  </w:r>
                </w:p>
              </w:tc>
              <w:tc>
                <w:tcPr>
                  <w:tcW w:type="dxa" w:w="1040"/>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≤1000</w:t>
                  </w:r>
                </w:p>
              </w:tc>
              <w:tc>
                <w:tcPr>
                  <w:tcW w:type="dxa" w:w="8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bl>
          <w:p>
            <w:pPr>
              <w:pStyle w:val="null3"/>
            </w:pPr>
            <w:r>
              <w:rPr/>
              <w:t xml:space="preserve"> </w:t>
            </w:r>
          </w:p>
          <w:p>
            <w:pPr>
              <w:pStyle w:val="null3"/>
            </w:pPr>
            <w:r>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sz w:val="20"/>
                <w:b/>
              </w:rPr>
              <w:t xml:space="preserve"> </w:t>
            </w:r>
          </w:p>
          <w:p>
            <w:pPr>
              <w:pStyle w:val="null3"/>
              <w:jc w:val="both"/>
              <w:outlineLvl w:val="4"/>
            </w:pPr>
            <w:r>
              <w:rPr>
                <w:rFonts w:ascii="宋体" w:hAnsi="宋体" w:cs="宋体" w:eastAsia="宋体"/>
                <w:sz w:val="24"/>
                <w:b/>
              </w:rPr>
              <w:t>3</w:t>
            </w:r>
            <w:r>
              <w:rPr>
                <w:rFonts w:ascii="宋体" w:hAnsi="宋体" w:cs="宋体" w:eastAsia="宋体"/>
                <w:sz w:val="24"/>
                <w:b/>
              </w:rPr>
              <w:t>、回用出水主要水质指标</w:t>
            </w:r>
          </w:p>
          <w:tbl>
            <w:tblPr>
              <w:tblInd w:type="dxa" w:w="135"/>
              <w:tblBorders>
                <w:top w:val="none" w:color="000000" w:sz="4"/>
                <w:left w:val="none" w:color="000000" w:sz="4"/>
                <w:bottom w:val="none" w:color="000000" w:sz="4"/>
                <w:right w:val="none" w:color="000000" w:sz="4"/>
                <w:insideH w:val="none"/>
                <w:insideV w:val="none"/>
              </w:tblBorders>
            </w:tblPr>
            <w:tblGrid>
              <w:gridCol w:w="780"/>
              <w:gridCol w:w="929"/>
              <w:gridCol w:w="842"/>
            </w:tblGrid>
            <w:tr>
              <w:tc>
                <w:tcPr>
                  <w:tcW w:type="dxa" w:w="780"/>
                  <w:tcMar>
                    <w:top w:type="dxa" w:w="0"/>
                    <w:left w:type="dxa" w:w="105"/>
                    <w:bottom w:type="dxa" w:w="0"/>
                    <w:right w:type="dxa" w:w="105"/>
                  </w:tcMar>
                </w:tcPr>
                <w:p>
                  <w:pPr>
                    <w:pStyle w:val="null3"/>
                    <w:jc w:val="center"/>
                  </w:pPr>
                  <w:r>
                    <w:rPr>
                      <w:rFonts w:ascii="宋体" w:hAnsi="宋体" w:cs="宋体" w:eastAsia="宋体"/>
                      <w:sz w:val="24"/>
                    </w:rPr>
                    <w:t>项   目</w:t>
                  </w:r>
                </w:p>
              </w:tc>
              <w:tc>
                <w:tcPr>
                  <w:tcW w:type="dxa" w:w="929"/>
                  <w:tcBorders>
                    <w:top w:val="single" w:color="000000" w:sz="8"/>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最高浓度</w:t>
                  </w:r>
                </w:p>
              </w:tc>
              <w:tc>
                <w:tcPr>
                  <w:tcW w:type="dxa" w:w="842"/>
                  <w:tcBorders>
                    <w:top w:val="single" w:color="000000" w:sz="8"/>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单   位</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BOD</w:t>
                  </w:r>
                  <w:r>
                    <w:rPr>
                      <w:rFonts w:ascii="宋体" w:hAnsi="宋体" w:cs="宋体" w:eastAsia="宋体"/>
                      <w:sz w:val="24"/>
                      <w:vertAlign w:val="subscript"/>
                    </w:rPr>
                    <w:t>5</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色度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度</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pH</w:t>
                  </w:r>
                  <w:r>
                    <w:rPr>
                      <w:rFonts w:ascii="宋体" w:hAnsi="宋体" w:cs="宋体" w:eastAsia="宋体"/>
                      <w:sz w:val="24"/>
                    </w:rPr>
                    <w:t>值</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r>
                    <w:rPr>
                      <w:rFonts w:ascii="宋体" w:hAnsi="宋体" w:cs="宋体" w:eastAsia="宋体"/>
                      <w:sz w:val="24"/>
                    </w:rPr>
                    <w:t>－9</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无量纲</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氨氮</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浊度</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NTU</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溶解性总固体</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≤1000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总大肠菌群</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个/L</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阴离子表面活性剂</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780"/>
                  <w:tcBorders>
                    <w:top w:val="none" w:color="000000" w:sz="4"/>
                    <w:left w:val="single" w:color="000000" w:sz="8"/>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溶解氧</w:t>
                  </w:r>
                </w:p>
              </w:tc>
              <w:tc>
                <w:tcPr>
                  <w:tcW w:type="dxa" w:w="9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842"/>
                  <w:tcBorders>
                    <w:top w:val="none" w:color="000000" w:sz="4"/>
                    <w:left w:val="none" w:color="000000" w:sz="4"/>
                    <w:bottom w:val="single" w:color="000000" w:sz="4"/>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r>
              <w:tc>
                <w:tcPr>
                  <w:tcW w:type="dxa" w:w="780"/>
                  <w:tcBorders>
                    <w:top w:val="none" w:color="000000" w:sz="4"/>
                    <w:left w:val="single" w:color="000000" w:sz="8"/>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总余氯</w:t>
                  </w:r>
                </w:p>
              </w:tc>
              <w:tc>
                <w:tcPr>
                  <w:tcW w:type="dxa" w:w="929"/>
                  <w:tcBorders>
                    <w:top w:val="none" w:color="000000" w:sz="4"/>
                    <w:left w:val="none" w:color="000000" w:sz="4"/>
                    <w:bottom w:val="single" w:color="000000" w:sz="8"/>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接触30min后≥1.0，管网末端≥0.2</w:t>
                  </w:r>
                </w:p>
              </w:tc>
              <w:tc>
                <w:tcPr>
                  <w:tcW w:type="dxa" w:w="842"/>
                  <w:tcBorders>
                    <w:top w:val="none" w:color="000000" w:sz="4"/>
                    <w:left w:val="none" w:color="000000" w:sz="4"/>
                    <w:bottom w:val="single" w:color="000000" w:sz="8"/>
                    <w:right w:val="single" w:color="000000" w:sz="8"/>
                  </w:tcBorders>
                  <w:tcMar>
                    <w:top w:type="dxa" w:w="0"/>
                    <w:left w:type="dxa" w:w="105"/>
                    <w:bottom w:type="dxa" w:w="0"/>
                    <w:right w:type="dxa" w:w="105"/>
                  </w:tcMar>
                </w:tcPr>
                <w:p>
                  <w:pPr>
                    <w:pStyle w:val="null3"/>
                    <w:jc w:val="center"/>
                  </w:pPr>
                  <w:r>
                    <w:rPr>
                      <w:rFonts w:ascii="宋体" w:hAnsi="宋体" w:cs="宋体" w:eastAsia="宋体"/>
                      <w:sz w:val="24"/>
                    </w:rPr>
                    <w:t>mg/L</w:t>
                  </w:r>
                </w:p>
              </w:tc>
            </w:tr>
          </w:tbl>
          <w:p>
            <w:pPr>
              <w:pStyle w:val="null3"/>
            </w:pPr>
            <w:r>
              <w:rPr>
                <w:rFonts w:ascii="宋体" w:hAnsi="宋体" w:cs="宋体" w:eastAsia="宋体"/>
                <w:sz w:val="28"/>
                <w:b/>
              </w:rPr>
              <w:t>（二）水质化验自检标准</w:t>
            </w:r>
          </w:p>
          <w:p>
            <w:pPr>
              <w:pStyle w:val="null3"/>
              <w:ind w:firstLine="560"/>
              <w:jc w:val="both"/>
            </w:pPr>
            <w:r>
              <w:rPr>
                <w:rFonts w:ascii="宋体" w:hAnsi="宋体" w:cs="宋体" w:eastAsia="宋体"/>
                <w:sz w:val="28"/>
              </w:rPr>
              <w:t>日常自检监测指标：出水生化需氧量（BOD</w:t>
            </w:r>
            <w:r>
              <w:rPr>
                <w:rFonts w:ascii="宋体" w:hAnsi="宋体" w:cs="宋体" w:eastAsia="宋体"/>
                <w:sz w:val="28"/>
                <w:vertAlign w:val="subscript"/>
              </w:rPr>
              <w:t>5</w:t>
            </w:r>
            <w:r>
              <w:rPr>
                <w:rFonts w:ascii="宋体" w:hAnsi="宋体" w:cs="宋体" w:eastAsia="宋体"/>
                <w:sz w:val="28"/>
              </w:rPr>
              <w:t>）、化学需氧量（COD</w:t>
            </w:r>
            <w:r>
              <w:rPr>
                <w:rFonts w:ascii="宋体" w:hAnsi="宋体" w:cs="宋体" w:eastAsia="宋体"/>
                <w:sz w:val="28"/>
                <w:vertAlign w:val="subscript"/>
              </w:rPr>
              <w:t>Cr</w:t>
            </w:r>
            <w:r>
              <w:rPr>
                <w:rFonts w:ascii="宋体" w:hAnsi="宋体" w:cs="宋体" w:eastAsia="宋体"/>
                <w:sz w:val="28"/>
              </w:rPr>
              <w:t>）、悬浮物（SS）、溶解性总固体、氨氮（NH</w:t>
            </w:r>
            <w:r>
              <w:rPr>
                <w:rFonts w:ascii="宋体" w:hAnsi="宋体" w:cs="宋体" w:eastAsia="宋体"/>
                <w:sz w:val="28"/>
                <w:vertAlign w:val="subscript"/>
              </w:rPr>
              <w:t>3</w:t>
            </w:r>
            <w:r>
              <w:rPr>
                <w:rFonts w:ascii="宋体" w:hAnsi="宋体" w:cs="宋体" w:eastAsia="宋体"/>
                <w:sz w:val="28"/>
              </w:rPr>
              <w:t>-N）、总磷、PH值、动植物油。（具体按实际检测需求及相关环保要求执行）；</w:t>
            </w:r>
          </w:p>
          <w:p>
            <w:pPr>
              <w:pStyle w:val="null3"/>
              <w:ind w:firstLine="560"/>
              <w:jc w:val="both"/>
            </w:pPr>
            <w:r>
              <w:rPr>
                <w:rFonts w:ascii="宋体" w:hAnsi="宋体" w:cs="宋体" w:eastAsia="宋体"/>
                <w:sz w:val="28"/>
              </w:rPr>
              <w:t>自检频率：不少于每月1次；</w:t>
            </w:r>
          </w:p>
          <w:p>
            <w:pPr>
              <w:pStyle w:val="null3"/>
              <w:ind w:firstLine="560"/>
              <w:jc w:val="both"/>
            </w:pPr>
            <w:r>
              <w:rPr>
                <w:rFonts w:ascii="宋体" w:hAnsi="宋体" w:cs="宋体" w:eastAsia="宋体"/>
                <w:sz w:val="28"/>
              </w:rPr>
              <w:t>自检要求：由具有检测资质（CMA）的第三方现场采样进行，所有检测报告需加盖具备检测资质的第三方单位的检测专用章和公章，并提供原始检测记录。</w:t>
            </w:r>
          </w:p>
          <w:p>
            <w:pPr>
              <w:pStyle w:val="null3"/>
              <w:jc w:val="both"/>
              <w:outlineLvl w:val="3"/>
            </w:pPr>
            <w:r>
              <w:rPr>
                <w:rFonts w:ascii="宋体" w:hAnsi="宋体" w:cs="宋体" w:eastAsia="宋体"/>
                <w:sz w:val="28"/>
                <w:b/>
              </w:rPr>
              <w:t>（三）污泥处理标准</w:t>
            </w:r>
          </w:p>
          <w:p>
            <w:pPr>
              <w:pStyle w:val="null3"/>
              <w:ind w:firstLine="560"/>
              <w:jc w:val="both"/>
            </w:pPr>
            <w:r>
              <w:rPr>
                <w:rFonts w:ascii="宋体" w:hAnsi="宋体" w:cs="宋体" w:eastAsia="宋体"/>
                <w:sz w:val="28"/>
              </w:rPr>
              <w:t>污泥处置要求：产生的污泥须及时外运处理，外运处置需委托具有相关危（固）废处置资质单位进行处理，并提供转运单。</w:t>
            </w:r>
          </w:p>
          <w:p>
            <w:pPr>
              <w:pStyle w:val="null3"/>
              <w:ind w:firstLine="560"/>
              <w:jc w:val="both"/>
            </w:pPr>
            <w:r>
              <w:rPr>
                <w:rFonts w:ascii="宋体" w:hAnsi="宋体" w:cs="宋体" w:eastAsia="宋体"/>
                <w:sz w:val="28"/>
                <w:b/>
              </w:rPr>
              <w:t>（四）主要设备运维标准</w:t>
            </w:r>
          </w:p>
          <w:p>
            <w:pPr>
              <w:pStyle w:val="null3"/>
              <w:ind w:firstLine="560"/>
              <w:jc w:val="both"/>
            </w:pPr>
            <w:r>
              <w:rPr>
                <w:rFonts w:ascii="宋体" w:hAnsi="宋体" w:cs="宋体" w:eastAsia="宋体"/>
                <w:sz w:val="28"/>
              </w:rPr>
              <w:t>1</w:t>
            </w:r>
            <w:r>
              <w:rPr>
                <w:rFonts w:ascii="宋体" w:hAnsi="宋体" w:cs="宋体" w:eastAsia="宋体"/>
                <w:sz w:val="28"/>
              </w:rPr>
              <w:t>、定期清理格栅，防止污染物堵塞格栅，产生污水处理事故。</w:t>
            </w:r>
          </w:p>
          <w:p>
            <w:pPr>
              <w:pStyle w:val="null3"/>
              <w:ind w:firstLine="560"/>
              <w:jc w:val="both"/>
            </w:pPr>
            <w:r>
              <w:rPr>
                <w:rFonts w:ascii="宋体" w:hAnsi="宋体" w:cs="宋体" w:eastAsia="宋体"/>
                <w:sz w:val="28"/>
              </w:rPr>
              <w:t>2</w:t>
            </w:r>
            <w:r>
              <w:rPr>
                <w:rFonts w:ascii="宋体" w:hAnsi="宋体" w:cs="宋体" w:eastAsia="宋体"/>
                <w:sz w:val="28"/>
              </w:rPr>
              <w:t>、提升泵为液位控制保护运行，启动泵运行前须做好检查阀门开关等工作。发生故障时应切换为手动档并及时维修或及时更换提升泵。</w:t>
            </w:r>
          </w:p>
          <w:p>
            <w:pPr>
              <w:pStyle w:val="null3"/>
              <w:ind w:firstLine="560"/>
              <w:jc w:val="both"/>
            </w:pPr>
            <w:r>
              <w:rPr>
                <w:rFonts w:ascii="宋体" w:hAnsi="宋体" w:cs="宋体" w:eastAsia="宋体"/>
                <w:sz w:val="28"/>
              </w:rPr>
              <w:t>3</w:t>
            </w:r>
            <w:r>
              <w:rPr>
                <w:rFonts w:ascii="宋体" w:hAnsi="宋体" w:cs="宋体" w:eastAsia="宋体"/>
                <w:sz w:val="28"/>
              </w:rPr>
              <w:t>、生化池通过微生物的新陈代谢来去除污水中的污染物质，曝气风机应切换使用，出现故障时应将风机及时维修或更换。</w:t>
            </w:r>
          </w:p>
          <w:p>
            <w:pPr>
              <w:pStyle w:val="null3"/>
              <w:ind w:firstLine="560"/>
              <w:jc w:val="both"/>
            </w:pPr>
            <w:r>
              <w:rPr>
                <w:rFonts w:ascii="宋体" w:hAnsi="宋体" w:cs="宋体" w:eastAsia="宋体"/>
                <w:sz w:val="28"/>
              </w:rPr>
              <w:t>4</w:t>
            </w:r>
            <w:r>
              <w:rPr>
                <w:rFonts w:ascii="宋体" w:hAnsi="宋体" w:cs="宋体" w:eastAsia="宋体"/>
                <w:sz w:val="28"/>
              </w:rPr>
              <w:t>、生化池曝气</w:t>
            </w:r>
          </w:p>
          <w:p>
            <w:pPr>
              <w:pStyle w:val="null3"/>
              <w:ind w:firstLine="560"/>
              <w:jc w:val="both"/>
            </w:pPr>
            <w:r>
              <w:rPr>
                <w:rFonts w:ascii="宋体" w:hAnsi="宋体" w:cs="宋体" w:eastAsia="宋体"/>
                <w:sz w:val="28"/>
              </w:rPr>
              <w:t>生化处理应经常查看生化池曝气状况是否良好：液面翻腾是否均匀，有无成团气泡上升，泡沫多少，是否呈新鲜乳白色。调整各生化池曝气管上阀门的开度，以调整各曝气池的曝气量，使每个生化池的曝气状况均匀一致。</w:t>
            </w:r>
          </w:p>
          <w:p>
            <w:pPr>
              <w:pStyle w:val="null3"/>
              <w:ind w:firstLine="560"/>
              <w:jc w:val="both"/>
            </w:pPr>
            <w:r>
              <w:rPr>
                <w:rFonts w:ascii="宋体" w:hAnsi="宋体" w:cs="宋体" w:eastAsia="宋体"/>
                <w:sz w:val="28"/>
              </w:rPr>
              <w:t>5</w:t>
            </w:r>
            <w:r>
              <w:rPr>
                <w:rFonts w:ascii="宋体" w:hAnsi="宋体" w:cs="宋体" w:eastAsia="宋体"/>
                <w:sz w:val="28"/>
              </w:rPr>
              <w:t>、每个假期对污水工艺池进行检查清洗，填料补充更新，损坏曝气头的更换。每天对各个设备进行点检，每周对所有设备进行维护保养一次，每半年对各设备更换易损件。</w:t>
            </w:r>
          </w:p>
          <w:p>
            <w:pPr>
              <w:pStyle w:val="null3"/>
            </w:pPr>
            <w:r>
              <w:rPr>
                <w:rFonts w:ascii="宋体" w:hAnsi="宋体" w:cs="宋体" w:eastAsia="宋体"/>
                <w:sz w:val="24"/>
                <w:b/>
              </w:rPr>
              <w:t>二、</w:t>
            </w:r>
            <w:r>
              <w:rPr>
                <w:rFonts w:ascii="宋体" w:hAnsi="宋体" w:cs="宋体" w:eastAsia="宋体"/>
                <w:sz w:val="28"/>
                <w:b/>
              </w:rPr>
              <w:t>服务人员数量及组成</w:t>
            </w:r>
          </w:p>
          <w:p>
            <w:pPr>
              <w:pStyle w:val="null3"/>
              <w:ind w:firstLine="560"/>
            </w:pPr>
            <w:r>
              <w:rPr>
                <w:rFonts w:ascii="宋体" w:hAnsi="宋体" w:cs="宋体" w:eastAsia="宋体"/>
                <w:sz w:val="28"/>
              </w:rPr>
              <w:t xml:space="preserve">须配置项目负责人、技术负责人，其中项目负责人须具有环境工程相关专业中级或以上职称，以上人员须在岗在位；站区要求24小时有人值守，每班操作人员不得少于2人，现有站区人员应无条件全部予以接收，可根据工作情况后续进行调整。    </w:t>
            </w:r>
            <w:r>
              <w:br/>
            </w:r>
            <w:r>
              <w:rPr>
                <w:rFonts w:ascii="&quot;copperplate gothic bold&quot;, &quot;sans-serif&quot;" w:hAnsi="&quot;copperplate gothic bold&quot;, &quot;sans-serif&quot;" w:cs="&quot;copperplate gothic bold&quot;, &quot;sans-serif&quot;" w:eastAsia="&quot;copperplate gothic bold&quot;, &quot;sans-serif&quot;"/>
                <w:sz w:val="28"/>
              </w:rPr>
              <w:t xml:space="preserve"> 三、服务内容</w:t>
            </w:r>
          </w:p>
          <w:tbl>
            <w:tblPr>
              <w:tblBorders>
                <w:top w:val="none" w:color="000000" w:sz="4"/>
                <w:left w:val="none" w:color="000000" w:sz="4"/>
                <w:bottom w:val="none" w:color="000000" w:sz="4"/>
                <w:right w:val="none" w:color="000000" w:sz="4"/>
                <w:insideH w:val="none"/>
                <w:insideV w:val="none"/>
              </w:tblBorders>
            </w:tblPr>
            <w:tblGrid>
              <w:gridCol w:w="287"/>
              <w:gridCol w:w="2001"/>
              <w:gridCol w:w="265"/>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序号</w:t>
                  </w:r>
                </w:p>
              </w:tc>
              <w:tc>
                <w:tcPr>
                  <w:tcW w:type="dxa" w:w="200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服务内容</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b/>
                    </w:rPr>
                    <w:t>备注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负责西安医学院污水站的系统日常运行、管理、维护、维修、检测等工作，并符合国家相关标准，因设备老化故障无法继续使用需更新设备，并承担相关费用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协助校方到相关管理部门办理审批工作、配合校方完成环保平台相关数据的填报，提供的数据须真实准确</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负责污水站原料搬运、储存、使用中的安全及设备的运行操作安全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负责污泥及栅渣的清理处理</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负责站内安全管理工作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负责校方交办的其他工作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quot;copperplate gothic bold&quot;, &quot;sans-serif&quot;" w:hAnsi="&quot;copperplate gothic bold&quot;, &quot;sans-serif&quot;" w:cs="&quot;copperplate gothic bold&quot;, &quot;sans-serif&quot;" w:eastAsia="&quot;copperplate gothic bold&quot;, &quot;sans-serif&quot;"/>
                <w:sz w:val="28"/>
              </w:rPr>
              <w:t>四、管理要求</w:t>
            </w:r>
          </w:p>
          <w:tbl>
            <w:tblPr>
              <w:tblBorders>
                <w:top w:val="none" w:color="000000" w:sz="4"/>
                <w:left w:val="none" w:color="000000" w:sz="4"/>
                <w:bottom w:val="none" w:color="000000" w:sz="4"/>
                <w:right w:val="none" w:color="000000" w:sz="4"/>
                <w:insideH w:val="none"/>
                <w:insideV w:val="none"/>
              </w:tblBorders>
            </w:tblPr>
            <w:tblGrid>
              <w:gridCol w:w="287"/>
              <w:gridCol w:w="2001"/>
              <w:gridCol w:w="265"/>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序号</w:t>
                  </w:r>
                </w:p>
              </w:tc>
              <w:tc>
                <w:tcPr>
                  <w:tcW w:type="dxa" w:w="20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管理要求</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rPr>
                    <w:t>备注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站内设备所有权归学校所有，确保生产污水经过治理后的各项指标达到标准，如遇标准更新必须以更新后标准为准。运营期间做好节电节水管控</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运行、维修保养、人事培训、安全、工艺控制、监测数据、材料等以及所有其他重要事件提供完整的记录</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3</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确保根据国家和地方政府颁布的规章制度要求进行采样、分析、完成报告，并为采样、测试、分析提供质量控制、质量保证</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4</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确保提供管理和技术支持服务，确保污水处理站处理系统有效运行</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5</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确保建立完善的操作规程，建立紧急应急预案机制</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6</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污水站栅渣、污泥、垃圾的清理，并做好记录</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7</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建立监测报告制度：污水处理站的运行日志、监测记录、维修记录、固体废弃物处理台帐、污水排放记录表等必须详实纪录（包括电子记录、纸质记录）并妥善保存，当合同期满后，完整移交给校方</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8</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在管理期内，配合校方做好上级部门的监督检查及办理环保相关业务工作，并承担检查结果所造成的一切后果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9</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建立维修维护保养制度，有计划性的进行维护保养，保障污水处理站设施设备正常运行、保持良好的处理效果</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10</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负责提供污水处理站运营所需的药剂，并承担相关费用</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11</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在运营期内所发生的运营方责任事故（含设备损坏、环境污染、人身伤害等）由运营方全部负责处理和赔偿</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12</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运营方对设备维护保养不到位而导致设备损坏损失重大，采购方有权解除合同并终止余款支付</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13</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在运营期内由于管理不当造成污水排放不合格，给采购方带来一切损失由运营方承担</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14</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在运营期内遇到政府各职能部门检查或检测污水排放不达标所产生的罚款由运营方承担</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15</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爱护站内构筑物，人为造成损坏需修复</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宋体" w:hAnsi="宋体" w:cs="宋体" w:eastAsia="宋体"/>
                      <w:sz w:val="24"/>
                    </w:rPr>
                    <w:t>16</w:t>
                  </w:r>
                </w:p>
              </w:tc>
              <w:tc>
                <w:tcPr>
                  <w:tcW w:type="dxa" w:w="20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日常应急性设备故障，在2小时内完成；如果需外出采购，在36小时内完成；如果需外协加工，在48小时内完成。一般的电气故障，如接触不良、开关按钮失灵等，在2小时内完成修复；中型的电气故障，如电机损坏等，在48小时内修复；大型的电气故障，做到在一周内修复。出现其它问题或突发情况时，应30分钟内做出反应，4小时提供解决方案，6小时解决问题或有效控制突发情况</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bl>
    <w:p>
      <w:pPr>
        <w:pStyle w:val="null3"/>
        <w:outlineLvl w:val="2"/>
      </w:pPr>
      <w:r>
        <w:rPr>
          <w:sz w:val="28"/>
          <w:b/>
        </w:rPr>
        <w:t>3.2.3人员配置要求</w:t>
      </w:r>
    </w:p>
    <w:p>
      <w:pPr>
        <w:pStyle w:val="null3"/>
      </w:pPr>
      <w:r>
        <w:rPr/>
        <w:t>采购包1：</w:t>
      </w:r>
    </w:p>
    <w:p>
      <w:pPr>
        <w:pStyle w:val="null3"/>
      </w:pPr>
      <w:r>
        <w:rPr/>
        <w:t>须配置项目负责人、技术负责人，其中项目负责人须具有环境工程相关专业中级或以上职称，以上人员须在岗在位；站区要求24小时有人值守，每班操作人员不得少于2人，现有站区人员应无条件全部予以接收，可根据工作情况后续进行调整。</w:t>
      </w:r>
    </w:p>
    <w:p>
      <w:pPr>
        <w:pStyle w:val="null3"/>
        <w:outlineLvl w:val="2"/>
      </w:pPr>
      <w:r>
        <w:rPr>
          <w:sz w:val="28"/>
          <w:b/>
        </w:rPr>
        <w:t>3.2.4设施设备要求</w:t>
      </w:r>
    </w:p>
    <w:p>
      <w:pPr>
        <w:pStyle w:val="null3"/>
      </w:pPr>
      <w:r>
        <w:rPr/>
        <w:t>采购包1：</w:t>
      </w:r>
    </w:p>
    <w:p>
      <w:pPr>
        <w:pStyle w:val="null3"/>
      </w:pPr>
      <w:r>
        <w:rPr/>
        <w:t>详见技术参数</w:t>
      </w:r>
    </w:p>
    <w:p>
      <w:pPr>
        <w:pStyle w:val="null3"/>
        <w:outlineLvl w:val="2"/>
      </w:pPr>
      <w:r>
        <w:rPr>
          <w:sz w:val="28"/>
          <w:b/>
        </w:rPr>
        <w:t>3.2.5其他要求</w:t>
      </w:r>
    </w:p>
    <w:p>
      <w:pPr>
        <w:pStyle w:val="null3"/>
      </w:pPr>
      <w:r>
        <w:rPr/>
        <w:t>采购包1：</w:t>
      </w:r>
    </w:p>
    <w:p>
      <w:pPr>
        <w:pStyle w:val="null3"/>
      </w:pPr>
      <w:r>
        <w:rPr/>
        <w:t>详见技术参数</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本项目服务期限2年，合同1年1签，1年后考核80分以上，可续签第二年合同。合同自签订之日起1年。考核表详见附件。</w:t>
      </w:r>
    </w:p>
    <w:p>
      <w:pPr>
        <w:pStyle w:val="null3"/>
        <w:outlineLvl w:val="3"/>
      </w:pPr>
      <w:r>
        <w:rPr>
          <w:sz w:val="24"/>
          <w:b/>
        </w:rPr>
        <w:t>3.3.2服务地点</w:t>
      </w:r>
    </w:p>
    <w:p>
      <w:pPr>
        <w:pStyle w:val="null3"/>
      </w:pPr>
      <w:r>
        <w:rPr/>
        <w:t>采购包1：</w:t>
      </w:r>
    </w:p>
    <w:p>
      <w:pPr>
        <w:pStyle w:val="null3"/>
      </w:pPr>
      <w:r>
        <w:rPr/>
        <w:t>西安医学院未央校区污水处理站</w:t>
      </w:r>
    </w:p>
    <w:p>
      <w:pPr>
        <w:pStyle w:val="null3"/>
        <w:outlineLvl w:val="3"/>
      </w:pPr>
      <w:r>
        <w:rPr>
          <w:sz w:val="24"/>
          <w:b/>
        </w:rPr>
        <w:t>3.3.3考核（验收）标准和方法</w:t>
      </w:r>
    </w:p>
    <w:p>
      <w:pPr>
        <w:pStyle w:val="null3"/>
      </w:pPr>
      <w:r>
        <w:rPr/>
        <w:t>采购包1：</w:t>
      </w:r>
    </w:p>
    <w:p>
      <w:pPr>
        <w:pStyle w:val="null3"/>
      </w:pPr>
      <w:r>
        <w:rPr/>
        <w:t>按照要求定期对水质进行化验，每月按时上报采购方由污水检测资质的单位出具的污水处理站水质检测报告，做到达标排放。（执行标准：《污水综合排放标准》（GB8978-1996）一级排放标准、《污水排入城镇下水道水质标准》（GB/T31962-2015）C级标准及《医疗机构水污染物排放标准》（GB18466-2005）中表2排放标准） 确保系统污水100%达标处理，不得对周边区域造成环境影响。 本项目外包服务年限为两年，合同期壹年，经验收考核达到良好或以上标准，经双方协商可续签壹年。</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合同期内每半年支付一次，支付金额为中标价的50%。</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合同期内每半年支付一次，支付金额为中标价的50%。</w:t>
      </w:r>
      <w:r>
        <w:rPr/>
        <w:t xml:space="preserve"> ，达到付款条件起 </w:t>
      </w:r>
      <w:r>
        <w:rPr/>
        <w:t>30</w:t>
      </w:r>
      <w:r>
        <w:rPr/>
        <w:t xml:space="preserve"> 日内，支付合同总金额的 </w:t>
      </w:r>
      <w:r>
        <w:rPr/>
        <w:t>50.00</w:t>
      </w:r>
      <w:r>
        <w:rPr/>
        <w:t>%。</w:t>
      </w:r>
    </w:p>
    <w:p>
      <w:pPr>
        <w:pStyle w:val="null3"/>
        <w:outlineLvl w:val="3"/>
      </w:pPr>
      <w:r>
        <w:rPr>
          <w:sz w:val="24"/>
          <w:b/>
        </w:rPr>
        <w:t>3.3.6违约责任及解决争议的方法</w:t>
      </w:r>
    </w:p>
    <w:p>
      <w:pPr>
        <w:pStyle w:val="null3"/>
      </w:pPr>
      <w:r>
        <w:rPr/>
        <w:t>采购包1：</w:t>
      </w:r>
    </w:p>
    <w:p>
      <w:pPr>
        <w:pStyle w:val="null3"/>
      </w:pPr>
      <w:r>
        <w:rPr/>
        <w:t>违约责任： 1. 如果供应商未按照政府采购合同规定的要求提供服务；或供应商未能履行政府采购合同 规定的任何其它义务时，采购人有权向供应商发出违约通知书，供应商应按照采购人选择的下列一种或多种方式承担赔偿责任： 1.1 在采购人同意延长的期限内提供服务并承担由此给采购人造成的一切损失； 1.2 在采购人规定的时间内，用符合政府采购合同规定的服务以达到政府采购合同规定 的要求，供应商应承担由此发生的一切费用和风险。此时，相关服务的期限也应相应延长； 1.3 采购人有权部分或全部解除政府采购合同并要求供应商赔偿由此造成的损失。此时需 方可采取必要的补救措施，相关费用由供应商承担。 2. 如果供应商在收到采购人的违约通知书后 10 日内未作答复也没有按照采购人选择的方式 承担违约责任，则采购人有权从履约保证金（如有）、尚未支付的政府采购合同价款中扣回索 赔金额。如果这些金额不足以补偿，采购人有权向供应商提出不足部分的赔偿要求。 3. 延期服务的违约责任 3.1如果供应商没有按照政府采购合同规定的时间提供服务，采购人可要求供应商支付违约金。违约金按照每周未提供服务费用的 0.5%计收，但违约金 的最高限额为未提供服务的合同价格的 5%。一周按 7 天计算，不足 7 天按一周计算。如果 达到最高限额，采购人有权解除政府采购合同。 4. 以上各项交付的违约金并不影响违约方履行政府采购合同的各项义务。 解决争议的方法： 1. 对本协议有关的任何争议，双方应友好协商解决。 2. 争议未能解决的，可以通过向地区法院诉讼解决。</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中小企业声明函 残疾人福利性单位声明函 供应商应提交的相关资格证明材料 响应函 监狱企业的证明文件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响应文件封面 中小企业声明函 残疾人福利性单位声明函 商务应答表 供应商应提交的相关资格证明材料 响应函 监狱企业的证明文件</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法定代表人授权书及被授权人身份证</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具有独立承担民事责任的能力</w:t>
            </w:r>
          </w:p>
        </w:tc>
        <w:tc>
          <w:tcPr>
            <w:tcW w:type="dxa" w:w="3322"/>
          </w:tcPr>
          <w:p>
            <w:pPr>
              <w:pStyle w:val="null3"/>
            </w:pPr>
            <w:r>
              <w:rPr/>
              <w:t>提供有效的营业执照副本、组织机构代码证、税务登记证（国、地税）（已办理三证合一或五证合一的只需提供营业执照副本）（复印件加盖公章）。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具有良好的商业信誉和健全的财务会计制度</w:t>
            </w:r>
          </w:p>
        </w:tc>
        <w:tc>
          <w:tcPr>
            <w:tcW w:type="dxa" w:w="3322"/>
          </w:tcPr>
          <w:p>
            <w:pPr>
              <w:pStyle w:val="null3"/>
            </w:pPr>
            <w:r>
              <w:rPr/>
              <w:t>供应商需提供完整的2023年度财务审计报告（新成立的公司除外）或开标前三个月开户银行出具的资信证明。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提供在职人员2024年1月1日至今任意一个月公司正常缴纳社保的证明材料（社保中心出具的在职人员缴费情况或者职工基本养老保险个人账户付款凭证）（复印件加盖公章）。</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提供2024年1月1日至今任意一个月的纳税证明或完税证明；依法免税的单位应提供相关证明材料。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参加政府采购活动前三年内，在经营活动中没有重大违法记录的书面声明（加盖公章）。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供应商应具备建设行政主管部门核发的环保工程专业承包三级以上（含三级）资质。</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服务方案</w:t>
            </w:r>
          </w:p>
        </w:tc>
        <w:tc>
          <w:tcPr>
            <w:tcW w:type="dxa" w:w="2492"/>
          </w:tcPr>
          <w:p>
            <w:pPr>
              <w:pStyle w:val="null3"/>
            </w:pPr>
            <w:r>
              <w:rPr/>
              <w:t>1.完全满足或优于磋商文件运营维保要求，有详细的维保制度、维保计划、操作规程，针对学校污水处理使用规律操作性强、安全度高的计6-10分； 2.满足磋商文件维保要求，无缺项漏项，有基本的运营维保制度、维保计划、操作规程的计3-5分； 3.不能完全满足竞争性磋商文件维保要求；存在缺项漏项，无基本的维保制度、维保计划、操作规程或不完整的计0-2分。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管理及人员配置</w:t>
            </w:r>
          </w:p>
        </w:tc>
        <w:tc>
          <w:tcPr>
            <w:tcW w:type="dxa" w:w="2492"/>
          </w:tcPr>
          <w:p>
            <w:pPr>
              <w:pStyle w:val="null3"/>
            </w:pPr>
            <w:r>
              <w:rPr/>
              <w:t>针对本项目配备维保及服务人员团队，包括但不限于维保人员、驻点服务人员等，所有人员需持证上岗，提供从业人员资格证书。（证书复印件加盖公章、相关平台可查） 1.根据所配备服务人员是否充足，团队技术能力是否优秀，具有明确的职责划分，是否能完全满足采购人需求计0-10分； 2.供应商所配备的项目组人员具有机电安装建造师（二级及以上）≥2人，提供2人以上资质证书得5分，缺1人或未提供的不得分； 3.供应商委派现场运行人员具有环保工程师（初级及以上）人员，每提供1人资质证书得1分，满分为5分。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质量保证</w:t>
            </w:r>
          </w:p>
        </w:tc>
        <w:tc>
          <w:tcPr>
            <w:tcW w:type="dxa" w:w="2492"/>
          </w:tcPr>
          <w:p>
            <w:pPr>
              <w:pStyle w:val="null3"/>
            </w:pPr>
            <w:r>
              <w:rPr/>
              <w:t>供应商应根据污水处理站的运行实际情况，提供合理的托管运行制度，充分考虑托管运行风险，制定合理可行的质量保障措施。 1.根据实施计划是否措施得当、科学合理、完整、是否完全满足服务需求计0-5分； 2.对供应商服务过程中的质量、进度、安全、节能、维修响应时间、以及由于供应商自身原因造成损坏的赔偿承诺，进行综合赋分，按其响应程度计0-5分。 维护保养的安全作业措施及方案、文明作业措施及方案、拟投入本项目的设备，工具仪器及检测设备的配备情况等。根据方案及所配备的维保工具。仪器及检测设备，综合赋分： 1.设备配备齐全、功能、方案完全满足本项目维保需要的计7-10分； 2.设备配备基本齐全、功能、方案基本能满足本项目维保需要的计4-6分； 3.设备配备不全、功能、方案不能满足本项目维保需要的计0-3分。</w:t>
            </w:r>
          </w:p>
        </w:tc>
        <w:tc>
          <w:tcPr>
            <w:tcW w:type="dxa" w:w="831"/>
          </w:tcPr>
          <w:p>
            <w:pPr>
              <w:pStyle w:val="null3"/>
              <w:jc w:val="right"/>
            </w:pPr>
            <w:r>
              <w:rPr/>
              <w:t>20.0000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设备运行、检验、发生故障后的补救措施及后期维护等方面，有明确的承诺，且提供具体、切实可行的售后服务计划，按售后服务计划的优劣进行横向比较。 1. 售后服务承诺及保证措施详细、具体，售后服务计划全面计10-15分； 2. 售后服务承诺及措施基本完整，售后服务计划基本明确计5-10分； 3. 不满足基础要求或者未提供售后服务计划的，计0-5分。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提供自2021年1月1日至今环保类（水处理）项目业绩，投标文件中需提供其合同关键页，以合同签订日期为准。每提供一个计1分，满分5分。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超出采购限额的报价按无效报价处理计零分，在预算限额之内满足招标文件要求且投标价格最低的投标报价为评标基准价，其价格分为满分。高于评标基准价的投标供应商的价格分按照下列公式计算：投标报价得分=（评标基准价/投标报价）×价格权值×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详见附件：合同模版.docx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