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pacing w:beforeAutospacing="0" w:afterAutospacing="0" w:line="360" w:lineRule="auto"/>
        <w:jc w:val="center"/>
        <w:rPr>
          <w:rFonts w:hint="eastAsia" w:ascii="宋体" w:hAnsi="宋体" w:cs="宋体"/>
          <w:b/>
          <w:bCs/>
          <w:color w:val="333333"/>
          <w:sz w:val="28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333333"/>
          <w:sz w:val="28"/>
          <w:szCs w:val="21"/>
          <w:highlight w:val="none"/>
          <w:lang w:val="en-US" w:eastAsia="zh-CN"/>
        </w:rPr>
        <w:t>技术及商务履约验收考核标准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pacing w:beforeAutospacing="0" w:afterAutospacing="0" w:line="360" w:lineRule="auto"/>
        <w:jc w:val="both"/>
        <w:rPr>
          <w:rFonts w:hint="eastAsia" w:ascii="仿宋" w:hAnsi="仿宋" w:eastAsia="仿宋" w:cs="仿宋"/>
          <w:b/>
          <w:bCs/>
          <w:i/>
          <w:iCs/>
          <w:color w:val="7F7F7F" w:themeColor="background1" w:themeShade="80"/>
          <w:sz w:val="24"/>
          <w:highlight w:val="none"/>
          <w:u w:val="single" w:color="000000" w:themeColor="text1"/>
          <w:lang w:val="en-US" w:eastAsia="zh-CN"/>
        </w:rPr>
      </w:pPr>
      <w:r>
        <w:rPr>
          <w:rFonts w:hint="eastAsia" w:ascii="宋体" w:hAnsi="宋体" w:cs="宋体"/>
          <w:b/>
          <w:bCs/>
          <w:color w:val="333333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333333"/>
          <w:highlight w:val="none"/>
        </w:rPr>
        <w:t>技术履约验收内容</w:t>
      </w:r>
      <w:r>
        <w:rPr>
          <w:rFonts w:hint="eastAsia" w:ascii="宋体" w:hAnsi="宋体" w:cs="宋体"/>
          <w:b/>
          <w:bCs/>
          <w:color w:val="333333"/>
          <w:highlight w:val="none"/>
          <w:lang w:val="en-US" w:eastAsia="zh-CN"/>
        </w:rPr>
        <w:t>及标准</w:t>
      </w:r>
      <w:r>
        <w:rPr>
          <w:rFonts w:hint="eastAsia" w:ascii="宋体" w:hAnsi="宋体" w:eastAsia="宋体" w:cs="宋体"/>
          <w:b/>
          <w:bCs/>
          <w:color w:val="333333"/>
          <w:highlight w:val="none"/>
        </w:rPr>
        <w:t>：</w:t>
      </w:r>
    </w:p>
    <w:tbl>
      <w:tblPr>
        <w:tblStyle w:val="4"/>
        <w:tblW w:w="89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1472"/>
        <w:gridCol w:w="5950"/>
        <w:gridCol w:w="7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验收内容</w:t>
            </w:r>
          </w:p>
        </w:tc>
        <w:tc>
          <w:tcPr>
            <w:tcW w:w="595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异常处理</w:t>
            </w: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发生异常情况时（如停电、雨季，系统异常等）能及时查明原因，并采取应对措施，确保污水站设施、设备安全可靠，确保达标排放。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管理台账</w:t>
            </w: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认真做好运行记录和各项参数数据统计（设备运行记录、加药记录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、污泥外运记录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，主要参数控制记录、交接班记录等）各类报表按时填写，准确无误、字迹清晰并妥善保管。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水质达标排放</w:t>
            </w: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生产过程中设施设备处于最优状态，做到达标排放。（执行标准：《污水综合排放标准》（GB8978-1996）一级排放标准、《污水排入城镇下水道水质标准》（GB/T31962-2015）C级标准及《医疗机构水污染物排放标准》（GB18466-2005）中表2排放标准）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确保系统污水100%达标处理，不得对周边区域造成环境影响。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7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水质化验</w:t>
            </w: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按照要求定期对水质进行化验，并按期提交检测报告（月）检测做好规范、完整、真实。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76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7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设备维护、保养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设备整洁，结构完整无缺件，计量仪表灵敏可靠。机械设备润滑良好，无异响，设备运行稳定正常。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建立完整的设备单机档案资料，应包括保养、维修、故障、更新、报废等记录。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76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50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根据设备使用情况，确保有相应的备品、备件及建立备件管理制度。制定合理的设备月度、年度检修计划。</w:t>
            </w:r>
          </w:p>
        </w:tc>
        <w:tc>
          <w:tcPr>
            <w:tcW w:w="74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numPr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333333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color w:val="333333"/>
          <w:highlight w:val="none"/>
        </w:rPr>
        <w:t>商务履约验收内容</w:t>
      </w:r>
      <w:r>
        <w:rPr>
          <w:rFonts w:hint="eastAsia" w:ascii="宋体" w:hAnsi="宋体" w:eastAsia="宋体" w:cs="宋体"/>
          <w:b/>
          <w:bCs/>
          <w:color w:val="333333"/>
          <w:highlight w:val="none"/>
          <w:lang w:val="en-US" w:eastAsia="zh-CN"/>
        </w:rPr>
        <w:t>及标准</w:t>
      </w:r>
      <w:r>
        <w:rPr>
          <w:rFonts w:hint="eastAsia" w:ascii="宋体" w:hAnsi="宋体" w:eastAsia="宋体" w:cs="宋体"/>
          <w:b/>
          <w:bCs/>
          <w:color w:val="333333"/>
          <w:highlight w:val="none"/>
        </w:rPr>
        <w:t>：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7"/>
        <w:gridCol w:w="1469"/>
        <w:gridCol w:w="5939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验收内容</w:t>
            </w:r>
          </w:p>
        </w:tc>
        <w:tc>
          <w:tcPr>
            <w:tcW w:w="59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考核内容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安全培训</w:t>
            </w: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培训资料齐全（培训大纲、培训内容、学习记录、考核答卷）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岗位责任制学习，操作规程，作业规程学习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污水站按要求设置各类警示标志、标识。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积极参与校方组织的各类安全培训，应急演练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4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现场管理</w:t>
            </w: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化验区域、操作区域、设备机房等为重点位置严禁吸烟、无垃圾堆放，照明设施完整。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76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门、窗、玻璃明亮无破损，墙壁无乱涂画，整洁，用品、工具排放整齐有序、设施、设备保持清洁，及时处理跑冒滴漏堵等问题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67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协助校方做好对外迎接检查工作，及时提供各类数据。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76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制度完善</w:t>
            </w: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建立完善工艺管理制度，制定严格的岗位责任制（设备保养制度、交接班制度、安全操作制度）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6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6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遵守学校及污水站的管理制度，严格执行操作规程。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76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6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岗位要求</w:t>
            </w:r>
          </w:p>
        </w:tc>
        <w:tc>
          <w:tcPr>
            <w:tcW w:w="593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各岗位操作人员应经过专业培训，了解处理工艺，熟悉本岗位设施、设备的运行要求和技术指标，并熟练掌握本岗位工作技能。 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</w:tr>
    </w:tbl>
    <w:p>
      <w:pPr>
        <w:rPr>
          <w:b/>
          <w:bCs/>
          <w:u w:val="none"/>
        </w:rPr>
      </w:pPr>
      <w:r>
        <w:rPr>
          <w:rFonts w:hint="eastAsia" w:ascii="宋体" w:hAnsi="宋体" w:eastAsia="宋体" w:cs="宋体"/>
          <w:b/>
          <w:bCs/>
          <w:color w:val="333333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val="en-US" w:eastAsia="zh-CN"/>
        </w:rPr>
        <w:t>运营期内无重大事故，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  <w:lang w:eastAsia="zh-CN"/>
        </w:rPr>
        <w:t>商务及技术履约验收合计</w:t>
      </w:r>
      <w:r>
        <w:rPr>
          <w:rFonts w:hint="eastAsia" w:ascii="宋体" w:hAnsi="宋体" w:eastAsia="宋体" w:cs="宋体"/>
          <w:b/>
          <w:bCs/>
          <w:sz w:val="21"/>
          <w:szCs w:val="21"/>
          <w:u w:val="none"/>
        </w:rPr>
        <w:t>90分以上为优秀，80分以上为良好，低于80分为不合格。</w:t>
      </w:r>
      <w:r>
        <w:rPr>
          <w:rFonts w:hint="eastAsia" w:ascii="宋体" w:hAnsi="宋体" w:eastAsia="宋体" w:cs="宋体"/>
          <w:b/>
          <w:bCs/>
          <w:color w:val="333333"/>
          <w:u w:val="none"/>
          <w:lang w:val="en-US" w:eastAsia="zh-CN"/>
        </w:rPr>
        <w:t xml:space="preserve">                                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u w:val="none"/>
          <w:lang w:val="en-US" w:eastAsia="zh-CN"/>
        </w:rPr>
        <w:t xml:space="preserve">   </w:t>
      </w:r>
      <w:r>
        <w:rPr>
          <w:rFonts w:hint="eastAsia" w:ascii="宋体" w:hAnsi="宋体" w:cs="宋体"/>
          <w:b/>
          <w:bCs/>
          <w:color w:val="333333"/>
          <w:u w:val="none"/>
          <w:lang w:val="en-US" w:eastAsia="zh-CN"/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6E743745"/>
    <w:rsid w:val="6E743745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2024-06-25T08:09:00Z</dcterms:created>
  <dc:creator>Astronaut</dc:creator>
  <cp:lastModifiedBy>Astronaut</cp:lastModifiedBy>
  <dcterms:modified xsi:type="dcterms:W3CDTF">2024-06-25T08:10:58Z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6006C03B0A45409FBDA6B3553FC72128_11</vt:lpwstr>
  </property>
</Properties>
</file>