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379"/>
          <w:tab w:val="center" w:pos="4218"/>
          <w:tab w:val="left" w:pos="5670"/>
        </w:tabs>
        <w:autoSpaceDE w:val="0"/>
        <w:autoSpaceDN w:val="0"/>
        <w:adjustRightInd w:val="0"/>
        <w:snapToGrid w:val="0"/>
        <w:spacing w:line="360" w:lineRule="auto"/>
        <w:jc w:val="center"/>
        <w:rPr>
          <w:rFonts w:hint="eastAsia" w:ascii="宋体" w:hAnsi="宋体"/>
          <w:b/>
          <w:bCs/>
          <w:color w:val="000000" w:themeColor="text1"/>
          <w:sz w:val="48"/>
          <w:szCs w:val="48"/>
          <w:lang w:val="zh-CN"/>
          <w14:textFill>
            <w14:solidFill>
              <w14:schemeClr w14:val="tx1"/>
            </w14:solidFill>
          </w14:textFill>
        </w:rPr>
      </w:pPr>
    </w:p>
    <w:p>
      <w:pPr>
        <w:tabs>
          <w:tab w:val="left" w:pos="2379"/>
          <w:tab w:val="center" w:pos="4218"/>
          <w:tab w:val="left" w:pos="5670"/>
        </w:tabs>
        <w:autoSpaceDE w:val="0"/>
        <w:autoSpaceDN w:val="0"/>
        <w:adjustRightInd w:val="0"/>
        <w:snapToGrid w:val="0"/>
        <w:spacing w:line="360" w:lineRule="auto"/>
        <w:jc w:val="center"/>
        <w:rPr>
          <w:rFonts w:hint="eastAsia" w:ascii="宋体" w:hAnsi="宋体"/>
          <w:b/>
          <w:bCs/>
          <w:color w:val="000000" w:themeColor="text1"/>
          <w:sz w:val="48"/>
          <w:szCs w:val="48"/>
          <w:lang w:val="zh-CN"/>
          <w14:textFill>
            <w14:solidFill>
              <w14:schemeClr w14:val="tx1"/>
            </w14:solidFill>
          </w14:textFill>
        </w:rPr>
      </w:pPr>
    </w:p>
    <w:p>
      <w:pPr>
        <w:tabs>
          <w:tab w:val="left" w:pos="2379"/>
          <w:tab w:val="center" w:pos="4218"/>
          <w:tab w:val="left" w:pos="5670"/>
        </w:tabs>
        <w:autoSpaceDE w:val="0"/>
        <w:autoSpaceDN w:val="0"/>
        <w:adjustRightInd w:val="0"/>
        <w:snapToGrid w:val="0"/>
        <w:spacing w:line="360" w:lineRule="auto"/>
        <w:jc w:val="center"/>
        <w:rPr>
          <w:rFonts w:ascii="宋体" w:hAnsi="宋体"/>
          <w:b/>
          <w:bCs/>
          <w:color w:val="000000" w:themeColor="text1"/>
          <w:sz w:val="48"/>
          <w:szCs w:val="48"/>
          <w14:textFill>
            <w14:solidFill>
              <w14:schemeClr w14:val="tx1"/>
            </w14:solidFill>
          </w14:textFill>
        </w:rPr>
      </w:pPr>
      <w:bookmarkStart w:id="0" w:name="_GoBack"/>
      <w:bookmarkEnd w:id="0"/>
      <w:r>
        <w:rPr>
          <w:rFonts w:hint="eastAsia" w:ascii="宋体" w:hAnsi="宋体"/>
          <w:b/>
          <w:bCs/>
          <w:color w:val="000000" w:themeColor="text1"/>
          <w:sz w:val="48"/>
          <w:szCs w:val="48"/>
          <w:lang w:val="zh-CN"/>
          <w14:textFill>
            <w14:solidFill>
              <w14:schemeClr w14:val="tx1"/>
            </w14:solidFill>
          </w14:textFill>
        </w:rPr>
        <w:t>西安医学院污水处理站整体外包</w:t>
      </w:r>
    </w:p>
    <w:p>
      <w:pPr>
        <w:jc w:val="center"/>
        <w:rPr>
          <w:rFonts w:ascii="华文中宋" w:hAnsi="华文中宋" w:eastAsia="华文中宋"/>
          <w:b/>
          <w:bCs/>
          <w:color w:val="000000" w:themeColor="text1"/>
          <w:sz w:val="52"/>
          <w:szCs w:val="52"/>
          <w14:textFill>
            <w14:solidFill>
              <w14:schemeClr w14:val="tx1"/>
            </w14:solidFill>
          </w14:textFill>
        </w:rPr>
      </w:pPr>
    </w:p>
    <w:p>
      <w:pPr>
        <w:jc w:val="center"/>
        <w:rPr>
          <w:rFonts w:ascii="华文中宋" w:hAnsi="华文中宋" w:eastAsia="华文中宋"/>
          <w:b/>
          <w:bCs/>
          <w:color w:val="000000" w:themeColor="text1"/>
          <w:sz w:val="52"/>
          <w:szCs w:val="52"/>
          <w14:textFill>
            <w14:solidFill>
              <w14:schemeClr w14:val="tx1"/>
            </w14:solidFill>
          </w14:textFill>
        </w:rPr>
      </w:pPr>
    </w:p>
    <w:p>
      <w:pPr>
        <w:jc w:val="center"/>
        <w:rPr>
          <w:rFonts w:ascii="华文中宋" w:hAnsi="华文中宋" w:eastAsia="华文中宋"/>
          <w:b/>
          <w:bCs/>
          <w:color w:val="000000" w:themeColor="text1"/>
          <w:sz w:val="52"/>
          <w:szCs w:val="52"/>
          <w14:textFill>
            <w14:solidFill>
              <w14:schemeClr w14:val="tx1"/>
            </w14:solidFill>
          </w14:textFill>
        </w:rPr>
      </w:pPr>
      <w:r>
        <w:rPr>
          <w:rFonts w:hint="eastAsia" w:ascii="华文中宋" w:hAnsi="华文中宋" w:eastAsia="华文中宋"/>
          <w:b/>
          <w:bCs/>
          <w:color w:val="000000" w:themeColor="text1"/>
          <w:sz w:val="52"/>
          <w:szCs w:val="52"/>
          <w14:textFill>
            <w14:solidFill>
              <w14:schemeClr w14:val="tx1"/>
            </w14:solidFill>
          </w14:textFill>
        </w:rPr>
        <w:t>项</w:t>
      </w:r>
    </w:p>
    <w:p>
      <w:pPr>
        <w:jc w:val="center"/>
        <w:rPr>
          <w:rFonts w:ascii="华文中宋" w:hAnsi="华文中宋" w:eastAsia="华文中宋"/>
          <w:b/>
          <w:bCs/>
          <w:color w:val="000000" w:themeColor="text1"/>
          <w:sz w:val="52"/>
          <w:szCs w:val="52"/>
          <w14:textFill>
            <w14:solidFill>
              <w14:schemeClr w14:val="tx1"/>
            </w14:solidFill>
          </w14:textFill>
        </w:rPr>
      </w:pPr>
      <w:r>
        <w:rPr>
          <w:rFonts w:hint="eastAsia" w:ascii="华文中宋" w:hAnsi="华文中宋" w:eastAsia="华文中宋"/>
          <w:b/>
          <w:bCs/>
          <w:color w:val="000000" w:themeColor="text1"/>
          <w:sz w:val="52"/>
          <w:szCs w:val="52"/>
          <w14:textFill>
            <w14:solidFill>
              <w14:schemeClr w14:val="tx1"/>
            </w14:solidFill>
          </w14:textFill>
        </w:rPr>
        <w:t>目</w:t>
      </w:r>
    </w:p>
    <w:p>
      <w:pPr>
        <w:jc w:val="center"/>
        <w:rPr>
          <w:rFonts w:ascii="华文中宋" w:hAnsi="华文中宋" w:eastAsia="华文中宋"/>
          <w:b/>
          <w:bCs/>
          <w:color w:val="000000" w:themeColor="text1"/>
          <w:sz w:val="52"/>
          <w:szCs w:val="52"/>
          <w14:textFill>
            <w14:solidFill>
              <w14:schemeClr w14:val="tx1"/>
            </w14:solidFill>
          </w14:textFill>
        </w:rPr>
      </w:pPr>
      <w:r>
        <w:rPr>
          <w:rFonts w:hint="eastAsia" w:ascii="华文中宋" w:hAnsi="华文中宋" w:eastAsia="华文中宋"/>
          <w:b/>
          <w:bCs/>
          <w:color w:val="000000" w:themeColor="text1"/>
          <w:sz w:val="52"/>
          <w:szCs w:val="52"/>
          <w14:textFill>
            <w14:solidFill>
              <w14:schemeClr w14:val="tx1"/>
            </w14:solidFill>
          </w14:textFill>
        </w:rPr>
        <w:t>合</w:t>
      </w:r>
    </w:p>
    <w:p>
      <w:pPr>
        <w:jc w:val="center"/>
        <w:rPr>
          <w:rFonts w:ascii="华文中宋" w:hAnsi="华文中宋" w:eastAsia="华文中宋"/>
          <w:b/>
          <w:bCs/>
          <w:color w:val="000000" w:themeColor="text1"/>
          <w:sz w:val="52"/>
          <w:szCs w:val="52"/>
          <w14:textFill>
            <w14:solidFill>
              <w14:schemeClr w14:val="tx1"/>
            </w14:solidFill>
          </w14:textFill>
        </w:rPr>
      </w:pPr>
      <w:r>
        <w:rPr>
          <w:rFonts w:hint="eastAsia" w:ascii="华文中宋" w:hAnsi="华文中宋" w:eastAsia="华文中宋"/>
          <w:b/>
          <w:bCs/>
          <w:color w:val="000000" w:themeColor="text1"/>
          <w:sz w:val="52"/>
          <w:szCs w:val="52"/>
          <w14:textFill>
            <w14:solidFill>
              <w14:schemeClr w14:val="tx1"/>
            </w14:solidFill>
          </w14:textFill>
        </w:rPr>
        <w:t>同</w:t>
      </w:r>
    </w:p>
    <w:p>
      <w:pPr>
        <w:jc w:val="center"/>
        <w:rPr>
          <w:rFonts w:ascii="华文中宋" w:hAnsi="华文中宋" w:eastAsia="华文中宋"/>
          <w:b/>
          <w:bCs/>
          <w:color w:val="000000" w:themeColor="text1"/>
          <w:sz w:val="52"/>
          <w:szCs w:val="52"/>
          <w14:textFill>
            <w14:solidFill>
              <w14:schemeClr w14:val="tx1"/>
            </w14:solidFill>
          </w14:textFill>
        </w:rPr>
      </w:pPr>
    </w:p>
    <w:p>
      <w:pPr>
        <w:spacing w:line="220" w:lineRule="atLeast"/>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合同编号：</w:t>
      </w:r>
    </w:p>
    <w:p>
      <w:pPr>
        <w:spacing w:line="220" w:lineRule="atLeast"/>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color w:val="000000" w:themeColor="text1"/>
          <w:sz w:val="32"/>
          <w:szCs w:val="32"/>
          <w14:textFill>
            <w14:solidFill>
              <w14:schemeClr w14:val="tx1"/>
            </w14:solidFill>
          </w14:textFill>
        </w:rPr>
        <w:t>项目编号</w:t>
      </w:r>
      <w:r>
        <w:rPr>
          <w:rFonts w:hint="eastAsia" w:ascii="宋体" w:hAnsi="宋体" w:eastAsia="宋体" w:cs="宋体"/>
          <w:color w:val="000000" w:themeColor="text1"/>
          <w:sz w:val="32"/>
          <w:szCs w:val="32"/>
          <w:lang w:eastAsia="zh-CN"/>
          <w14:textFill>
            <w14:solidFill>
              <w14:schemeClr w14:val="tx1"/>
            </w14:solidFill>
          </w14:textFill>
        </w:rPr>
        <w:t>：</w:t>
      </w:r>
    </w:p>
    <w:p>
      <w:pPr>
        <w:spacing w:line="220" w:lineRule="atLeast"/>
        <w:rPr>
          <w:rFonts w:ascii="仿宋" w:hAnsi="仿宋" w:eastAsia="仿宋"/>
          <w:color w:val="000000" w:themeColor="text1"/>
          <w:sz w:val="36"/>
          <w:szCs w:val="36"/>
          <w14:textFill>
            <w14:solidFill>
              <w14:schemeClr w14:val="tx1"/>
            </w14:solidFill>
          </w14:textFill>
        </w:rPr>
      </w:pPr>
    </w:p>
    <w:p>
      <w:pPr>
        <w:spacing w:line="220" w:lineRule="atLeast"/>
        <w:ind w:firstLine="720" w:firstLineChars="200"/>
        <w:rPr>
          <w:rFonts w:ascii="仿宋" w:hAnsi="仿宋" w:eastAsia="仿宋"/>
          <w:color w:val="000000" w:themeColor="text1"/>
          <w:sz w:val="36"/>
          <w:szCs w:val="36"/>
          <w14:textFill>
            <w14:solidFill>
              <w14:schemeClr w14:val="tx1"/>
            </w14:solidFill>
          </w14:textFill>
        </w:rPr>
      </w:pPr>
    </w:p>
    <w:p>
      <w:pPr>
        <w:spacing w:line="220" w:lineRule="atLeast"/>
        <w:jc w:val="center"/>
        <w:rPr>
          <w:rFonts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u w:val="single"/>
          <w14:textFill>
            <w14:solidFill>
              <w14:schemeClr w14:val="tx1"/>
            </w14:solidFill>
          </w14:textFill>
        </w:rPr>
        <w:t>甲 方：</w:t>
      </w:r>
    </w:p>
    <w:p>
      <w:pPr>
        <w:spacing w:line="220" w:lineRule="atLeast"/>
        <w:jc w:val="center"/>
        <w:rPr>
          <w:rFonts w:ascii="宋体" w:hAnsi="宋体" w:eastAsia="宋体" w:cs="宋体"/>
          <w:color w:val="000000" w:themeColor="text1"/>
          <w:sz w:val="32"/>
          <w:szCs w:val="32"/>
          <w:u w:val="single"/>
          <w14:textFill>
            <w14:solidFill>
              <w14:schemeClr w14:val="tx1"/>
            </w14:solidFill>
          </w14:textFill>
        </w:rPr>
      </w:pPr>
      <w:r>
        <w:rPr>
          <w:rFonts w:hint="eastAsia" w:ascii="宋体" w:hAnsi="宋体" w:eastAsia="宋体" w:cs="宋体"/>
          <w:color w:val="000000" w:themeColor="text1"/>
          <w:sz w:val="32"/>
          <w:szCs w:val="32"/>
          <w:u w:val="single"/>
          <w14:textFill>
            <w14:solidFill>
              <w14:schemeClr w14:val="tx1"/>
            </w14:solidFill>
          </w14:textFill>
        </w:rPr>
        <w:t>乙 方：</w:t>
      </w:r>
    </w:p>
    <w:p>
      <w:pPr>
        <w:spacing w:line="480" w:lineRule="auto"/>
        <w:ind w:firstLine="480" w:firstLineChars="200"/>
        <w:rPr>
          <w:rFonts w:hint="eastAsia" w:ascii="宋体" w:hAnsi="宋体" w:cs="宋体"/>
          <w:color w:val="000000" w:themeColor="text1"/>
          <w:sz w:val="24"/>
          <w14:textFill>
            <w14:solidFill>
              <w14:schemeClr w14:val="tx1"/>
            </w14:solidFill>
          </w14:textFill>
        </w:rPr>
        <w:sectPr>
          <w:pgSz w:w="11906" w:h="16838"/>
          <w:pgMar w:top="1440" w:right="1800" w:bottom="1440" w:left="1800" w:header="851" w:footer="992" w:gutter="0"/>
          <w:cols w:space="720" w:num="1"/>
          <w:docGrid w:type="lines" w:linePitch="312" w:charSpace="0"/>
        </w:sectPr>
      </w:pPr>
    </w:p>
    <w:p>
      <w:pPr>
        <w:spacing w:line="480" w:lineRule="auto"/>
        <w:ind w:firstLine="480" w:firstLineChars="200"/>
        <w:rPr>
          <w:rFonts w:hint="eastAsia" w:ascii="宋体" w:hAnsi="宋体" w:cs="宋体"/>
          <w:color w:val="000000" w:themeColor="text1"/>
          <w:sz w:val="24"/>
          <w:u w:val="single"/>
          <w14:textFill>
            <w14:solidFill>
              <w14:schemeClr w14:val="tx1"/>
            </w14:solidFill>
          </w14:textFill>
        </w:rPr>
      </w:pPr>
      <w:r>
        <w:rPr>
          <w:rFonts w:hint="eastAsia" w:ascii="宋体" w:hAnsi="宋体" w:cs="宋体"/>
          <w:color w:val="000000" w:themeColor="text1"/>
          <w:sz w:val="24"/>
          <w14:textFill>
            <w14:solidFill>
              <w14:schemeClr w14:val="tx1"/>
            </w14:solidFill>
          </w14:textFill>
        </w:rPr>
        <w:t xml:space="preserve">甲  方： </w:t>
      </w:r>
      <w:r>
        <w:rPr>
          <w:rFonts w:hint="eastAsia" w:ascii="宋体" w:hAnsi="宋体" w:cs="宋体"/>
          <w:color w:val="000000" w:themeColor="text1"/>
          <w:sz w:val="24"/>
          <w:u w:val="single"/>
          <w14:textFill>
            <w14:solidFill>
              <w14:schemeClr w14:val="tx1"/>
            </w14:solidFill>
          </w14:textFill>
        </w:rPr>
        <w:t xml:space="preserve">                  </w:t>
      </w:r>
    </w:p>
    <w:p>
      <w:pPr>
        <w:spacing w:line="480" w:lineRule="auto"/>
        <w:ind w:firstLine="480" w:firstLineChars="200"/>
        <w:rPr>
          <w:rFonts w:hint="default" w:ascii="宋体" w:hAnsi="宋体" w:eastAsia="宋体" w:cs="宋体"/>
          <w:color w:val="000000" w:themeColor="text1"/>
          <w:sz w:val="24"/>
          <w:lang w:val="en-US" w:eastAsia="zh-CN"/>
          <w14:textFill>
            <w14:solidFill>
              <w14:schemeClr w14:val="tx1"/>
            </w14:solidFill>
          </w14:textFill>
        </w:rPr>
      </w:pPr>
      <w:r>
        <w:rPr>
          <w:rFonts w:hint="eastAsia" w:ascii="宋体" w:hAnsi="宋体" w:cs="宋体"/>
          <w:color w:val="000000" w:themeColor="text1"/>
          <w:sz w:val="24"/>
          <w14:textFill>
            <w14:solidFill>
              <w14:schemeClr w14:val="tx1"/>
            </w14:solidFill>
          </w14:textFill>
        </w:rPr>
        <w:t>乙  方：</w:t>
      </w:r>
      <w:r>
        <w:rPr>
          <w:rFonts w:hint="eastAsia" w:ascii="宋体" w:hAnsi="宋体" w:cs="宋体"/>
          <w:color w:val="000000" w:themeColor="text1"/>
          <w:sz w:val="24"/>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u w:val="single"/>
          <w:lang w:val="en-US" w:eastAsia="zh-CN"/>
          <w14:textFill>
            <w14:solidFill>
              <w14:schemeClr w14:val="tx1"/>
            </w14:solidFill>
          </w14:textFill>
        </w:rPr>
        <w:t xml:space="preserve">                 </w:t>
      </w:r>
    </w:p>
    <w:p>
      <w:pPr>
        <w:widowControl/>
        <w:spacing w:line="360" w:lineRule="auto"/>
        <w:ind w:firstLine="480" w:firstLineChars="20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根据《中华人民共和国政府采购法》、《中华人民共和国民法典》及其他有关法律、行政法规，经公开招标，确定乙方为</w:t>
      </w:r>
      <w:r>
        <w:rPr>
          <w:rFonts w:hint="eastAsia" w:ascii="宋体" w:hAnsi="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中标方，遵循平等、自愿、公平和诚实信用的原则，订立本合同。</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一、定义和解释</w:t>
      </w:r>
    </w:p>
    <w:p>
      <w:pPr>
        <w:widowControl/>
        <w:numPr>
          <w:ilvl w:val="0"/>
          <w:numId w:val="3"/>
        </w:numPr>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定义</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甲方：</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乙方：</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污水：指西安医学院污水处理站按本协议自管网收集系统所采集的生活污水及部分医疗废水、化验室废水。 </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进出水水质指标 </w:t>
      </w:r>
    </w:p>
    <w:p>
      <w:pPr>
        <w:widowControl/>
        <w:spacing w:line="360" w:lineRule="auto"/>
        <w:jc w:val="center"/>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表一 进水主要水质指标一览表</w:t>
      </w:r>
    </w:p>
    <w:tbl>
      <w:tblPr>
        <w:tblStyle w:val="7"/>
        <w:tblW w:w="0" w:type="auto"/>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088"/>
        <w:gridCol w:w="3240"/>
        <w:gridCol w:w="26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项   目</w:t>
            </w:r>
          </w:p>
        </w:tc>
        <w:tc>
          <w:tcPr>
            <w:tcW w:w="3240"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最高浓度</w:t>
            </w:r>
          </w:p>
        </w:tc>
        <w:tc>
          <w:tcPr>
            <w:tcW w:w="2620" w:type="dxa"/>
            <w:noWrap w:val="0"/>
            <w:vAlign w:val="top"/>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单   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COD</w:t>
            </w:r>
            <w:r>
              <w:rPr>
                <w:rFonts w:hint="eastAsia" w:ascii="宋体" w:hAnsi="宋体" w:eastAsia="宋体" w:cs="宋体"/>
                <w:bCs/>
                <w:color w:val="000000" w:themeColor="text1"/>
                <w:szCs w:val="21"/>
                <w:vertAlign w:val="subscript"/>
                <w14:textFill>
                  <w14:solidFill>
                    <w14:schemeClr w14:val="tx1"/>
                  </w14:solidFill>
                </w14:textFill>
              </w:rPr>
              <w:t>Cr</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350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BOD</w:t>
            </w:r>
            <w:r>
              <w:rPr>
                <w:rFonts w:eastAsia="宋体" w:cs="宋体"/>
                <w:bCs/>
                <w:color w:val="000000" w:themeColor="text1"/>
                <w:sz w:val="21"/>
                <w:szCs w:val="21"/>
                <w:vertAlign w:val="subscript"/>
                <w14:textFill>
                  <w14:solidFill>
                    <w14:schemeClr w14:val="tx1"/>
                  </w14:solidFill>
                </w14:textFill>
              </w:rPr>
              <w:t>5</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200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SS</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400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pH值</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5－9</w:t>
            </w:r>
          </w:p>
        </w:tc>
        <w:tc>
          <w:tcPr>
            <w:tcW w:w="2620" w:type="dxa"/>
            <w:noWrap w:val="0"/>
            <w:vAlign w:val="top"/>
          </w:tcPr>
          <w:p>
            <w:pPr>
              <w:spacing w:line="360" w:lineRule="auto"/>
              <w:ind w:firstLine="210"/>
              <w:jc w:val="center"/>
              <w:rPr>
                <w:rFonts w:ascii="宋体" w:hAnsi="宋体" w:eastAsia="宋体" w:cs="宋体"/>
                <w:bCs/>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氨氮</w:t>
            </w:r>
          </w:p>
        </w:tc>
        <w:tc>
          <w:tcPr>
            <w:tcW w:w="3240" w:type="dxa"/>
            <w:noWrap w:val="0"/>
            <w:vAlign w:val="center"/>
          </w:tcPr>
          <w:p>
            <w:pPr>
              <w:spacing w:line="360" w:lineRule="auto"/>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80</w:t>
            </w:r>
          </w:p>
        </w:tc>
        <w:tc>
          <w:tcPr>
            <w:tcW w:w="2620" w:type="dxa"/>
            <w:noWrap w:val="0"/>
            <w:vAlign w:val="top"/>
          </w:tcPr>
          <w:p>
            <w:pPr>
              <w:spacing w:line="360" w:lineRule="auto"/>
              <w:ind w:firstLine="21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总磷</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lang w:val="en-US" w:eastAsia="zh-CN"/>
                <w14:textFill>
                  <w14:solidFill>
                    <w14:schemeClr w14:val="tx1"/>
                  </w14:solidFill>
                </w14:textFill>
              </w:rPr>
              <w:t>8</w:t>
            </w:r>
            <w:r>
              <w:rPr>
                <w:rFonts w:hint="eastAsia" w:ascii="宋体" w:hAnsi="宋体" w:eastAsia="宋体" w:cs="宋体"/>
                <w:bCs/>
                <w:color w:val="000000" w:themeColor="text1"/>
                <w:szCs w:val="21"/>
                <w14:textFill>
                  <w14:solidFill>
                    <w14:schemeClr w14:val="tx1"/>
                  </w14:solidFill>
                </w14:textFill>
              </w:rPr>
              <w:t>.0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粪大肠菌群</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vertAlign w:val="superscript"/>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3.8×10</w:t>
            </w:r>
            <w:r>
              <w:rPr>
                <w:rFonts w:hint="eastAsia" w:ascii="宋体" w:hAnsi="宋体" w:eastAsia="宋体" w:cs="宋体"/>
                <w:bCs/>
                <w:color w:val="000000" w:themeColor="text1"/>
                <w:szCs w:val="21"/>
                <w:vertAlign w:val="superscript"/>
                <w14:textFill>
                  <w14:solidFill>
                    <w14:schemeClr w14:val="tx1"/>
                  </w14:solidFill>
                </w14:textFill>
              </w:rPr>
              <w:t>10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 xml:space="preserve">个/L </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jc w:val="center"/>
        </w:trPr>
        <w:tc>
          <w:tcPr>
            <w:tcW w:w="2088"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动植物油</w:t>
            </w:r>
          </w:p>
        </w:tc>
        <w:tc>
          <w:tcPr>
            <w:tcW w:w="3240"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6.0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 xml:space="preserve">mg/l  </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color w:val="000000" w:themeColor="text1"/>
          <w:sz w:val="24"/>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污水处理站处理水水量3000m</w:t>
      </w:r>
      <w:r>
        <w:rPr>
          <w:rFonts w:hint="eastAsia" w:ascii="宋体" w:hAnsi="宋体" w:eastAsia="宋体" w:cs="宋体"/>
          <w:bCs/>
          <w:color w:val="000000" w:themeColor="text1"/>
          <w:sz w:val="24"/>
          <w:vertAlign w:val="superscript"/>
          <w14:textFill>
            <w14:solidFill>
              <w14:schemeClr w14:val="tx1"/>
            </w14:solidFill>
          </w14:textFill>
        </w:rPr>
        <w:t>3</w:t>
      </w:r>
      <w:r>
        <w:rPr>
          <w:rFonts w:hint="eastAsia" w:ascii="宋体" w:hAnsi="宋体" w:eastAsia="宋体" w:cs="宋体"/>
          <w:bCs/>
          <w:color w:val="000000" w:themeColor="text1"/>
          <w:sz w:val="24"/>
          <w14:textFill>
            <w14:solidFill>
              <w14:schemeClr w14:val="tx1"/>
            </w14:solidFill>
          </w14:textFill>
        </w:rPr>
        <w:t>/d。其中达标外排水量1500m</w:t>
      </w:r>
      <w:r>
        <w:rPr>
          <w:rFonts w:hint="eastAsia" w:ascii="宋体" w:hAnsi="宋体" w:eastAsia="宋体" w:cs="宋体"/>
          <w:bCs/>
          <w:color w:val="000000" w:themeColor="text1"/>
          <w:sz w:val="24"/>
          <w:vertAlign w:val="superscript"/>
          <w14:textFill>
            <w14:solidFill>
              <w14:schemeClr w14:val="tx1"/>
            </w14:solidFill>
          </w14:textFill>
        </w:rPr>
        <w:t>3</w:t>
      </w:r>
      <w:r>
        <w:rPr>
          <w:rFonts w:hint="eastAsia" w:ascii="宋体" w:hAnsi="宋体" w:eastAsia="宋体" w:cs="宋体"/>
          <w:bCs/>
          <w:color w:val="000000" w:themeColor="text1"/>
          <w:sz w:val="24"/>
          <w14:textFill>
            <w14:solidFill>
              <w14:schemeClr w14:val="tx1"/>
            </w14:solidFill>
          </w14:textFill>
        </w:rPr>
        <w:t>/d，处理后外排出水水质达到《污水综合排放标准》（GB8978-1996）一级排放标准、《污水排入城镇下水道水质标准》（GB/T31962-2015）C级标准及《医疗机构水污染物排放标准》（GB18466-2005）中表2排放标准限值。</w:t>
      </w:r>
    </w:p>
    <w:p>
      <w:pPr>
        <w:widowControl/>
        <w:spacing w:line="360" w:lineRule="auto"/>
        <w:ind w:firstLine="480" w:firstLineChars="200"/>
        <w:jc w:val="left"/>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bCs/>
          <w:color w:val="000000" w:themeColor="text1"/>
          <w:sz w:val="24"/>
          <w14:textFill>
            <w14:solidFill>
              <w14:schemeClr w14:val="tx1"/>
            </w14:solidFill>
          </w14:textFill>
        </w:rPr>
        <w:t>回用水量为1500m</w:t>
      </w:r>
      <w:r>
        <w:rPr>
          <w:rFonts w:hint="eastAsia" w:ascii="宋体" w:hAnsi="宋体" w:eastAsia="宋体" w:cs="宋体"/>
          <w:bCs/>
          <w:color w:val="000000" w:themeColor="text1"/>
          <w:sz w:val="24"/>
          <w:vertAlign w:val="superscript"/>
          <w14:textFill>
            <w14:solidFill>
              <w14:schemeClr w14:val="tx1"/>
            </w14:solidFill>
          </w14:textFill>
        </w:rPr>
        <w:t>3</w:t>
      </w:r>
      <w:r>
        <w:rPr>
          <w:rFonts w:hint="eastAsia" w:ascii="宋体" w:hAnsi="宋体" w:eastAsia="宋体" w:cs="宋体"/>
          <w:bCs/>
          <w:color w:val="000000" w:themeColor="text1"/>
          <w:sz w:val="24"/>
          <w14:textFill>
            <w14:solidFill>
              <w14:schemeClr w14:val="tx1"/>
            </w14:solidFill>
          </w14:textFill>
        </w:rPr>
        <w:t>/d，回用水水质达到《城市污水再生利用 城市杂用水水质标准》（GB/T18920-2002）中规定的绿化及道路喷洒用水水质指标。</w:t>
      </w:r>
    </w:p>
    <w:p>
      <w:pPr>
        <w:rPr>
          <w:rFonts w:hint="eastAsia"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br w:type="page"/>
      </w:r>
    </w:p>
    <w:p>
      <w:pPr>
        <w:widowControl/>
        <w:spacing w:line="360" w:lineRule="auto"/>
        <w:jc w:val="center"/>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表二 外排出水主要水质指标一览表</w:t>
      </w:r>
    </w:p>
    <w:tbl>
      <w:tblPr>
        <w:tblStyle w:val="7"/>
        <w:tblpPr w:leftFromText="180" w:rightFromText="180" w:vertAnchor="text" w:horzAnchor="margin" w:tblpXSpec="center" w:tblpY="105"/>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088"/>
        <w:gridCol w:w="3240"/>
        <w:gridCol w:w="26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项   目</w:t>
            </w:r>
          </w:p>
        </w:tc>
        <w:tc>
          <w:tcPr>
            <w:tcW w:w="3240"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最高浓度</w:t>
            </w:r>
          </w:p>
        </w:tc>
        <w:tc>
          <w:tcPr>
            <w:tcW w:w="2620" w:type="dxa"/>
            <w:noWrap w:val="0"/>
            <w:vAlign w:val="top"/>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单   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left="0" w:leftChars="0" w:firstLine="0" w:firstLineChars="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COD</w:t>
            </w:r>
            <w:r>
              <w:rPr>
                <w:rFonts w:hint="eastAsia" w:ascii="宋体" w:hAnsi="宋体" w:eastAsia="宋体" w:cs="宋体"/>
                <w:bCs/>
                <w:color w:val="000000" w:themeColor="text1"/>
                <w:szCs w:val="21"/>
                <w:vertAlign w:val="subscript"/>
                <w14:textFill>
                  <w14:solidFill>
                    <w14:schemeClr w14:val="tx1"/>
                  </w14:solidFill>
                </w14:textFill>
              </w:rPr>
              <w:t>Cr</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≤60</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9"/>
              <w:spacing w:afterAutospacing="0" w:line="360" w:lineRule="auto"/>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BOD</w:t>
            </w:r>
            <w:r>
              <w:rPr>
                <w:rFonts w:eastAsia="宋体" w:cs="宋体"/>
                <w:bCs/>
                <w:color w:val="000000" w:themeColor="text1"/>
                <w:sz w:val="21"/>
                <w:szCs w:val="21"/>
                <w:vertAlign w:val="subscript"/>
                <w14:textFill>
                  <w14:solidFill>
                    <w14:schemeClr w14:val="tx1"/>
                  </w14:solidFill>
                </w14:textFill>
              </w:rPr>
              <w:t>5</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≤20</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9"/>
              <w:spacing w:afterAutospacing="0" w:line="360" w:lineRule="auto"/>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SS</w:t>
            </w:r>
          </w:p>
        </w:tc>
        <w:tc>
          <w:tcPr>
            <w:tcW w:w="3240" w:type="dxa"/>
            <w:noWrap w:val="0"/>
            <w:vAlign w:val="center"/>
          </w:tcPr>
          <w:p>
            <w:pPr>
              <w:pStyle w:val="6"/>
              <w:spacing w:line="360" w:lineRule="auto"/>
              <w:ind w:firstLine="0"/>
              <w:jc w:val="center"/>
              <w:rPr>
                <w:rFonts w:hint="default" w:ascii="宋体" w:hAnsi="宋体" w:eastAsia="宋体" w:cs="宋体"/>
                <w:bCs/>
                <w:color w:val="000000" w:themeColor="text1"/>
                <w:szCs w:val="21"/>
                <w:lang w:val="en-US" w:eastAsia="zh-CN"/>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w:t>
            </w:r>
            <w:r>
              <w:rPr>
                <w:rFonts w:hint="eastAsia" w:ascii="宋体" w:hAnsi="宋体" w:eastAsia="宋体" w:cs="宋体"/>
                <w:bCs/>
                <w:color w:val="000000" w:themeColor="text1"/>
                <w:szCs w:val="21"/>
                <w:lang w:val="en-US" w:eastAsia="zh-CN"/>
                <w14:textFill>
                  <w14:solidFill>
                    <w14:schemeClr w14:val="tx1"/>
                  </w14:solidFill>
                </w14:textFill>
              </w:rPr>
              <w:t>20</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9"/>
              <w:spacing w:afterAutospacing="0" w:line="360" w:lineRule="auto"/>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pH值</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6－9</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left="0" w:leftChars="0" w:firstLine="0" w:firstLineChars="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氨氮</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≤15</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5"/>
              <w:spacing w:after="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总磷</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w:t>
            </w:r>
            <w:r>
              <w:rPr>
                <w:rFonts w:hint="eastAsia" w:ascii="宋体" w:hAnsi="宋体" w:eastAsia="宋体" w:cs="宋体"/>
                <w:bCs/>
                <w:color w:val="000000" w:themeColor="text1"/>
                <w:szCs w:val="21"/>
                <w:lang w:val="en-US" w:eastAsia="zh-CN"/>
                <w14:textFill>
                  <w14:solidFill>
                    <w14:schemeClr w14:val="tx1"/>
                  </w14:solidFill>
                </w14:textFill>
              </w:rPr>
              <w:t>8</w:t>
            </w:r>
            <w:r>
              <w:rPr>
                <w:rFonts w:hint="eastAsia" w:ascii="宋体" w:hAnsi="宋体" w:eastAsia="宋体" w:cs="宋体"/>
                <w:bCs/>
                <w:color w:val="000000" w:themeColor="text1"/>
                <w:szCs w:val="21"/>
                <w14:textFill>
                  <w14:solidFill>
                    <w14:schemeClr w14:val="tx1"/>
                  </w14:solidFill>
                </w14:textFill>
              </w:rPr>
              <w:t>.0</w:t>
            </w:r>
          </w:p>
        </w:tc>
        <w:tc>
          <w:tcPr>
            <w:tcW w:w="262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left="0" w:leftChars="0" w:firstLine="0" w:firstLineChars="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粪大肠菌群</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≤500</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个/L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left="0" w:leftChars="0" w:firstLine="0" w:firstLineChars="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动植物油</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≤5.0</w:t>
            </w:r>
          </w:p>
        </w:tc>
        <w:tc>
          <w:tcPr>
            <w:tcW w:w="2620" w:type="dxa"/>
            <w:noWrap w:val="0"/>
            <w:vAlign w:val="top"/>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088"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溶解性总固体</w:t>
            </w:r>
          </w:p>
        </w:tc>
        <w:tc>
          <w:tcPr>
            <w:tcW w:w="324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≤1000</w:t>
            </w:r>
          </w:p>
        </w:tc>
        <w:tc>
          <w:tcPr>
            <w:tcW w:w="2620" w:type="dxa"/>
            <w:noWrap w:val="0"/>
            <w:vAlign w:val="center"/>
          </w:tcPr>
          <w:p>
            <w:pPr>
              <w:pStyle w:val="6"/>
              <w:spacing w:line="360" w:lineRule="auto"/>
              <w:ind w:firstLine="0"/>
              <w:jc w:val="center"/>
              <w:rPr>
                <w:rFonts w:hint="eastAsia"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bl>
    <w:p>
      <w:pPr>
        <w:widowControl/>
        <w:spacing w:line="360" w:lineRule="auto"/>
        <w:jc w:val="center"/>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表三 回用出水主要水质指标一览表</w:t>
      </w:r>
    </w:p>
    <w:tbl>
      <w:tblPr>
        <w:tblStyle w:val="7"/>
        <w:tblpPr w:leftFromText="180" w:rightFromText="180" w:vertAnchor="text" w:horzAnchor="margin" w:tblpXSpec="center" w:tblpY="54"/>
        <w:tblW w:w="0" w:type="auto"/>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2432"/>
        <w:gridCol w:w="2896"/>
        <w:gridCol w:w="2620"/>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项   目</w:t>
            </w:r>
          </w:p>
        </w:tc>
        <w:tc>
          <w:tcPr>
            <w:tcW w:w="2896" w:type="dxa"/>
            <w:noWrap w:val="0"/>
            <w:vAlign w:val="center"/>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最高浓度</w:t>
            </w:r>
          </w:p>
        </w:tc>
        <w:tc>
          <w:tcPr>
            <w:tcW w:w="2620" w:type="dxa"/>
            <w:noWrap w:val="0"/>
            <w:vAlign w:val="top"/>
          </w:tcPr>
          <w:p>
            <w:pPr>
              <w:pStyle w:val="6"/>
              <w:spacing w:line="360" w:lineRule="auto"/>
              <w:ind w:firstLine="241"/>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单   位</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BOD</w:t>
            </w:r>
            <w:r>
              <w:rPr>
                <w:rFonts w:eastAsia="宋体" w:cs="宋体"/>
                <w:bCs/>
                <w:color w:val="000000" w:themeColor="text1"/>
                <w:sz w:val="21"/>
                <w:szCs w:val="21"/>
                <w:vertAlign w:val="subscript"/>
                <w14:textFill>
                  <w14:solidFill>
                    <w14:schemeClr w14:val="tx1"/>
                  </w14:solidFill>
                </w14:textFill>
              </w:rPr>
              <w:t>5</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≤15</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色度</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≤30</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度</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9"/>
              <w:spacing w:afterAutospacing="0" w:line="360" w:lineRule="auto"/>
              <w:ind w:firstLine="240"/>
              <w:jc w:val="center"/>
              <w:rPr>
                <w:rFonts w:hint="default" w:eastAsia="宋体" w:cs="宋体"/>
                <w:bCs/>
                <w:color w:val="000000" w:themeColor="text1"/>
                <w:sz w:val="21"/>
                <w:szCs w:val="21"/>
                <w14:textFill>
                  <w14:solidFill>
                    <w14:schemeClr w14:val="tx1"/>
                  </w14:solidFill>
                </w14:textFill>
              </w:rPr>
            </w:pPr>
            <w:r>
              <w:rPr>
                <w:rFonts w:eastAsia="宋体" w:cs="宋体"/>
                <w:bCs/>
                <w:color w:val="000000" w:themeColor="text1"/>
                <w:sz w:val="21"/>
                <w:szCs w:val="21"/>
                <w14:textFill>
                  <w14:solidFill>
                    <w14:schemeClr w14:val="tx1"/>
                  </w14:solidFill>
                </w14:textFill>
              </w:rPr>
              <w:t>pH值</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6－9</w:t>
            </w:r>
          </w:p>
        </w:tc>
        <w:tc>
          <w:tcPr>
            <w:tcW w:w="2620" w:type="dxa"/>
            <w:noWrap w:val="0"/>
            <w:vAlign w:val="top"/>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氨氮</w:t>
            </w:r>
          </w:p>
        </w:tc>
        <w:tc>
          <w:tcPr>
            <w:tcW w:w="2896" w:type="dxa"/>
            <w:noWrap w:val="0"/>
            <w:vAlign w:val="center"/>
          </w:tcPr>
          <w:p>
            <w:pPr>
              <w:spacing w:line="360" w:lineRule="auto"/>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w:t>
            </w:r>
          </w:p>
        </w:tc>
        <w:tc>
          <w:tcPr>
            <w:tcW w:w="2620" w:type="dxa"/>
            <w:noWrap w:val="0"/>
            <w:vAlign w:val="center"/>
          </w:tcPr>
          <w:p>
            <w:pPr>
              <w:spacing w:line="360" w:lineRule="auto"/>
              <w:ind w:firstLine="21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浊度</w:t>
            </w:r>
          </w:p>
        </w:tc>
        <w:tc>
          <w:tcPr>
            <w:tcW w:w="2896" w:type="dxa"/>
            <w:noWrap w:val="0"/>
            <w:vAlign w:val="center"/>
          </w:tcPr>
          <w:p>
            <w:pPr>
              <w:spacing w:line="360" w:lineRule="auto"/>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w:t>
            </w:r>
          </w:p>
        </w:tc>
        <w:tc>
          <w:tcPr>
            <w:tcW w:w="2620" w:type="dxa"/>
            <w:noWrap w:val="0"/>
            <w:vAlign w:val="center"/>
          </w:tcPr>
          <w:p>
            <w:pPr>
              <w:spacing w:line="360" w:lineRule="auto"/>
              <w:ind w:firstLine="21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NTU</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总溶固</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≤1000</w:t>
            </w:r>
          </w:p>
        </w:tc>
        <w:tc>
          <w:tcPr>
            <w:tcW w:w="2620"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总大肠菌群</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vertAlign w:val="superscript"/>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≤3</w:t>
            </w:r>
          </w:p>
        </w:tc>
        <w:tc>
          <w:tcPr>
            <w:tcW w:w="2620"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个/L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阴离子表面活性剂</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w:t>
            </w:r>
          </w:p>
        </w:tc>
        <w:tc>
          <w:tcPr>
            <w:tcW w:w="2620"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454"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溶解氧</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≥1.0</w:t>
            </w:r>
          </w:p>
        </w:tc>
        <w:tc>
          <w:tcPr>
            <w:tcW w:w="2620"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952" w:hRule="exact"/>
        </w:trPr>
        <w:tc>
          <w:tcPr>
            <w:tcW w:w="2432"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总余氯</w:t>
            </w:r>
          </w:p>
        </w:tc>
        <w:tc>
          <w:tcPr>
            <w:tcW w:w="2896" w:type="dxa"/>
            <w:noWrap w:val="0"/>
            <w:vAlign w:val="center"/>
          </w:tcPr>
          <w:p>
            <w:pPr>
              <w:pStyle w:val="6"/>
              <w:spacing w:line="360" w:lineRule="auto"/>
              <w:ind w:firstLine="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接触30min后≥1.0，管网末端≥0.2</w:t>
            </w:r>
          </w:p>
        </w:tc>
        <w:tc>
          <w:tcPr>
            <w:tcW w:w="2620" w:type="dxa"/>
            <w:noWrap w:val="0"/>
            <w:vAlign w:val="center"/>
          </w:tcPr>
          <w:p>
            <w:pPr>
              <w:pStyle w:val="6"/>
              <w:spacing w:line="360" w:lineRule="auto"/>
              <w:ind w:firstLine="240"/>
              <w:jc w:val="center"/>
              <w:rPr>
                <w:rFonts w:ascii="宋体" w:hAnsi="宋体" w:eastAsia="宋体" w:cs="宋体"/>
                <w:bCs/>
                <w:color w:val="000000" w:themeColor="text1"/>
                <w:szCs w:val="21"/>
                <w14:textFill>
                  <w14:solidFill>
                    <w14:schemeClr w14:val="tx1"/>
                  </w14:solidFill>
                </w14:textFill>
              </w:rPr>
            </w:pPr>
            <w:r>
              <w:rPr>
                <w:rFonts w:hint="eastAsia" w:ascii="宋体" w:hAnsi="宋体" w:eastAsia="宋体" w:cs="宋体"/>
                <w:bCs/>
                <w:color w:val="000000" w:themeColor="text1"/>
                <w:szCs w:val="21"/>
                <w14:textFill>
                  <w14:solidFill>
                    <w14:schemeClr w14:val="tx1"/>
                  </w14:solidFill>
                </w14:textFill>
              </w:rPr>
              <w:t>mg/l</w:t>
            </w:r>
          </w:p>
        </w:tc>
      </w:tr>
    </w:tbl>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运营外包费：指甲方就乙方所运行的污水处理站按本协议规定处理污水所应向乙方支付的费用。</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污水处理站：指乙方依据甲方委托所运行的污水处理站，乙方拥有协议期内的生产运行权，该污水处理站的固定资产所有权归甲方所有。 </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项目设施：指西安医学院污水处理站及污水提升站围墙内（含围墙）的全部实物资产。</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项目或本项目：指由甲方与乙方签署本协议，授予乙方在托管运营期限内运行项目设施的独家权利，在托管运营期满后将项目设施全部完全、无偿移交给甲方，并保证正常运行。</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法律变更：指立法机关和政府部门颁布、修改、废除或重新解释的任何适用法律。</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污泥：指在污水处理过程中产生的泥类物质。</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日常</w:t>
      </w:r>
      <w:r>
        <w:rPr>
          <w:rFonts w:hint="eastAsia" w:ascii="宋体" w:hAnsi="宋体" w:eastAsia="宋体" w:cs="宋体"/>
          <w:color w:val="000000" w:themeColor="text1"/>
          <w:kern w:val="0"/>
          <w:sz w:val="24"/>
          <w:lang w:val="en-US" w:eastAsia="zh-CN" w:bidi="ar"/>
          <w14:textFill>
            <w14:solidFill>
              <w14:schemeClr w14:val="tx1"/>
            </w14:solidFill>
          </w14:textFill>
        </w:rPr>
        <w:t>自检监测</w:t>
      </w:r>
      <w:r>
        <w:rPr>
          <w:rFonts w:hint="eastAsia" w:ascii="宋体" w:hAnsi="宋体" w:eastAsia="宋体" w:cs="宋体"/>
          <w:color w:val="000000" w:themeColor="text1"/>
          <w:kern w:val="0"/>
          <w:sz w:val="24"/>
          <w:lang w:bidi="ar"/>
          <w14:textFill>
            <w14:solidFill>
              <w14:schemeClr w14:val="tx1"/>
            </w14:solidFill>
          </w14:textFill>
        </w:rPr>
        <w:t>指标：</w:t>
      </w:r>
      <w:r>
        <w:rPr>
          <w:rFonts w:hint="eastAsia" w:ascii="宋体" w:hAnsi="宋体" w:eastAsia="宋体" w:cs="宋体"/>
          <w:color w:val="000000" w:themeColor="text1"/>
          <w:kern w:val="0"/>
          <w:sz w:val="24"/>
          <w:lang w:val="en-US" w:eastAsia="zh-CN" w:bidi="ar"/>
          <w14:textFill>
            <w14:solidFill>
              <w14:schemeClr w14:val="tx1"/>
            </w14:solidFill>
          </w14:textFill>
        </w:rPr>
        <w:t>出水</w:t>
      </w:r>
      <w:r>
        <w:rPr>
          <w:rFonts w:hint="eastAsia" w:ascii="宋体" w:hAnsi="宋体" w:eastAsia="宋体" w:cs="宋体"/>
          <w:color w:val="000000" w:themeColor="text1"/>
          <w:kern w:val="0"/>
          <w:sz w:val="24"/>
          <w:lang w:bidi="ar"/>
          <w14:textFill>
            <w14:solidFill>
              <w14:schemeClr w14:val="tx1"/>
            </w14:solidFill>
          </w14:textFill>
        </w:rPr>
        <w:t>生化需氧量</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BOD</w:t>
      </w:r>
      <w:r>
        <w:rPr>
          <w:rFonts w:hint="eastAsia" w:ascii="宋体" w:hAnsi="宋体" w:eastAsia="宋体" w:cs="宋体"/>
          <w:color w:val="000000" w:themeColor="text1"/>
          <w:kern w:val="0"/>
          <w:sz w:val="24"/>
          <w:vertAlign w:val="subscript"/>
          <w:lang w:bidi="ar"/>
          <w14:textFill>
            <w14:solidFill>
              <w14:schemeClr w14:val="tx1"/>
            </w14:solidFill>
          </w14:textFill>
        </w:rPr>
        <w:t>5</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w:t>
      </w:r>
      <w:r>
        <w:rPr>
          <w:rFonts w:hint="eastAsia" w:ascii="宋体" w:hAnsi="宋体" w:eastAsia="宋体" w:cs="宋体"/>
          <w:color w:val="000000" w:themeColor="text1"/>
          <w:kern w:val="0"/>
          <w:sz w:val="24"/>
          <w:lang w:val="en-US" w:eastAsia="zh-CN" w:bidi="ar"/>
          <w14:textFill>
            <w14:solidFill>
              <w14:schemeClr w14:val="tx1"/>
            </w14:solidFill>
          </w14:textFill>
        </w:rPr>
        <w:t>化学需氧量（COD</w:t>
      </w:r>
      <w:r>
        <w:rPr>
          <w:rFonts w:hint="eastAsia" w:ascii="宋体" w:hAnsi="宋体" w:eastAsia="宋体" w:cs="宋体"/>
          <w:color w:val="000000" w:themeColor="text1"/>
          <w:kern w:val="0"/>
          <w:sz w:val="24"/>
          <w:vertAlign w:val="subscript"/>
          <w:lang w:val="en-US" w:eastAsia="zh-CN" w:bidi="ar"/>
          <w14:textFill>
            <w14:solidFill>
              <w14:schemeClr w14:val="tx1"/>
            </w14:solidFill>
          </w14:textFill>
        </w:rPr>
        <w:t>Cr</w:t>
      </w:r>
      <w:r>
        <w:rPr>
          <w:rFonts w:hint="eastAsia" w:ascii="宋体" w:hAnsi="宋体" w:eastAsia="宋体" w:cs="宋体"/>
          <w:color w:val="000000" w:themeColor="text1"/>
          <w:kern w:val="0"/>
          <w:sz w:val="24"/>
          <w:lang w:val="en-US"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悬浮物</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SS</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溶解性总固体、氨氮</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NH</w:t>
      </w:r>
      <w:r>
        <w:rPr>
          <w:rFonts w:hint="eastAsia" w:ascii="宋体" w:hAnsi="宋体" w:eastAsia="宋体" w:cs="宋体"/>
          <w:color w:val="000000" w:themeColor="text1"/>
          <w:kern w:val="0"/>
          <w:sz w:val="24"/>
          <w:vertAlign w:val="subscript"/>
          <w:lang w:bidi="ar"/>
          <w14:textFill>
            <w14:solidFill>
              <w14:schemeClr w14:val="tx1"/>
            </w14:solidFill>
          </w14:textFill>
        </w:rPr>
        <w:t>3</w:t>
      </w:r>
      <w:r>
        <w:rPr>
          <w:rFonts w:hint="eastAsia" w:ascii="宋体" w:hAnsi="宋体" w:eastAsia="宋体" w:cs="宋体"/>
          <w:color w:val="000000" w:themeColor="text1"/>
          <w:kern w:val="0"/>
          <w:sz w:val="24"/>
          <w:lang w:bidi="ar"/>
          <w14:textFill>
            <w14:solidFill>
              <w14:schemeClr w14:val="tx1"/>
            </w14:solidFill>
          </w14:textFill>
        </w:rPr>
        <w:t>-N</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bidi="ar"/>
          <w14:textFill>
            <w14:solidFill>
              <w14:schemeClr w14:val="tx1"/>
            </w14:solidFill>
          </w14:textFill>
        </w:rPr>
        <w:t>、总磷、PH值</w:t>
      </w:r>
      <w:r>
        <w:rPr>
          <w:rFonts w:hint="eastAsia" w:ascii="宋体" w:hAnsi="宋体" w:eastAsia="宋体" w:cs="宋体"/>
          <w:color w:val="000000" w:themeColor="text1"/>
          <w:kern w:val="0"/>
          <w:sz w:val="24"/>
          <w:lang w:eastAsia="zh-CN" w:bidi="ar"/>
          <w14:textFill>
            <w14:solidFill>
              <w14:schemeClr w14:val="tx1"/>
            </w14:solidFill>
          </w14:textFill>
        </w:rPr>
        <w:t>、</w:t>
      </w:r>
      <w:r>
        <w:rPr>
          <w:rFonts w:hint="eastAsia" w:ascii="宋体" w:hAnsi="宋体" w:eastAsia="宋体" w:cs="宋体"/>
          <w:color w:val="000000" w:themeColor="text1"/>
          <w:kern w:val="0"/>
          <w:sz w:val="24"/>
          <w:lang w:val="en-US" w:eastAsia="zh-CN" w:bidi="ar"/>
          <w14:textFill>
            <w14:solidFill>
              <w14:schemeClr w14:val="tx1"/>
            </w14:solidFill>
          </w14:textFill>
        </w:rPr>
        <w:t>动植物油</w:t>
      </w:r>
      <w:r>
        <w:rPr>
          <w:rFonts w:hint="eastAsia" w:ascii="宋体" w:hAnsi="宋体" w:eastAsia="宋体" w:cs="宋体"/>
          <w:color w:val="000000" w:themeColor="text1"/>
          <w:kern w:val="0"/>
          <w:sz w:val="24"/>
          <w:lang w:bidi="ar"/>
          <w14:textFill>
            <w14:solidFill>
              <w14:schemeClr w14:val="tx1"/>
            </w14:solidFill>
          </w14:textFill>
        </w:rPr>
        <w:t>。（具体按</w:t>
      </w:r>
      <w:r>
        <w:rPr>
          <w:rFonts w:hint="eastAsia" w:ascii="宋体" w:hAnsi="宋体" w:eastAsia="宋体" w:cs="宋体"/>
          <w:color w:val="000000" w:themeColor="text1"/>
          <w:kern w:val="0"/>
          <w:sz w:val="24"/>
          <w:lang w:val="en-US" w:eastAsia="zh-CN" w:bidi="ar"/>
          <w14:textFill>
            <w14:solidFill>
              <w14:schemeClr w14:val="tx1"/>
            </w14:solidFill>
          </w14:textFill>
        </w:rPr>
        <w:t>实际</w:t>
      </w:r>
      <w:r>
        <w:rPr>
          <w:rFonts w:hint="eastAsia" w:ascii="宋体" w:hAnsi="宋体" w:eastAsia="宋体" w:cs="宋体"/>
          <w:color w:val="000000" w:themeColor="text1"/>
          <w:kern w:val="0"/>
          <w:sz w:val="24"/>
          <w:lang w:bidi="ar"/>
          <w14:textFill>
            <w14:solidFill>
              <w14:schemeClr w14:val="tx1"/>
            </w14:solidFill>
          </w14:textFill>
        </w:rPr>
        <w:t>约定执行）</w:t>
      </w:r>
      <w:r>
        <w:rPr>
          <w:rFonts w:hint="eastAsia" w:ascii="宋体" w:hAnsi="宋体" w:eastAsia="宋体" w:cs="宋体"/>
          <w:color w:val="000000" w:themeColor="text1"/>
          <w:kern w:val="0"/>
          <w:sz w:val="24"/>
          <w:lang w:eastAsia="zh-CN" w:bidi="ar"/>
          <w14:textFill>
            <w14:solidFill>
              <w14:schemeClr w14:val="tx1"/>
            </w14:solidFill>
          </w14:textFill>
        </w:rPr>
        <w:t>；</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不可抗力：指本协议第十九条所规定的不能合理预见、不能克服并且不能避免的事件。</w:t>
      </w:r>
    </w:p>
    <w:p>
      <w:pPr>
        <w:widowControl/>
        <w:numPr>
          <w:ilvl w:val="0"/>
          <w:numId w:val="4"/>
        </w:numPr>
        <w:spacing w:line="360" w:lineRule="auto"/>
        <w:ind w:firstLine="48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本协议：指甲乙双方所达成的协议，即由双方签订的关于本项目的基本文件，以及为解释执行、调整本协议所签订的所有的附件、附录和其他文件。</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第二条 解释</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对本协议的解释应依照以下原则进行：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（1）除非本协议另有规定，其中提到的条款和附件均指本协议之条款和附件。</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（2）除非本协议另有规定，提及的一方或双方均为本协议的一方或双方及其正当的继任者或受让人。 </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二、双方的陈述和保证</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第三条 甲方的陈述与保证</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3.1 甲方负责西安医学院污水处理站运行监管。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3.2 甲方保证不存在任何与本项目有关的由甲方作为一方签署、并可能对乙方产生重大不利影响的合同、协议和任何未决或即将进行的诉讼。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3.3 甲方保证接受已签署的托管运营协议的约束，并按照本协议的规定向乙方支付污水处理站运营外包费用。</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3.4 甲方保证对乙方的监管将按照国家、省、市、行业有关法律、法规、规章标准及规范的规定执行。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3.5 甲方保证因更名、合并、分立、撤销或权限变化时，甲方全部权利及义务均由新的污水处理站行政主管部门享有和承担。</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第四条 乙方的陈述与保证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4.1 乙方保证是一家依照中华人民共和国法律合法成立的有限公司。乙方将有权根据其公司成立批准文件、工商登记文件、章程从事污水处理运营业务，并履行其在本协议下的所有义务。</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4.2 乙方保证在签署本协议之前，不存在任何与本项目有关的，由乙方作为一方签署、并可能对项目或甲方产生重大不利影响的合同、协议和任何未决或即将进行的诉讼或仲裁。</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4.3 乙方保证加强对项目设施的运行维护，确保项目设施完好并正常运行。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4.4 乙方保证接受已签署的托管运营协议的约束。</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4.5 乙方保证严格遵守国家、省、市、行业的法律、法规、规章、标准及规范的规定。</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4.6 乙方保证接受甲方以及其他相关政府部门的监管，遵守城市总体规划和污水处理专项规划，确保运营期间污水排放达标。</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4.7 乙方托管运营包含：污水处理站及污水提升站日常运行工作；设备设施的日常运行、维修、维护保养；工作人员配备；排放水水质达标排放；回用水水质达标回用；每月向采购人提供一次水质检测报告（检测报告需加盖具备检测资质的第三方单位的检测专用章和供应商公章）；脱水后污泥的处置；假期后的细菌活性恢复或培菌；保障中水供应，确保污水站安全，污水站内物业保洁及绿化等工作。</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三、双方的基本义务</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第五条 甲方的基本义务</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甲方应根据本协议的规定向乙方支付污水处理站运营外包费用。</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第六条 乙方的基本义务</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6.1 乙方负责甲方污水处理站（含生活区污水提升站）的日常运行，运行期间须严格遵守国家各项法律、法规及相关政策，积极配合各级环保部门的监督、检查工作。</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6.2 运行期间，乙方不得隐瞒、瞒报任何事故和责任，如因触犯国家法律、法规而产生的一切后果均由乙方自负。</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6.3 运行期间，乙方需处理、协调好外部关系，与外部产生的任何矛盾与纠纷均与甲方无关，由乙方自行处理。</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6.4 运行期间，乙方须确保污水排放达到国家环保部门相关标准和要求，不得以设备损坏、老化及其它借口作为排放不达标的理由。</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6.5 运行期间，</w:t>
      </w:r>
      <w:r>
        <w:rPr>
          <w:rFonts w:hint="eastAsia" w:ascii="宋体" w:hAnsi="宋体" w:eastAsia="宋体" w:cs="宋体"/>
          <w:bCs/>
          <w:color w:val="000000" w:themeColor="text1"/>
          <w:sz w:val="24"/>
          <w:lang w:val="en-US" w:eastAsia="zh-CN"/>
          <w14:textFill>
            <w14:solidFill>
              <w14:schemeClr w14:val="tx1"/>
            </w14:solidFill>
          </w14:textFill>
        </w:rPr>
        <w:t>产生的污泥须及时外运处理，外运处置需委托具有相关危（固）废处置资质单位进行处理</w:t>
      </w:r>
      <w:r>
        <w:rPr>
          <w:rFonts w:hint="eastAsia" w:ascii="宋体" w:hAnsi="宋体" w:eastAsia="宋体" w:cs="宋体"/>
          <w:color w:val="000000" w:themeColor="text1"/>
          <w:kern w:val="0"/>
          <w:sz w:val="24"/>
          <w:lang w:bidi="ar"/>
          <w14:textFill>
            <w14:solidFill>
              <w14:schemeClr w14:val="tx1"/>
            </w14:solidFill>
          </w14:textFill>
        </w:rPr>
        <w:t>。</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6.6 项目经理、技术人员须在岗在位，不得无故缺岗、旷工。</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6.7 运行期间，如因污水排放不达标而受到相关部门处罚、处理或通报批评，由此产生的一切后果由乙方自负。同时，甲方将保留进一步追究乙方责任的权利。</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6.8 污水处理站（含生活区污水提升站）现有设备所有权归甲方，运行期间所有设备的维修、更换均由乙方负责，因此产生的费用由乙方自行承担。</w:t>
      </w:r>
    </w:p>
    <w:p>
      <w:pPr>
        <w:spacing w:line="440" w:lineRule="exact"/>
        <w:ind w:firstLine="420" w:firstLineChars="175"/>
        <w:jc w:val="left"/>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6.9配合甲方完成生态环境统计业务系统中污水处理场运行状况（季报、年报）数据采集和填报工作。</w:t>
      </w:r>
    </w:p>
    <w:p>
      <w:pPr>
        <w:tabs>
          <w:tab w:val="left" w:pos="0"/>
        </w:tabs>
        <w:spacing w:line="440" w:lineRule="exact"/>
        <w:ind w:firstLine="420" w:firstLineChars="175"/>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6.10按照陕西省污染源环境检测信息管理平台废水监测要求向甲方提供相关数据（包括但不限于：废水检测报告、原始数据）。</w:t>
      </w:r>
    </w:p>
    <w:p>
      <w:pPr>
        <w:spacing w:line="440" w:lineRule="exact"/>
        <w:ind w:left="42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6.11按照排污许可证执行报告（季报、年报）要求向甲方提供相关数据。</w:t>
      </w:r>
    </w:p>
    <w:p>
      <w:pPr>
        <w:spacing w:line="440" w:lineRule="exact"/>
        <w:ind w:left="420"/>
        <w:rPr>
          <w:rFonts w:ascii="宋体" w:hAnsi="宋体" w:cs="宋体"/>
          <w:color w:val="000000" w:themeColor="text1"/>
          <w:sz w:val="24"/>
          <w14:textFill>
            <w14:solidFill>
              <w14:schemeClr w14:val="tx1"/>
            </w14:solidFill>
          </w14:textFill>
        </w:rPr>
      </w:pPr>
      <w:r>
        <w:rPr>
          <w:rFonts w:hint="eastAsia" w:ascii="宋体" w:hAnsi="宋体" w:cs="宋体"/>
          <w:color w:val="000000" w:themeColor="text1"/>
          <w:sz w:val="24"/>
          <w14:textFill>
            <w14:solidFill>
              <w14:schemeClr w14:val="tx1"/>
            </w14:solidFill>
          </w14:textFill>
        </w:rPr>
        <w:t>6.12向甲方提供环保部门要求报送的其它相关数据资料。</w:t>
      </w:r>
    </w:p>
    <w:p>
      <w:pPr>
        <w:spacing w:line="440" w:lineRule="exact"/>
        <w:ind w:left="420"/>
        <w:rPr>
          <w:color w:val="000000" w:themeColor="text1"/>
          <w14:textFill>
            <w14:solidFill>
              <w14:schemeClr w14:val="tx1"/>
            </w14:solidFill>
          </w14:textFill>
        </w:rPr>
      </w:pPr>
      <w:r>
        <w:rPr>
          <w:rFonts w:hint="eastAsia" w:ascii="宋体" w:hAnsi="宋体" w:cs="宋体"/>
          <w:color w:val="000000" w:themeColor="text1"/>
          <w:sz w:val="24"/>
          <w14:textFill>
            <w14:solidFill>
              <w14:schemeClr w14:val="tx1"/>
            </w14:solidFill>
          </w14:textFill>
        </w:rPr>
        <w:t>6.1</w:t>
      </w:r>
      <w:r>
        <w:rPr>
          <w:rFonts w:hint="eastAsia" w:ascii="宋体" w:hAnsi="宋体" w:cs="宋体"/>
          <w:color w:val="000000" w:themeColor="text1"/>
          <w:sz w:val="24"/>
          <w:lang w:val="en-US" w:eastAsia="zh-CN"/>
          <w14:textFill>
            <w14:solidFill>
              <w14:schemeClr w14:val="tx1"/>
            </w14:solidFill>
          </w14:textFill>
        </w:rPr>
        <w:t>3</w:t>
      </w:r>
      <w:r>
        <w:rPr>
          <w:rFonts w:hint="eastAsia" w:ascii="宋体" w:hAnsi="宋体" w:cs="宋体"/>
          <w:color w:val="000000" w:themeColor="text1"/>
          <w:sz w:val="24"/>
          <w14:textFill>
            <w14:solidFill>
              <w14:schemeClr w14:val="tx1"/>
            </w14:solidFill>
          </w14:textFill>
        </w:rPr>
        <w:t>完成其他相关部门要求的涉及污水处理站的业务。</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四、污水处理站运营外包费用的计算与支付</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第七条 污水处理站运营外包费用的计算</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污水处理站运营外包费用为每年</w:t>
      </w:r>
      <w:r>
        <w:rPr>
          <w:rFonts w:hint="eastAsia" w:ascii="宋体" w:hAnsi="宋体" w:cs="宋体"/>
          <w:color w:val="000000" w:themeColor="text1"/>
          <w:sz w:val="24"/>
          <w14:textFill>
            <w14:solidFill>
              <w14:schemeClr w14:val="tx1"/>
            </w14:solidFill>
          </w14:textFill>
        </w:rPr>
        <w:t>：</w:t>
      </w:r>
      <w:r>
        <w:rPr>
          <w:rFonts w:hint="eastAsia" w:ascii="宋体" w:hAnsi="宋体" w:cs="宋体"/>
          <w:b/>
          <w:bCs/>
          <w:color w:val="000000" w:themeColor="text1"/>
          <w:sz w:val="24"/>
          <w:u w:val="single"/>
          <w:lang w:val="en-US" w:eastAsia="zh-CN"/>
          <w14:textFill>
            <w14:solidFill>
              <w14:schemeClr w14:val="tx1"/>
            </w14:solidFill>
          </w14:textFill>
        </w:rPr>
        <w:t xml:space="preserve">       </w:t>
      </w:r>
      <w:r>
        <w:rPr>
          <w:rFonts w:hint="eastAsia" w:ascii="宋体" w:hAnsi="宋体" w:cs="宋体"/>
          <w:b/>
          <w:bCs/>
          <w:color w:val="000000" w:themeColor="text1"/>
          <w:sz w:val="24"/>
          <w:u w:val="single"/>
          <w14:textFill>
            <w14:solidFill>
              <w14:schemeClr w14:val="tx1"/>
            </w14:solidFill>
          </w14:textFill>
        </w:rPr>
        <w:t>（人民币）</w:t>
      </w:r>
      <w:r>
        <w:rPr>
          <w:rFonts w:hint="eastAsia" w:ascii="宋体" w:hAnsi="宋体" w:eastAsia="宋体" w:cs="宋体"/>
          <w:b/>
          <w:bCs/>
          <w:color w:val="000000" w:themeColor="text1"/>
          <w:kern w:val="0"/>
          <w:sz w:val="24"/>
          <w:lang w:bidi="ar"/>
          <w14:textFill>
            <w14:solidFill>
              <w14:schemeClr w14:val="tx1"/>
            </w14:solidFill>
          </w14:textFill>
        </w:rPr>
        <w:t>（大写：</w:t>
      </w:r>
      <w:r>
        <w:rPr>
          <w:rFonts w:hint="eastAsia" w:ascii="宋体" w:hAnsi="宋体" w:eastAsia="宋体" w:cs="宋体"/>
          <w:b/>
          <w:bCs/>
          <w:color w:val="000000" w:themeColor="text1"/>
          <w:sz w:val="24"/>
          <w:u w:val="single"/>
          <w:lang w:val="en-US" w:eastAsia="zh-CN"/>
          <w14:textFill>
            <w14:solidFill>
              <w14:schemeClr w14:val="tx1"/>
            </w14:solidFill>
          </w14:textFill>
        </w:rPr>
        <w:t xml:space="preserve">       </w:t>
      </w:r>
      <w:r>
        <w:rPr>
          <w:rFonts w:hint="eastAsia" w:ascii="宋体" w:hAnsi="宋体" w:cs="宋体"/>
          <w:b/>
          <w:bCs/>
          <w:color w:val="000000" w:themeColor="text1"/>
          <w:sz w:val="24"/>
          <w:u w:val="single"/>
          <w14:textFill>
            <w14:solidFill>
              <w14:schemeClr w14:val="tx1"/>
            </w14:solidFill>
          </w14:textFill>
        </w:rPr>
        <w:t>元整</w:t>
      </w:r>
      <w:r>
        <w:rPr>
          <w:rFonts w:hint="eastAsia" w:ascii="宋体" w:hAnsi="宋体" w:eastAsia="宋体" w:cs="宋体"/>
          <w:b/>
          <w:bCs/>
          <w:color w:val="000000" w:themeColor="text1"/>
          <w:kern w:val="0"/>
          <w:sz w:val="24"/>
          <w:u w:val="single"/>
          <w:lang w:bidi="ar"/>
          <w14:textFill>
            <w14:solidFill>
              <w14:schemeClr w14:val="tx1"/>
            </w14:solidFill>
          </w14:textFill>
        </w:rPr>
        <w:t>）</w:t>
      </w:r>
      <w:r>
        <w:rPr>
          <w:rFonts w:hint="eastAsia" w:ascii="宋体" w:hAnsi="宋体" w:eastAsia="宋体" w:cs="宋体"/>
          <w:b/>
          <w:bCs/>
          <w:color w:val="000000" w:themeColor="text1"/>
          <w:kern w:val="0"/>
          <w:sz w:val="24"/>
          <w:lang w:bidi="ar"/>
          <w14:textFill>
            <w14:solidFill>
              <w14:schemeClr w14:val="tx1"/>
            </w14:solidFill>
          </w14:textFill>
        </w:rPr>
        <w:t>。</w:t>
      </w:r>
    </w:p>
    <w:p>
      <w:pPr>
        <w:widowControl/>
        <w:spacing w:line="360" w:lineRule="auto"/>
        <w:ind w:firstLine="480" w:firstLineChars="200"/>
        <w:jc w:val="left"/>
        <w:rPr>
          <w:color w:val="000000" w:themeColor="text1"/>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第八条 污水处理站运营外包费用的支付</w:t>
      </w:r>
    </w:p>
    <w:p>
      <w:pPr>
        <w:spacing w:line="440" w:lineRule="exact"/>
        <w:ind w:firstLine="480" w:firstLineChars="200"/>
        <w:rPr>
          <w:color w:val="000000" w:themeColor="text1"/>
          <w14:textFill>
            <w14:solidFill>
              <w14:schemeClr w14:val="tx1"/>
            </w14:solidFill>
          </w14:textFill>
        </w:rPr>
      </w:pPr>
      <w:r>
        <w:rPr>
          <w:rFonts w:hint="eastAsia" w:ascii="宋体" w:hAnsi="宋体" w:cs="宋体"/>
          <w:color w:val="000000" w:themeColor="text1"/>
          <w:sz w:val="24"/>
          <w14:textFill>
            <w14:solidFill>
              <w14:schemeClr w14:val="tx1"/>
            </w14:solidFill>
          </w14:textFill>
        </w:rPr>
        <w:t>付款方式：无预付款，无质量及服务问题，每半年支付合同总价的50%即人民币（大写）：</w:t>
      </w:r>
      <w:r>
        <w:rPr>
          <w:rFonts w:hint="eastAsia" w:ascii="宋体" w:hAnsi="宋体" w:cs="宋体"/>
          <w:b/>
          <w:bCs/>
          <w:color w:val="000000" w:themeColor="text1"/>
          <w:sz w:val="24"/>
          <w:u w:val="single"/>
          <w:lang w:val="en-US" w:eastAsia="zh-CN"/>
          <w14:textFill>
            <w14:solidFill>
              <w14:schemeClr w14:val="tx1"/>
            </w14:solidFill>
          </w14:textFill>
        </w:rPr>
        <w:t xml:space="preserve">          </w:t>
      </w:r>
      <w:r>
        <w:rPr>
          <w:rFonts w:hint="eastAsia" w:ascii="宋体" w:hAnsi="宋体" w:cs="宋体"/>
          <w:b/>
          <w:bCs/>
          <w:color w:val="000000" w:themeColor="text1"/>
          <w:sz w:val="24"/>
          <w:u w:val="single"/>
          <w14:textFill>
            <w14:solidFill>
              <w14:schemeClr w14:val="tx1"/>
            </w14:solidFill>
          </w14:textFill>
        </w:rPr>
        <w:t>元整</w:t>
      </w:r>
      <w:r>
        <w:rPr>
          <w:rFonts w:hint="eastAsia" w:ascii="宋体" w:hAnsi="宋体" w:cs="宋体"/>
          <w:color w:val="000000" w:themeColor="text1"/>
          <w:sz w:val="24"/>
          <w14:textFill>
            <w14:solidFill>
              <w14:schemeClr w14:val="tx1"/>
            </w14:solidFill>
          </w14:textFill>
        </w:rPr>
        <w:t xml:space="preserve"> ，小写：</w:t>
      </w:r>
      <w:r>
        <w:rPr>
          <w:rFonts w:hint="eastAsia" w:ascii="宋体" w:hAnsi="宋体" w:cs="宋体"/>
          <w:b/>
          <w:bCs/>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元。银行转账。</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五、资产管理与项目设施的移交</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第九条 资产所有权</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托管运营期间，西安医学院污水处理站（含生活区污水提升站）内的原有设施、设备的所有权及土地使用权归甲方所有。</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第十条 项目设施移交的范围</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移交的项目设施以现场清点数目为准，并制定交接清单，最终的交接清单需经甲、乙双方签字盖章后生效。（注：主要构筑物及相关工艺参数表以现场实际交接单为准）。</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第十一条 移交工作小组</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11.1 在正式运营前一周内，由甲乙双方共同组建移交工作小组，负责完成设施设备清点、运行交接、人员安置以及其他必要的前期工作。</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11.2 移交工作小组工作至项目设施移交完成之日解散。</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第十二条 项目设施的移交回转</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12.1 本协议期满后，乙方无偿将项目设施交回甲方，同时保证项目设施处于良好的运行状态。</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12.2 项目设施的移交回转过程及内容同项目设施的移交过程。</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六、人员办公场地安置</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第十三条 人员办公场地安置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13.1 托管运营期间乙方负责运行管理人员编制，同时按照招标文件要求，设置现场管理人员、技术员、化验员等，以上岗位人员保证在岗在位，不得兼职。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13.2 本协议期满后,乙方在撤离前,应确保甲方相关人员具备基本的运行能力，确保项目设备、设施的连续运转。 </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七、项目设施的运行、维护和保养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第十四条 项目设施的运行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14.1 乙方应保证项目设施每日正常运转。因设施设备检修需暂停服务时，须报甲方批准。</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14.2 对整个项目设施设备改造须事先征得甲方同意。</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第十五条 项目设施的维护和保养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15.1 项目设施的运行与维护应符合中国法律、法规和国家行业规范、标准的要求。</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15.2 乙方应制定保证设施设备完好的措施和计划，并接受甲方对有关设施设备完好情况的检查。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15.3 乙方应按照设备保养周期对项目设施、设备按时进行保养。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15.4 乙方应保障办公场所其他办公用品的正常使用。</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第十六条 甲方的监管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甲方或政府其他相关行业管理部门有权派员在任何时候进入现场，监督项目设施的运行和维护，了解乙方的生产经营信息，但不得干涉、延误或干扰乙方履行其在本协议下的权利和义务。 </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八、检测与核实</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第十七条 水质检测</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乙方每月向甲方提供一次水质检测报告，所有检测报告需加盖具备检测资质的第三方单位的检测专用章。</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第十八条 甲方的核实</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18.1 甲方有权对乙方的检测程序、结果进行检查；就乙方委托第三方进行水质检测，甲方有权委托具有资质的水质检测机构进行检测，以核实乙方提供的结果。甲方抽查采样时须有乙方人员在场。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18.2 甲方核实或抽查的结果与乙方自检结果不一致时，以双方认可的有资质的第三方检测结果为准。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18.3 甲方委托的检验机构进行上述核实或检查的费用应由甲方承担，但是如果核实或检查的结果表明乙方检测结果不符合标准时，则乙方应负担该等费用。</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九、不可抗力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第十九条 不可抗力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19.1 本协议中所指的不可抗力是指：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雷电、地震、火山爆发、滑坡、水灾、冰灾、暴雨、海啸、台风、龙卷风或旱灾等自然灾害；流行病、饥荒或瘟疫；战争行为、入侵、武装冲突或外敌行为、封锁或军事力量的使用，暴乱或恐怖行为；全国性、地区性、城市性或行业性罢工；由于不能归因于乙方的原因引起的连续壹个月以上的供电中断；国家征用、征收；导致本协议实际上不能履行的法律变更。</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19.2 任何一方如果因不可抗力而导致不能全部或部分履行本协议规定义务的，在不可抗力的影响范围内该方可全部或部分免除在本协议项下的相应义务，并不承担任何责任。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19.3 受到不可抗力影响的一方应尽一切合理努力和采取合理措施以继续履行其在本协议下的义务，减少不可抗力对其造成的影响。双方应协商制定并实施补救计划及合理的替代措施以消除不可抗力的影响。</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十、违约责任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第二十条 违约责任</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任何一方违反本协议规定的任何条款或条件导致本协议不能履行或部分不能履行，违约一方应承担违约责任，并赔偿由此给对方造成的经济损失。</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十一、争议的解决</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第二十一条 争议的解决</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21.1 对本协议有关的任何争议，双方应友好协商解决。</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21.2 争议未能解决的，可以通过向地区法院诉讼解决。</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十二、法律效力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第二十二条 法律效力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22.1 本协议的订立、履行、效力及解释均适合中国法律。如本协议有关条款与国家法律、法规相抵触，则对相应条款进行修改、完善，本协议其他条款继续履行。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22.2 对本协议的修改、变更、补充，必须经甲乙双方在共同协商的基础上签署书面补充协议，补充协议与本协议具有同等效力。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22.3 本协议的任何条款或任何部分的无效或不可强制执行，不应以任何方式影响本协议的任何其他条款或任何部分的效力。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22.4 除非导致协议的终止，针对本协议的任何违约责任的追究及责任承担，均不影响本协议之继续履行。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22.5 本协议所有附件是本协议不可分割的组成部分，与本协议具有同等法律效力。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22.6 本协议自签署之日即对双方产生同等的约束力及法律效力。</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十三、托管运营期限</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第二十三条 托管运营期限</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甲方授予乙方的托管运营期限为</w:t>
      </w:r>
      <w:r>
        <w:rPr>
          <w:rFonts w:hint="eastAsia" w:ascii="宋体" w:hAnsi="宋体" w:eastAsia="宋体" w:cs="宋体"/>
          <w:b/>
          <w:bCs/>
          <w:color w:val="000000" w:themeColor="text1"/>
          <w:kern w:val="0"/>
          <w:sz w:val="24"/>
          <w:u w:val="single"/>
          <w:lang w:bidi="ar"/>
          <w14:textFill>
            <w14:solidFill>
              <w14:schemeClr w14:val="tx1"/>
            </w14:solidFill>
          </w14:textFill>
        </w:rPr>
        <w:t>壹</w:t>
      </w:r>
      <w:r>
        <w:rPr>
          <w:rFonts w:hint="eastAsia" w:ascii="宋体" w:hAnsi="宋体" w:eastAsia="宋体" w:cs="宋体"/>
          <w:color w:val="000000" w:themeColor="text1"/>
          <w:kern w:val="0"/>
          <w:sz w:val="24"/>
          <w:lang w:bidi="ar"/>
          <w14:textFill>
            <w14:solidFill>
              <w14:schemeClr w14:val="tx1"/>
            </w14:solidFill>
          </w14:textFill>
        </w:rPr>
        <w:t>年，自</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年</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月</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日</w:t>
      </w:r>
      <w:r>
        <w:rPr>
          <w:rFonts w:hint="eastAsia" w:ascii="宋体" w:hAnsi="宋体" w:eastAsia="宋体" w:cs="宋体"/>
          <w:color w:val="000000" w:themeColor="text1"/>
          <w:kern w:val="0"/>
          <w:sz w:val="24"/>
          <w:lang w:bidi="ar"/>
          <w14:textFill>
            <w14:solidFill>
              <w14:schemeClr w14:val="tx1"/>
            </w14:solidFill>
          </w14:textFill>
        </w:rPr>
        <w:t>起至</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年</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月</w:t>
      </w:r>
      <w:r>
        <w:rPr>
          <w:rFonts w:hint="eastAsia" w:ascii="宋体" w:hAnsi="宋体" w:eastAsia="宋体" w:cs="宋体"/>
          <w:b/>
          <w:bCs/>
          <w:color w:val="000000" w:themeColor="text1"/>
          <w:kern w:val="0"/>
          <w:sz w:val="24"/>
          <w:u w:val="single"/>
          <w:lang w:val="en-US" w:eastAsia="zh-CN" w:bidi="ar"/>
          <w14:textFill>
            <w14:solidFill>
              <w14:schemeClr w14:val="tx1"/>
            </w14:solidFill>
          </w14:textFill>
        </w:rPr>
        <w:t xml:space="preserve">  </w:t>
      </w:r>
      <w:r>
        <w:rPr>
          <w:rFonts w:hint="eastAsia" w:ascii="宋体" w:hAnsi="宋体" w:eastAsia="宋体" w:cs="宋体"/>
          <w:b/>
          <w:bCs/>
          <w:color w:val="000000" w:themeColor="text1"/>
          <w:kern w:val="0"/>
          <w:sz w:val="24"/>
          <w:u w:val="single"/>
          <w:lang w:bidi="ar"/>
          <w14:textFill>
            <w14:solidFill>
              <w14:schemeClr w14:val="tx1"/>
            </w14:solidFill>
          </w14:textFill>
        </w:rPr>
        <w:t>日</w:t>
      </w:r>
      <w:r>
        <w:rPr>
          <w:rFonts w:hint="eastAsia" w:ascii="宋体" w:hAnsi="宋体" w:eastAsia="宋体" w:cs="宋体"/>
          <w:color w:val="000000" w:themeColor="text1"/>
          <w:kern w:val="0"/>
          <w:sz w:val="24"/>
          <w:lang w:bidi="ar"/>
          <w14:textFill>
            <w14:solidFill>
              <w14:schemeClr w14:val="tx1"/>
            </w14:solidFill>
          </w14:textFill>
        </w:rPr>
        <w:t>止。</w:t>
      </w:r>
    </w:p>
    <w:p>
      <w:pPr>
        <w:widowControl/>
        <w:spacing w:line="360" w:lineRule="auto"/>
        <w:ind w:firstLine="482" w:firstLineChars="200"/>
        <w:jc w:val="left"/>
        <w:rPr>
          <w:rFonts w:ascii="宋体" w:hAnsi="宋体" w:eastAsia="宋体" w:cs="宋体"/>
          <w:b/>
          <w:bCs/>
          <w:color w:val="000000" w:themeColor="text1"/>
          <w:kern w:val="0"/>
          <w:sz w:val="24"/>
          <w:lang w:bidi="ar"/>
          <w14:textFill>
            <w14:solidFill>
              <w14:schemeClr w14:val="tx1"/>
            </w14:solidFill>
          </w14:textFill>
        </w:rPr>
      </w:pPr>
      <w:r>
        <w:rPr>
          <w:rFonts w:hint="eastAsia" w:ascii="宋体" w:hAnsi="宋体" w:eastAsia="宋体" w:cs="宋体"/>
          <w:b/>
          <w:bCs/>
          <w:color w:val="000000" w:themeColor="text1"/>
          <w:kern w:val="0"/>
          <w:sz w:val="24"/>
          <w:lang w:bidi="ar"/>
          <w14:textFill>
            <w14:solidFill>
              <w14:schemeClr w14:val="tx1"/>
            </w14:solidFill>
          </w14:textFill>
        </w:rPr>
        <w:t>十四、其他</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1.对本合同条款做出任何修改，均须由甲、乙方双方协商，以书面补充合同形式进行。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2.本合同经甲、乙双方签字盖章后立即生效，壹式陆份，具有同等法律效力。</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3.本项目外包服务年限为壹年，合同期满经考核达到良好或以上标准，经双方协商可续签壹年合同。</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合同附件：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附录 1 站区内主要构筑物及设备一览表 </w:t>
      </w:r>
    </w:p>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附录 2 污水站年度考核内容 </w:t>
      </w:r>
    </w:p>
    <w:tbl>
      <w:tblPr>
        <w:tblStyle w:val="7"/>
        <w:tblW w:w="96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175"/>
        <w:gridCol w:w="6035"/>
        <w:gridCol w:w="650"/>
        <w:gridCol w:w="1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序号</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考核项目</w:t>
            </w:r>
          </w:p>
        </w:tc>
        <w:tc>
          <w:tcPr>
            <w:tcW w:w="603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考核内容</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分值</w:t>
            </w:r>
          </w:p>
        </w:tc>
        <w:tc>
          <w:tcPr>
            <w:tcW w:w="1088"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684"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w:t>
            </w:r>
          </w:p>
        </w:tc>
        <w:tc>
          <w:tcPr>
            <w:tcW w:w="1175"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制度完善</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建立完善工艺管理制度，制定严格的岗位责任制（设备保养制度、交接班制度、安全操作制度）</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1088" w:type="dxa"/>
            <w:vMerge w:val="restart"/>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考 核 标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准，90 分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以 上 为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优秀，80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分 以 上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为良好，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低 于 80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 xml:space="preserve">分 为 不 </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合格。</w:t>
            </w:r>
          </w:p>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遵守学校及污水站的管理制度，严格执行操作规程。</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岗位要求</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各岗位操作人员应经过专业培训，了解处理工艺，熟悉本岗位设施、设备的运行要求和技术指标，并熟练掌握本岗位工作技能。</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3</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异常处理</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发生异常情况时（如停电、雨季，系统异常等）能及时查明原因，并采取应对措施，确保污水站设施、设备安全可靠，确保达标排放。</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管理台账</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认真做好运行记录和各项参数数据统计（设备运行记录、加药记录，主要参数控制记录、交接班记录等）各类报表按时填写，准确无误、字迹清晰并妥善保管。</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4"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水质达标排放</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生产过程中设施设备处于最优状态，做到达标排放。（执行标准：《污水综合排放标准》（GB8978-1996）一级排放标准、《污水排入城镇下水道水质标准》（GB/T31962-2015）C级标准及《医疗机构水污染物排放标准》（GB18466-2005）中表2排放标准）</w:t>
            </w:r>
          </w:p>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确保系统污水100%达标处理，不得对周边区域造成环境影响。</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20</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6</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污泥处理</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污水处理站污泥必须严格按照有关技术标准和规范进行分类收集、贮存和处理</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7</w:t>
            </w:r>
          </w:p>
        </w:tc>
        <w:tc>
          <w:tcPr>
            <w:tcW w:w="1175"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水质化验</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按照排污许可及学校相关部门的要求定期对水质进行化验，并按期提交检测报告（月）检测做好规范、完整、真实。</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684"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8</w:t>
            </w:r>
          </w:p>
        </w:tc>
        <w:tc>
          <w:tcPr>
            <w:tcW w:w="1175"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设备维护、保养</w:t>
            </w:r>
          </w:p>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设备整洁，结构完整无缺件，计量仪表灵敏可靠。机械设备润滑良好，无异响，设备运行稳定正常。</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建立完整的设备单机档案资料，应包括保养、维修、故障、更新、报废等记录。</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根据设备使用情况，确保有相应的备品、备件及建立备件管理制度。制定合理的设备月度、年度检修计划。</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9</w:t>
            </w:r>
          </w:p>
        </w:tc>
        <w:tc>
          <w:tcPr>
            <w:tcW w:w="1175"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安全培训</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培训资料齐全（培训大纲、培训内容、学习记录、考核答卷）</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岗位责任制学习，操作规程，作业规程学习</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污水站按要求设置各类警示标志、标识。</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4</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积极参与校方组织的各类安全培训，应急演练</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10</w:t>
            </w:r>
          </w:p>
        </w:tc>
        <w:tc>
          <w:tcPr>
            <w:tcW w:w="1175" w:type="dxa"/>
            <w:vMerge w:val="restart"/>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现场管理</w:t>
            </w: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化验区域、操作区域、设备机房等为重点位置严禁吸烟、无垃圾堆放，照明设施完整。</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top"/>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门、窗、玻璃明亮无破损，墙壁无乱涂画，整洁，用品、工具排放整齐有序、设施、设备保持清洁，及时处理跑冒滴漏堵等问题</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2</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84"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c>
          <w:tcPr>
            <w:tcW w:w="1175" w:type="dxa"/>
            <w:vMerge w:val="continue"/>
            <w:noWrap w:val="0"/>
            <w:vAlign w:val="top"/>
          </w:tcPr>
          <w:p>
            <w:pPr>
              <w:jc w:val="center"/>
              <w:rPr>
                <w:rFonts w:ascii="宋体" w:hAnsi="宋体" w:eastAsia="宋体" w:cs="宋体"/>
                <w:color w:val="000000" w:themeColor="text1"/>
                <w:szCs w:val="21"/>
                <w14:textFill>
                  <w14:solidFill>
                    <w14:schemeClr w14:val="tx1"/>
                  </w14:solidFill>
                </w14:textFill>
              </w:rPr>
            </w:pPr>
          </w:p>
        </w:tc>
        <w:tc>
          <w:tcPr>
            <w:tcW w:w="6035" w:type="dxa"/>
            <w:noWrap w:val="0"/>
            <w:vAlign w:val="center"/>
          </w:tcPr>
          <w:p>
            <w:pP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协助校方做好对外迎接检查工作，及时提供各类数据。</w:t>
            </w:r>
          </w:p>
        </w:tc>
        <w:tc>
          <w:tcPr>
            <w:tcW w:w="650" w:type="dxa"/>
            <w:noWrap w:val="0"/>
            <w:vAlign w:val="center"/>
          </w:tcPr>
          <w:p>
            <w:pPr>
              <w:jc w:val="center"/>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5</w:t>
            </w:r>
          </w:p>
        </w:tc>
        <w:tc>
          <w:tcPr>
            <w:tcW w:w="1088" w:type="dxa"/>
            <w:vMerge w:val="continue"/>
            <w:noWrap w:val="0"/>
            <w:vAlign w:val="center"/>
          </w:tcPr>
          <w:p>
            <w:pPr>
              <w:jc w:val="center"/>
              <w:rPr>
                <w:rFonts w:ascii="宋体" w:hAnsi="宋体" w:eastAsia="宋体" w:cs="宋体"/>
                <w:color w:val="000000" w:themeColor="text1"/>
                <w:szCs w:val="21"/>
                <w14:textFill>
                  <w14:solidFill>
                    <w14:schemeClr w14:val="tx1"/>
                  </w14:solidFill>
                </w14:textFill>
              </w:rPr>
            </w:pPr>
          </w:p>
        </w:tc>
      </w:tr>
    </w:tbl>
    <w:p>
      <w:pPr>
        <w:widowControl/>
        <w:spacing w:line="360" w:lineRule="auto"/>
        <w:ind w:firstLine="480" w:firstLineChars="200"/>
        <w:jc w:val="left"/>
        <w:rPr>
          <w:rFonts w:ascii="宋体" w:hAnsi="宋体" w:eastAsia="宋体" w:cs="宋体"/>
          <w:color w:val="000000" w:themeColor="text1"/>
          <w:kern w:val="0"/>
          <w:sz w:val="24"/>
          <w:lang w:bidi="ar"/>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 </w:t>
      </w:r>
    </w:p>
    <w:p>
      <w:pPr>
        <w:widowControl/>
        <w:spacing w:line="480" w:lineRule="auto"/>
        <w:jc w:val="left"/>
        <w:rPr>
          <w:rFonts w:hint="default" w:ascii="宋体" w:hAnsi="宋体" w:eastAsia="宋体" w:cs="宋体"/>
          <w:color w:val="000000" w:themeColor="text1"/>
          <w:sz w:val="24"/>
          <w:u w:val="single"/>
          <w:lang w:val="en-US" w:eastAsia="zh-CN"/>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甲方（盖章）：</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r>
        <w:rPr>
          <w:rFonts w:hint="eastAsia" w:ascii="宋体" w:hAnsi="宋体" w:cs="宋体"/>
          <w:color w:val="000000" w:themeColor="text1"/>
          <w:sz w:val="24"/>
          <w:u w:val="single"/>
          <w14:textFill>
            <w14:solidFill>
              <w14:schemeClr w14:val="tx1"/>
            </w14:solidFill>
          </w14:textFill>
        </w:rPr>
        <w:t xml:space="preserve"> </w:t>
      </w:r>
      <w:r>
        <w:rPr>
          <w:rFonts w:hint="eastAsia" w:ascii="宋体" w:hAnsi="宋体" w:cs="宋体"/>
          <w:color w:val="000000" w:themeColor="text1"/>
          <w:sz w:val="24"/>
          <w14:textFill>
            <w14:solidFill>
              <w14:schemeClr w14:val="tx1"/>
            </w14:solidFill>
          </w14:textFill>
        </w:rPr>
        <w:t xml:space="preserve">           </w:t>
      </w:r>
      <w:r>
        <w:rPr>
          <w:rFonts w:hint="eastAsia" w:ascii="宋体" w:hAnsi="宋体" w:eastAsia="宋体" w:cs="宋体"/>
          <w:color w:val="000000" w:themeColor="text1"/>
          <w:kern w:val="0"/>
          <w:sz w:val="24"/>
          <w:lang w:bidi="ar"/>
          <w14:textFill>
            <w14:solidFill>
              <w14:schemeClr w14:val="tx1"/>
            </w14:solidFill>
          </w14:textFill>
        </w:rPr>
        <w:t>乙方（盖章）：</w:t>
      </w:r>
      <w:r>
        <w:rPr>
          <w:rFonts w:hint="eastAsia" w:ascii="宋体" w:hAnsi="宋体" w:eastAsia="宋体" w:cs="宋体"/>
          <w:color w:val="000000" w:themeColor="text1"/>
          <w:sz w:val="24"/>
          <w:u w:val="single"/>
          <w:lang w:val="en-US" w:eastAsia="zh-CN"/>
          <w14:textFill>
            <w14:solidFill>
              <w14:schemeClr w14:val="tx1"/>
            </w14:solidFill>
          </w14:textFill>
        </w:rPr>
        <w:t xml:space="preserve">            </w:t>
      </w:r>
    </w:p>
    <w:p>
      <w:pPr>
        <w:spacing w:line="480" w:lineRule="auto"/>
        <w:ind w:left="5040" w:hanging="5040" w:hangingChars="2100"/>
        <w:jc w:val="left"/>
        <w:rPr>
          <w:rFonts w:ascii="Arial" w:hAnsi="Arial" w:cs="Arial"/>
          <w:color w:val="000000" w:themeColor="text1"/>
          <w:sz w:val="24"/>
          <w14:textFill>
            <w14:solidFill>
              <w14:schemeClr w14:val="tx1"/>
            </w14:solidFill>
          </w14:textFill>
        </w:rPr>
      </w:pPr>
      <w:r>
        <w:rPr>
          <w:rFonts w:ascii="Arial" w:hAnsi="Arial" w:eastAsia="宋体" w:cs="Arial"/>
          <w:color w:val="000000" w:themeColor="text1"/>
          <w:sz w:val="24"/>
          <w14:textFill>
            <w14:solidFill>
              <w14:schemeClr w14:val="tx1"/>
            </w14:solidFill>
          </w14:textFill>
        </w:rPr>
        <w:t>地址：</w:t>
      </w:r>
      <w:r>
        <w:rPr>
          <w:rFonts w:hint="eastAsia" w:ascii="宋体" w:hAnsi="宋体" w:eastAsia="宋体"/>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地址：</w:t>
      </w:r>
      <w:r>
        <w:rPr>
          <w:rFonts w:hint="eastAsia" w:ascii="宋体" w:hAnsi="宋体" w:eastAsia="宋体"/>
          <w:color w:val="000000" w:themeColor="text1"/>
          <w:sz w:val="24"/>
          <w:u w:val="single"/>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p>
    <w:p>
      <w:pPr>
        <w:widowControl/>
        <w:spacing w:line="480" w:lineRule="auto"/>
        <w:jc w:val="left"/>
        <w:rPr>
          <w:rFonts w:ascii="Arial" w:hAnsi="Arial" w:eastAsia="宋体" w:cs="Arial"/>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 xml:space="preserve">法定代表人或授权代表：             </w:t>
      </w:r>
      <w:r>
        <w:rPr>
          <w:rFonts w:hint="eastAsia" w:ascii="宋体" w:hAnsi="宋体" w:eastAsia="宋体" w:cs="宋体"/>
          <w:color w:val="000000" w:themeColor="text1"/>
          <w:kern w:val="0"/>
          <w:sz w:val="24"/>
          <w:lang w:val="en-US" w:eastAsia="zh-CN" w:bidi="ar"/>
          <w14:textFill>
            <w14:solidFill>
              <w14:schemeClr w14:val="tx1"/>
            </w14:solidFill>
          </w14:textFill>
        </w:rPr>
        <w:t xml:space="preserve"> </w:t>
      </w:r>
      <w:r>
        <w:rPr>
          <w:rFonts w:hint="eastAsia" w:ascii="宋体" w:hAnsi="宋体" w:eastAsia="宋体" w:cs="宋体"/>
          <w:color w:val="000000" w:themeColor="text1"/>
          <w:kern w:val="0"/>
          <w:sz w:val="24"/>
          <w:lang w:bidi="ar"/>
          <w14:textFill>
            <w14:solidFill>
              <w14:schemeClr w14:val="tx1"/>
            </w14:solidFill>
          </w14:textFill>
        </w:rPr>
        <w:t>法定代表人或授权代表：</w:t>
      </w:r>
      <w:r>
        <w:rPr>
          <w:rFonts w:ascii="Arial" w:hAnsi="Arial" w:eastAsia="宋体" w:cs="Arial"/>
          <w:color w:val="000000" w:themeColor="text1"/>
          <w:sz w:val="24"/>
          <w14:textFill>
            <w14:solidFill>
              <w14:schemeClr w14:val="tx1"/>
            </w14:solidFill>
          </w14:textFill>
        </w:rPr>
        <w:t xml:space="preserve">  </w:t>
      </w:r>
    </w:p>
    <w:p>
      <w:pPr>
        <w:widowControl/>
        <w:spacing w:line="480" w:lineRule="auto"/>
        <w:jc w:val="left"/>
        <w:rPr>
          <w:rFonts w:ascii="Arial" w:hAnsi="Arial" w:eastAsia="宋体" w:cs="Arial"/>
          <w:color w:val="000000" w:themeColor="text1"/>
          <w:sz w:val="24"/>
          <w14:textFill>
            <w14:solidFill>
              <w14:schemeClr w14:val="tx1"/>
            </w14:solidFill>
          </w14:textFill>
        </w:rPr>
      </w:pPr>
      <w:r>
        <w:rPr>
          <w:rFonts w:hint="eastAsia" w:ascii="Arial" w:hAnsi="Arial" w:eastAsia="宋体" w:cs="Arial"/>
          <w:color w:val="000000" w:themeColor="text1"/>
          <w:sz w:val="24"/>
          <w14:textFill>
            <w14:solidFill>
              <w14:schemeClr w14:val="tx1"/>
            </w14:solidFill>
          </w14:textFill>
        </w:rPr>
        <w:t>日期：      年    月    日</w:t>
      </w:r>
      <w:r>
        <w:rPr>
          <w:rFonts w:ascii="Arial" w:hAnsi="Arial" w:eastAsia="宋体" w:cs="Arial"/>
          <w:color w:val="000000" w:themeColor="text1"/>
          <w:sz w:val="24"/>
          <w14:textFill>
            <w14:solidFill>
              <w14:schemeClr w14:val="tx1"/>
            </w14:solidFill>
          </w14:textFill>
        </w:rPr>
        <w:t xml:space="preserve">    </w:t>
      </w:r>
      <w:r>
        <w:rPr>
          <w:rFonts w:hint="eastAsia" w:ascii="Arial" w:hAnsi="Arial" w:eastAsia="宋体" w:cs="Arial"/>
          <w:color w:val="000000" w:themeColor="text1"/>
          <w:sz w:val="24"/>
          <w14:textFill>
            <w14:solidFill>
              <w14:schemeClr w14:val="tx1"/>
            </w14:solidFill>
          </w14:textFill>
        </w:rPr>
        <w:t xml:space="preserve"> </w:t>
      </w:r>
      <w:r>
        <w:rPr>
          <w:rFonts w:ascii="Arial" w:hAnsi="Arial" w:eastAsia="宋体" w:cs="Arial"/>
          <w:color w:val="000000" w:themeColor="text1"/>
          <w:sz w:val="24"/>
          <w14:textFill>
            <w14:solidFill>
              <w14:schemeClr w14:val="tx1"/>
            </w14:solidFill>
          </w14:textFill>
        </w:rPr>
        <w:t xml:space="preserve">  </w:t>
      </w:r>
      <w:r>
        <w:rPr>
          <w:rFonts w:hint="eastAsia" w:ascii="Arial" w:hAnsi="Arial" w:eastAsia="宋体" w:cs="Arial"/>
          <w:color w:val="000000" w:themeColor="text1"/>
          <w:sz w:val="24"/>
          <w14:textFill>
            <w14:solidFill>
              <w14:schemeClr w14:val="tx1"/>
            </w14:solidFill>
          </w14:textFill>
        </w:rPr>
        <w:t xml:space="preserve">  </w:t>
      </w:r>
      <w:r>
        <w:rPr>
          <w:rFonts w:hint="eastAsia" w:ascii="Arial" w:hAnsi="Arial" w:eastAsia="宋体" w:cs="Arial"/>
          <w:color w:val="000000" w:themeColor="text1"/>
          <w:sz w:val="24"/>
          <w:lang w:val="en-US" w:eastAsia="zh-CN"/>
          <w14:textFill>
            <w14:solidFill>
              <w14:schemeClr w14:val="tx1"/>
            </w14:solidFill>
          </w14:textFill>
        </w:rPr>
        <w:t xml:space="preserve"> </w:t>
      </w:r>
      <w:r>
        <w:rPr>
          <w:rFonts w:hint="eastAsia" w:ascii="Arial" w:hAnsi="Arial" w:eastAsia="宋体" w:cs="Arial"/>
          <w:color w:val="000000" w:themeColor="text1"/>
          <w:sz w:val="24"/>
          <w14:textFill>
            <w14:solidFill>
              <w14:schemeClr w14:val="tx1"/>
            </w14:solidFill>
          </w14:textFill>
        </w:rPr>
        <w:t>日期：     年    月    日</w:t>
      </w:r>
      <w:r>
        <w:rPr>
          <w:rFonts w:ascii="Arial" w:hAnsi="Arial" w:eastAsia="宋体" w:cs="Arial"/>
          <w:color w:val="000000" w:themeColor="text1"/>
          <w:sz w:val="24"/>
          <w14:textFill>
            <w14:solidFill>
              <w14:schemeClr w14:val="tx1"/>
            </w14:solidFill>
          </w14:textFill>
        </w:rPr>
        <w:t xml:space="preserve">                        </w:t>
      </w:r>
    </w:p>
    <w:p>
      <w:pPr>
        <w:spacing w:line="480" w:lineRule="auto"/>
        <w:rPr>
          <w:rFonts w:ascii="宋体" w:hAnsi="宋体"/>
          <w:color w:val="000000" w:themeColor="text1"/>
          <w:sz w:val="24"/>
          <w14:textFill>
            <w14:solidFill>
              <w14:schemeClr w14:val="tx1"/>
            </w14:solidFill>
          </w14:textFill>
        </w:rPr>
      </w:pPr>
      <w:r>
        <w:rPr>
          <w:rFonts w:ascii="宋体" w:hAnsi="宋体"/>
          <w:color w:val="000000" w:themeColor="text1"/>
          <w:sz w:val="24"/>
          <w14:textFill>
            <w14:solidFill>
              <w14:schemeClr w14:val="tx1"/>
            </w14:solidFill>
          </w14:textFill>
        </w:rPr>
        <w:t>电话：</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 xml:space="preserve"> </w:t>
      </w:r>
      <w:r>
        <w:rPr>
          <w:rFonts w:hint="eastAsia" w:ascii="宋体" w:hAnsi="宋体"/>
          <w:color w:val="000000" w:themeColor="text1"/>
          <w:sz w:val="24"/>
          <w:lang w:val="en-US" w:eastAsia="zh-CN"/>
          <w14:textFill>
            <w14:solidFill>
              <w14:schemeClr w14:val="tx1"/>
            </w14:solidFill>
          </w14:textFill>
        </w:rPr>
        <w:t xml:space="preserve"> </w:t>
      </w:r>
      <w:r>
        <w:rPr>
          <w:rFonts w:hint="eastAsia" w:ascii="宋体" w:hAnsi="宋体"/>
          <w:color w:val="000000" w:themeColor="text1"/>
          <w:sz w:val="24"/>
          <w14:textFill>
            <w14:solidFill>
              <w14:schemeClr w14:val="tx1"/>
            </w14:solidFill>
          </w14:textFill>
        </w:rPr>
        <w:t>电话：</w:t>
      </w:r>
    </w:p>
    <w:p>
      <w:pPr>
        <w:rPr>
          <w:color w:val="000000" w:themeColor="text1"/>
          <w:lang w:val="zh-CN"/>
          <w14:textFill>
            <w14:solidFill>
              <w14:schemeClr w14:val="tx1"/>
            </w14:solidFill>
          </w14:textFill>
        </w:rPr>
      </w:pPr>
    </w:p>
    <w:p>
      <w:pPr>
        <w:pStyle w:val="5"/>
        <w:bidi w:val="0"/>
        <w:rPr>
          <w:lang w:val="zh-CN"/>
        </w:rPr>
      </w:pPr>
    </w:p>
    <w:p>
      <w:pPr>
        <w:pStyle w:val="5"/>
        <w:bidi w:val="0"/>
        <w:rPr>
          <w:lang w:val="zh-CN"/>
        </w:rPr>
      </w:pPr>
    </w:p>
    <w:p>
      <w:pPr>
        <w:pStyle w:val="5"/>
        <w:bidi w:val="0"/>
        <w:rPr>
          <w:lang w:val="zh-CN"/>
        </w:rPr>
      </w:pPr>
    </w:p>
    <w:p>
      <w:pPr>
        <w:pStyle w:val="5"/>
        <w:bidi w:val="0"/>
        <w:rPr>
          <w:lang w:val="zh-CN"/>
        </w:rPr>
      </w:pPr>
    </w:p>
    <w:p>
      <w:pPr>
        <w:pStyle w:val="5"/>
        <w:bidi w:val="0"/>
        <w:rPr>
          <w:lang w:val="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4EE166"/>
    <w:multiLevelType w:val="singleLevel"/>
    <w:tmpl w:val="A24EE166"/>
    <w:lvl w:ilvl="0" w:tentative="0">
      <w:start w:val="1"/>
      <w:numFmt w:val="chineseCounting"/>
      <w:suff w:val="space"/>
      <w:lvlText w:val="第%1条"/>
      <w:lvlJc w:val="left"/>
      <w:rPr>
        <w:rFonts w:hint="eastAsia"/>
      </w:rPr>
    </w:lvl>
  </w:abstractNum>
  <w:abstractNum w:abstractNumId="1">
    <w:nsid w:val="2B6132BC"/>
    <w:multiLevelType w:val="singleLevel"/>
    <w:tmpl w:val="2B6132BC"/>
    <w:lvl w:ilvl="0" w:tentative="0">
      <w:start w:val="1"/>
      <w:numFmt w:val="decimal"/>
      <w:suff w:val="nothing"/>
      <w:lvlText w:val="（%1）"/>
      <w:lvlJc w:val="left"/>
      <w:pPr>
        <w:ind w:left="-60"/>
      </w:pPr>
    </w:lvl>
  </w:abstractNum>
  <w:abstractNum w:abstractNumId="2">
    <w:nsid w:val="46335E6F"/>
    <w:multiLevelType w:val="multilevel"/>
    <w:tmpl w:val="46335E6F"/>
    <w:lvl w:ilvl="0" w:tentative="0">
      <w:start w:val="1"/>
      <w:numFmt w:val="decimal"/>
      <w:pStyle w:val="3"/>
      <w:lvlText w:val="（%1）"/>
      <w:lvlJc w:val="left"/>
      <w:pPr>
        <w:ind w:left="987" w:hanging="420"/>
      </w:pPr>
      <w:rPr>
        <w:rFonts w:hint="eastAsia"/>
      </w:rPr>
    </w:lvl>
    <w:lvl w:ilvl="1" w:tentative="0">
      <w:start w:val="1"/>
      <w:numFmt w:val="lowerLetter"/>
      <w:lvlText w:val="%2)"/>
      <w:lvlJc w:val="left"/>
      <w:pPr>
        <w:ind w:left="1407" w:hanging="420"/>
      </w:pPr>
    </w:lvl>
    <w:lvl w:ilvl="2" w:tentative="0">
      <w:start w:val="1"/>
      <w:numFmt w:val="lowerRoman"/>
      <w:lvlText w:val="%3."/>
      <w:lvlJc w:val="right"/>
      <w:pPr>
        <w:ind w:left="1827" w:hanging="420"/>
      </w:pPr>
    </w:lvl>
    <w:lvl w:ilvl="3" w:tentative="0">
      <w:start w:val="1"/>
      <w:numFmt w:val="decimal"/>
      <w:lvlText w:val="%4."/>
      <w:lvlJc w:val="left"/>
      <w:pPr>
        <w:ind w:left="2247" w:hanging="420"/>
      </w:pPr>
    </w:lvl>
    <w:lvl w:ilvl="4" w:tentative="0">
      <w:start w:val="1"/>
      <w:numFmt w:val="lowerLetter"/>
      <w:lvlText w:val="%5)"/>
      <w:lvlJc w:val="left"/>
      <w:pPr>
        <w:ind w:left="2667" w:hanging="420"/>
      </w:pPr>
    </w:lvl>
    <w:lvl w:ilvl="5" w:tentative="0">
      <w:start w:val="1"/>
      <w:numFmt w:val="lowerRoman"/>
      <w:lvlText w:val="%6."/>
      <w:lvlJc w:val="right"/>
      <w:pPr>
        <w:ind w:left="3087" w:hanging="420"/>
      </w:pPr>
    </w:lvl>
    <w:lvl w:ilvl="6" w:tentative="0">
      <w:start w:val="1"/>
      <w:numFmt w:val="decimal"/>
      <w:lvlText w:val="%7."/>
      <w:lvlJc w:val="left"/>
      <w:pPr>
        <w:ind w:left="3507" w:hanging="420"/>
      </w:pPr>
    </w:lvl>
    <w:lvl w:ilvl="7" w:tentative="0">
      <w:start w:val="1"/>
      <w:numFmt w:val="lowerLetter"/>
      <w:lvlText w:val="%8)"/>
      <w:lvlJc w:val="left"/>
      <w:pPr>
        <w:ind w:left="3927" w:hanging="420"/>
      </w:pPr>
    </w:lvl>
    <w:lvl w:ilvl="8" w:tentative="0">
      <w:start w:val="1"/>
      <w:numFmt w:val="lowerRoman"/>
      <w:lvlText w:val="%9."/>
      <w:lvlJc w:val="right"/>
      <w:pPr>
        <w:ind w:left="4347" w:hanging="420"/>
      </w:pPr>
    </w:lvl>
  </w:abstractNum>
  <w:abstractNum w:abstractNumId="3">
    <w:nsid w:val="6DE37B95"/>
    <w:multiLevelType w:val="multilevel"/>
    <w:tmpl w:val="6DE37B95"/>
    <w:lvl w:ilvl="0" w:tentative="0">
      <w:start w:val="1"/>
      <w:numFmt w:val="decimal"/>
      <w:lvlText w:val="1.4.5.%1"/>
      <w:lvlJc w:val="left"/>
      <w:pPr>
        <w:tabs>
          <w:tab w:val="left" w:pos="720"/>
        </w:tabs>
        <w:ind w:left="0" w:firstLine="0"/>
      </w:pPr>
      <w:rPr>
        <w:rFonts w:hint="eastAsia"/>
      </w:rPr>
    </w:lvl>
    <w:lvl w:ilvl="1" w:tentative="0">
      <w:start w:val="1"/>
      <w:numFmt w:val="decimal"/>
      <w:pStyle w:val="2"/>
      <w:lvlText w:val="%1.%2"/>
      <w:lvlJc w:val="left"/>
      <w:pPr>
        <w:tabs>
          <w:tab w:val="left" w:pos="360"/>
        </w:tabs>
        <w:ind w:left="0" w:firstLine="0"/>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781"/>
        </w:tabs>
        <w:ind w:left="2551" w:hanging="850"/>
      </w:pPr>
      <w:rPr>
        <w:rFonts w:hint="eastAsia"/>
      </w:rPr>
    </w:lvl>
    <w:lvl w:ilvl="5" w:tentative="0">
      <w:start w:val="1"/>
      <w:numFmt w:val="decimal"/>
      <w:lvlText w:val="%1.%2.%3.%4.%5.%6"/>
      <w:lvlJc w:val="left"/>
      <w:pPr>
        <w:tabs>
          <w:tab w:val="left" w:pos="3566"/>
        </w:tabs>
        <w:ind w:left="3260" w:hanging="1134"/>
      </w:pPr>
      <w:rPr>
        <w:rFonts w:hint="eastAsia"/>
      </w:rPr>
    </w:lvl>
    <w:lvl w:ilvl="6" w:tentative="0">
      <w:start w:val="1"/>
      <w:numFmt w:val="decimal"/>
      <w:lvlText w:val="%1.%2.%3.%4.%5.%6.%7"/>
      <w:lvlJc w:val="left"/>
      <w:pPr>
        <w:tabs>
          <w:tab w:val="left" w:pos="3991"/>
        </w:tabs>
        <w:ind w:left="3827" w:hanging="1276"/>
      </w:pPr>
      <w:rPr>
        <w:rFonts w:hint="eastAsia"/>
      </w:rPr>
    </w:lvl>
    <w:lvl w:ilvl="7" w:tentative="0">
      <w:start w:val="1"/>
      <w:numFmt w:val="decimal"/>
      <w:lvlText w:val="%1.%2.%3.%4.%5.%6.%7.%8"/>
      <w:lvlJc w:val="left"/>
      <w:pPr>
        <w:tabs>
          <w:tab w:val="left" w:pos="4776"/>
        </w:tabs>
        <w:ind w:left="4394" w:hanging="1418"/>
      </w:pPr>
      <w:rPr>
        <w:rFonts w:hint="eastAsia"/>
      </w:rPr>
    </w:lvl>
    <w:lvl w:ilvl="8" w:tentative="0">
      <w:start w:val="1"/>
      <w:numFmt w:val="decimal"/>
      <w:lvlText w:val="%1.%2.%3.%4.%5.%6.%7.%8.%9"/>
      <w:lvlJc w:val="left"/>
      <w:pPr>
        <w:tabs>
          <w:tab w:val="left" w:pos="5562"/>
        </w:tabs>
        <w:ind w:left="5102" w:hanging="1700"/>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EyM2QxZTM0MWMwMjUzZWFlZmU1OGRiYzgyMWQ0NWIifQ=="/>
  </w:docVars>
  <w:rsids>
    <w:rsidRoot w:val="6DB665C8"/>
    <w:rsid w:val="6DB665C8"/>
    <w:rsid w:val="70011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引言二级条标题"/>
    <w:basedOn w:val="3"/>
    <w:next w:val="4"/>
    <w:qFormat/>
    <w:uiPriority w:val="0"/>
    <w:pPr>
      <w:numPr>
        <w:ilvl w:val="1"/>
        <w:numId w:val="1"/>
      </w:numPr>
    </w:pPr>
    <w:rPr>
      <w:rFonts w:eastAsia="黑体"/>
      <w:b w:val="0"/>
      <w:kern w:val="2"/>
      <w:sz w:val="21"/>
    </w:rPr>
  </w:style>
  <w:style w:type="paragraph" w:customStyle="1" w:styleId="3">
    <w:name w:val="引言一级条标题"/>
    <w:basedOn w:val="1"/>
    <w:next w:val="4"/>
    <w:qFormat/>
    <w:uiPriority w:val="99"/>
    <w:pPr>
      <w:numPr>
        <w:ilvl w:val="0"/>
        <w:numId w:val="2"/>
      </w:numPr>
    </w:pPr>
    <w:rPr>
      <w:rFonts w:ascii="Times New Roman" w:hAnsi="Times New Roman" w:eastAsia="黑体"/>
      <w:b/>
    </w:rPr>
  </w:style>
  <w:style w:type="paragraph" w:customStyle="1" w:styleId="4">
    <w:name w:val="段"/>
    <w:qFormat/>
    <w:uiPriority w:val="99"/>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5">
    <w:name w:val="Body Text"/>
    <w:basedOn w:val="1"/>
    <w:next w:val="1"/>
    <w:qFormat/>
    <w:uiPriority w:val="0"/>
    <w:pPr>
      <w:jc w:val="left"/>
    </w:pPr>
    <w:rPr>
      <w:rFonts w:ascii="Copperplate Gothic Bold" w:hAnsi="Copperplate Gothic Bold"/>
      <w:sz w:val="28"/>
    </w:rPr>
  </w:style>
  <w:style w:type="paragraph" w:styleId="6">
    <w:name w:val="Body Text First Indent"/>
    <w:basedOn w:val="5"/>
    <w:qFormat/>
    <w:uiPriority w:val="99"/>
    <w:pPr>
      <w:ind w:firstLine="420" w:firstLineChars="100"/>
    </w:pPr>
  </w:style>
  <w:style w:type="paragraph" w:customStyle="1" w:styleId="9">
    <w:name w:val="font10"/>
    <w:basedOn w:val="1"/>
    <w:qFormat/>
    <w:uiPriority w:val="0"/>
    <w:pPr>
      <w:widowControl/>
      <w:spacing w:before="100" w:beforeAutospacing="1" w:after="100" w:afterAutospacing="1"/>
      <w:jc w:val="left"/>
    </w:pPr>
    <w:rPr>
      <w:rFonts w:hint="eastAsia" w:ascii="宋体" w:hAnsi="宋体"/>
      <w:kern w:val="0"/>
      <w:sz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2024-06-25T01:39:00Z</dcterms:created>
  <dc:creator>Astronaut</dc:creator>
  <cp:lastModifiedBy>Astronaut</cp:lastModifiedBy>
  <dcterms:modified xsi:type="dcterms:W3CDTF">2024-06-25T01:40:24Z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726F5AB915E142E6ABFE9026B1B920E4_11</vt:lpwstr>
  </property>
</Properties>
</file>