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版本号：240704001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陕西好粮油品牌公益广告地铁投放项目</w:t>
      </w:r>
    </w:p>
    <w:p>
      <w:pPr>
        <w:pStyle w:val="null3"/>
        <w:jc w:val="center"/>
        <w:outlineLvl w:val="5"/>
      </w:pPr>
      <w:r>
        <w:rPr>
          <w:sz w:val="15"/>
          <w:b/>
        </w:rPr>
        <w:t xml:space="preserve">采购项目编号: </w:t>
      </w:r>
      <w:r>
        <w:rPr>
          <w:sz w:val="15"/>
          <w:b/>
        </w:rPr>
        <w:t>ZTZLZC-XA2024-06122</w:t>
      </w:r>
      <w:r>
        <w:br/>
      </w:r>
      <w:r>
        <w:br/>
      </w:r>
      <w:r>
        <w:br/>
      </w:r>
    </w:p>
    <w:p>
      <w:pPr>
        <w:pStyle w:val="null3"/>
        <w:jc w:val="center"/>
        <w:outlineLvl w:val="5"/>
      </w:pPr>
      <w:r>
        <w:rPr>
          <w:sz w:val="15"/>
          <w:b/>
        </w:rPr>
        <w:t>陕西省粮食和物资储备局</w:t>
      </w:r>
    </w:p>
    <w:p>
      <w:pPr>
        <w:pStyle w:val="null3"/>
        <w:jc w:val="center"/>
        <w:outlineLvl w:val="5"/>
      </w:pPr>
      <w:r>
        <w:rPr>
          <w:sz w:val="15"/>
          <w:b/>
        </w:rPr>
        <w:t>陕西中天正略企业运营发展有限公司</w:t>
      </w:r>
      <w:r>
        <w:rPr>
          <w:sz w:val="15"/>
          <w:b/>
        </w:rPr>
        <w:t>共同编制</w:t>
      </w:r>
    </w:p>
    <w:p>
      <w:pPr>
        <w:pStyle w:val="null3"/>
        <w:jc w:val="center"/>
        <w:outlineLvl w:val="5"/>
      </w:pPr>
      <w:r>
        <w:rPr>
          <w:sz w:val="15"/>
          <w:b/>
        </w:rPr>
        <w:t>2024年07月04日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陕西中天正略企业运营发展有限公司</w:t>
      </w:r>
      <w:r>
        <w:rPr/>
        <w:t>（以下简称“代理机构”）受</w:t>
      </w:r>
      <w:r>
        <w:rPr/>
        <w:t>陕西省粮食和物资储备局</w:t>
      </w:r>
      <w:r>
        <w:rPr/>
        <w:t>委托，拟对</w:t>
      </w:r>
      <w:r>
        <w:rPr/>
        <w:t>陕西好粮油品牌公益广告地铁投放项目</w:t>
      </w:r>
      <w:r>
        <w:rPr/>
        <w:t>采用单一来源方式进行采购，现邀请贵公司参加该项目的协商。</w:t>
      </w:r>
    </w:p>
    <w:p>
      <w:pPr>
        <w:pStyle w:val="null3"/>
        <w:outlineLvl w:val="2"/>
      </w:pPr>
      <w:r>
        <w:rPr>
          <w:sz w:val="28"/>
          <w:b/>
        </w:rPr>
        <w:t xml:space="preserve"> 一、采购项目编号：</w:t>
      </w:r>
      <w:r>
        <w:rPr>
          <w:sz w:val="28"/>
          <w:b/>
        </w:rPr>
        <w:t>ZTZLZC-XA2024-06122</w:t>
      </w:r>
    </w:p>
    <w:p>
      <w:pPr>
        <w:pStyle w:val="null3"/>
        <w:outlineLvl w:val="2"/>
      </w:pPr>
      <w:r>
        <w:rPr>
          <w:sz w:val="28"/>
          <w:b/>
        </w:rPr>
        <w:t xml:space="preserve"> 二、采购项目名称：</w:t>
      </w:r>
      <w:r>
        <w:rPr>
          <w:sz w:val="28"/>
          <w:b/>
        </w:rPr>
        <w:t>陕西好粮油品牌公益广告地铁投放项目</w:t>
      </w:r>
    </w:p>
    <w:p>
      <w:pPr>
        <w:pStyle w:val="null3"/>
        <w:outlineLvl w:val="2"/>
      </w:pPr>
      <w:r>
        <w:rPr>
          <w:sz w:val="28"/>
          <w:b/>
        </w:rPr>
        <w:t>三、协商项目简介：</w:t>
      </w:r>
    </w:p>
    <w:p>
      <w:pPr>
        <w:pStyle w:val="null3"/>
        <w:ind w:firstLine="480"/>
      </w:pPr>
      <w:r>
        <w:rPr/>
        <w:t>陕西好粮油品牌公益广告地铁投放，在北京地铁大兴机场线车厢内和西安地铁3号线车厢内投放“陕西好粮油·延安小米”语音报站广告:</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采购包1（陕西好粮油品牌公益广告地铁投放）：属于专门面向中小企业采购。</w:t>
      </w:r>
    </w:p>
    <w:p>
      <w:pPr>
        <w:pStyle w:val="null3"/>
        <w:ind w:firstLine="480"/>
      </w:pPr>
      <w:r>
        <w:rPr/>
        <w:t>（三）本项目的特定资格要求：</w:t>
      </w:r>
    </w:p>
    <w:p>
      <w:pPr>
        <w:pStyle w:val="null3"/>
      </w:pPr>
      <w:r>
        <w:rPr/>
        <w:t>采购包1：</w:t>
      </w:r>
    </w:p>
    <w:p>
      <w:pPr>
        <w:pStyle w:val="null3"/>
      </w:pPr>
      <w:r>
        <w:rPr/>
        <w:t>1、营业执照：提供合法有效的营业执照/事业单位法人证书/专业服务机构执业许可证/民办非企业单位登记证书等相关证明，自然人参与的提供其身份证明。</w:t>
      </w:r>
    </w:p>
    <w:p>
      <w:pPr>
        <w:pStyle w:val="null3"/>
      </w:pPr>
      <w:r>
        <w:rPr/>
        <w:t>2、授权证明：法定代表人直接参加投标，须出具法定代表人身份证；法定代表人授权代表参加投标，须出具法定代表人授权书及授权代表身份证。</w:t>
      </w:r>
    </w:p>
    <w:p>
      <w:pPr>
        <w:pStyle w:val="null3"/>
      </w:pPr>
      <w:r>
        <w:rPr/>
        <w:t>3、财务状况报告：提供2023年度的财务审计报告或开户银行出具的资信证明。</w:t>
      </w:r>
    </w:p>
    <w:p>
      <w:pPr>
        <w:pStyle w:val="null3"/>
      </w:pPr>
      <w:r>
        <w:rPr/>
        <w:t>4、税收缴纳证明：开标前近六个月内至少三个月的纳税凭证/证明，依法免税的应提供相关证明材料。</w:t>
      </w:r>
    </w:p>
    <w:p>
      <w:pPr>
        <w:pStyle w:val="null3"/>
      </w:pPr>
      <w:r>
        <w:rPr/>
        <w:t>5、社会保障资金缴纳证明：开标前近六个月内至少三个月的社会保障资金缴纳凭证/证明，依法不需要缴纳的应提供相关证明材料。</w:t>
      </w:r>
    </w:p>
    <w:p>
      <w:pPr>
        <w:pStyle w:val="null3"/>
      </w:pPr>
      <w:r>
        <w:rPr/>
        <w:t>6、履约承诺：提供具有履行本合同所必需的设备和专业技术能力的说明及承诺书</w:t>
      </w:r>
    </w:p>
    <w:p>
      <w:pPr>
        <w:pStyle w:val="null3"/>
      </w:pPr>
      <w:r>
        <w:rPr/>
        <w:t>7、书面声明：供应商应出具参加政府采购活动前3年内在经营活动中没有重大违法记录的书面声明。</w:t>
      </w:r>
    </w:p>
    <w:p>
      <w:pPr>
        <w:pStyle w:val="null3"/>
      </w:pPr>
      <w:r>
        <w:rPr/>
        <w:t>8、信用情况：供应商不得被列入“中国执行信息公开网”（http://zxgk.court.gov.cn）失信被执行人，不得被列入“信用中国”网站（www.creditchina.gov.cn）重大税收违法失信主体，不得被列入“中国政府采购网”（www.ccgp.gov.cn）政府采购严重违法失信行为记录名单。</w:t>
      </w:r>
    </w:p>
    <w:p>
      <w:pPr>
        <w:pStyle w:val="null3"/>
      </w:pPr>
      <w:r>
        <w:rPr/>
        <w:t>9、是否面向中小企业：本项目专门面向中小企业</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陕西省粮食和物资储备局</w:t>
      </w:r>
    </w:p>
    <w:p>
      <w:pPr>
        <w:pStyle w:val="null3"/>
      </w:pPr>
      <w:r>
        <w:rPr/>
        <w:t xml:space="preserve"> 地址： </w:t>
      </w:r>
      <w:r>
        <w:rPr/>
        <w:t>陕西省西安市莲湖路32号</w:t>
      </w:r>
    </w:p>
    <w:p>
      <w:pPr>
        <w:pStyle w:val="null3"/>
      </w:pPr>
      <w:r>
        <w:rPr/>
        <w:t xml:space="preserve"> 邮编： </w:t>
      </w:r>
      <w:r>
        <w:rPr/>
        <w:t>710000</w:t>
      </w:r>
    </w:p>
    <w:p>
      <w:pPr>
        <w:pStyle w:val="null3"/>
      </w:pPr>
      <w:r>
        <w:rPr/>
        <w:t xml:space="preserve"> 联系人： </w:t>
      </w:r>
      <w:r>
        <w:rPr/>
        <w:t>陶老师</w:t>
      </w:r>
    </w:p>
    <w:p>
      <w:pPr>
        <w:pStyle w:val="null3"/>
      </w:pPr>
      <w:r>
        <w:rPr/>
        <w:t xml:space="preserve"> 联系电话： </w:t>
      </w:r>
      <w:r>
        <w:rPr/>
        <w:t>029-87276190</w:t>
      </w:r>
    </w:p>
    <w:p>
      <w:pPr>
        <w:pStyle w:val="null3"/>
        <w:outlineLvl w:val="2"/>
      </w:pPr>
      <w:r>
        <w:rPr>
          <w:sz w:val="28"/>
          <w:b/>
        </w:rPr>
        <w:t xml:space="preserve"> 代理机构：</w:t>
      </w:r>
      <w:r>
        <w:rPr>
          <w:sz w:val="28"/>
          <w:b/>
        </w:rPr>
        <w:t>陕西中天正略企业运营发展有限公司</w:t>
      </w:r>
    </w:p>
    <w:p>
      <w:pPr>
        <w:pStyle w:val="null3"/>
      </w:pPr>
      <w:r>
        <w:rPr/>
        <w:t xml:space="preserve"> 地址： </w:t>
      </w:r>
      <w:r>
        <w:rPr/>
        <w:t>陕西省西安市雁塔区西安曲江新区翠华路500号佳和中心B座26层3号</w:t>
      </w:r>
    </w:p>
    <w:p>
      <w:pPr>
        <w:pStyle w:val="null3"/>
      </w:pPr>
      <w:r>
        <w:rPr/>
        <w:t xml:space="preserve"> 邮编： </w:t>
      </w:r>
      <w:r>
        <w:rPr/>
        <w:t>710000</w:t>
      </w:r>
    </w:p>
    <w:p>
      <w:pPr>
        <w:pStyle w:val="null3"/>
      </w:pPr>
      <w:r>
        <w:rPr/>
        <w:t xml:space="preserve"> 联系人： </w:t>
      </w:r>
      <w:r>
        <w:rPr/>
        <w:t>杜工</w:t>
      </w:r>
    </w:p>
    <w:p>
      <w:pPr>
        <w:pStyle w:val="null3"/>
      </w:pPr>
      <w:r>
        <w:rPr/>
        <w:t xml:space="preserve"> 联系电话： </w:t>
      </w:r>
      <w:r>
        <w:rPr/>
        <w:t>029-89660303</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采购包1：800,000.00元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采购包1：800,000.00元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代理服务费收费标准：根据发改价格[2011]534号文件及《国家发展改革委关于进一步放开建设项目专业服务价格的通知》（发改价格〔2015〕299号）文规定收取代理服务费。</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陕西省粮食和物资储备局</w:t>
      </w:r>
      <w:r>
        <w:rPr/>
        <w:t>和</w:t>
      </w:r>
      <w:r>
        <w:rPr/>
        <w:t>陕西中天正略企业运营发展有限公司</w:t>
      </w:r>
      <w:r>
        <w:rPr/>
        <w:t>享有。对采购文件中供应商参加本次政府采购活动应当具备的条件、项目技术、服务、商务及其他要求，评审标准由采购人负责解释。除前述采购文件内容，其他内容由</w:t>
      </w:r>
      <w:r>
        <w:rPr/>
        <w:t>陕西中天正略企业运营发展有限公司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陕西省粮食和物资储备局</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陕西中天正略企业运营发展有限公司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㈠合同文本、合同附件、招标文件、响应文件。㈡乙方提交的结案报告。㈢国内相应的标准、规范。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陕西中天正略企业运营发展有限公司</w:t>
      </w:r>
      <w:r>
        <w:rPr/>
        <w:t xml:space="preserve"> 负责答复；供应商对除采购需求外的采购文件的询问、质疑由</w:t>
      </w:r>
      <w:r>
        <w:rPr/>
        <w:t>陕西中天正略企业运营发展有限公司</w:t>
      </w:r>
      <w:r>
        <w:rPr/>
        <w:t xml:space="preserve"> 负责答复；供应商对采购过程、采购结果的询问、质疑由 </w:t>
      </w:r>
      <w:r>
        <w:rPr/>
        <w:t>陕西中天正略企业运营发展有限公司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在北京地铁大兴机场线车厢内和西安地铁3号线车厢内投放“陕西好粮油·延安小米”语音报站广告，投放周期3个月</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800,000.00</w:t>
      </w:r>
    </w:p>
    <w:p>
      <w:pPr>
        <w:pStyle w:val="null3"/>
      </w:pPr>
      <w:r>
        <w:rPr/>
        <w:t>采购包最高限价（元）: 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陕西好粮油品牌公益广告地铁投放</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标的名称：陕西好粮油品牌公益广告地铁投放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_gb2312" w:hAnsi="仿宋_gb2312" w:cs="仿宋_gb2312" w:eastAsia="仿宋_gb2312"/>
                <w:sz w:val="21"/>
              </w:rPr>
              <w:t>在北京地铁大兴机场线车厢内和西安地铁</w:t>
            </w:r>
            <w:r>
              <w:rPr>
                <w:rFonts w:ascii="仿宋_gb2312" w:hAnsi="仿宋_gb2312" w:cs="仿宋_gb2312" w:eastAsia="仿宋_gb2312"/>
                <w:sz w:val="21"/>
              </w:rPr>
              <w:t>3号线车厢内投放“陕西好粮油·延安小米”语音报站广告，投放周期3个月（2024年1</w:t>
            </w:r>
            <w:r>
              <w:rPr>
                <w:rFonts w:ascii="仿宋_gb2312" w:hAnsi="仿宋_gb2312" w:cs="仿宋_gb2312" w:eastAsia="仿宋_gb2312"/>
                <w:sz w:val="21"/>
              </w:rPr>
              <w:t>2</w:t>
            </w:r>
            <w:r>
              <w:rPr>
                <w:rFonts w:ascii="仿宋_gb2312" w:hAnsi="仿宋_gb2312" w:cs="仿宋_gb2312" w:eastAsia="仿宋_gb2312"/>
                <w:sz w:val="21"/>
              </w:rPr>
              <w:t>月底前完成）。</w:t>
            </w:r>
          </w:p>
        </w:tc>
      </w:tr>
    </w:tbl>
    <w:p>
      <w:pPr>
        <w:pStyle w:val="null3"/>
        <w:outlineLvl w:val="3"/>
      </w:pPr>
      <w:r>
        <w:rPr>
          <w:sz w:val="24"/>
          <w:b/>
        </w:rPr>
        <w:t>3.2.3人员配置要求</w:t>
      </w:r>
    </w:p>
    <w:p>
      <w:pPr>
        <w:pStyle w:val="null3"/>
      </w:pPr>
      <w:r>
        <w:rPr/>
        <w:t>采购包1：</w:t>
      </w:r>
    </w:p>
    <w:p>
      <w:pPr>
        <w:pStyle w:val="null3"/>
      </w:pPr>
      <w:r>
        <w:rPr/>
        <w:t>针对本项目投入专业服务团队，组织结构合理，人员分工明确</w:t>
      </w:r>
    </w:p>
    <w:p>
      <w:pPr>
        <w:pStyle w:val="null3"/>
        <w:outlineLvl w:val="3"/>
      </w:pPr>
      <w:r>
        <w:rPr>
          <w:sz w:val="24"/>
          <w:b/>
        </w:rPr>
        <w:t>3.2.4设施设备要求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投放周期3个月，2024年12月底前完成，</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3.3.3支付方式</w:t>
      </w:r>
    </w:p>
    <w:p>
      <w:pPr>
        <w:pStyle w:val="null3"/>
      </w:pPr>
      <w:r>
        <w:rPr/>
        <w:t>采购包1：</w:t>
      </w:r>
    </w:p>
    <w:p>
      <w:pPr>
        <w:pStyle w:val="null3"/>
      </w:pPr>
      <w:r>
        <w:rPr/>
        <w:t>分期付款</w:t>
      </w:r>
    </w:p>
    <w:p>
      <w:pPr>
        <w:pStyle w:val="null3"/>
        <w:outlineLvl w:val="3"/>
      </w:pPr>
      <w:r>
        <w:rPr>
          <w:sz w:val="24"/>
          <w:b/>
        </w:rPr>
        <w:t>3.3.4支付约定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70.00</w:t>
      </w:r>
      <w:r>
        <w:rPr/>
        <w:t>%。</w:t>
      </w:r>
    </w:p>
    <w:p>
      <w:pPr>
        <w:pStyle w:val="null3"/>
      </w:pPr>
      <w:r>
        <w:rPr/>
        <w:t>采购包1：</w:t>
      </w:r>
      <w:r>
        <w:rPr/>
        <w:t xml:space="preserve"> 付款条件说明： </w:t>
      </w:r>
      <w:r>
        <w:rPr/>
        <w:t>执行结束且验收合格后</w:t>
      </w:r>
      <w:r>
        <w:rPr/>
        <w:t xml:space="preserve"> ，达到付款条件起 </w:t>
      </w:r>
      <w:r>
        <w:rPr/>
        <w:t>30</w:t>
      </w:r>
      <w:r>
        <w:rPr/>
        <w:t xml:space="preserve"> 日内，支付合同总金额的 </w:t>
      </w:r>
      <w:r>
        <w:rPr/>
        <w:t>30.00</w:t>
      </w:r>
      <w:r>
        <w:rPr/>
        <w:t>%。</w:t>
      </w:r>
    </w:p>
    <w:p>
      <w:pPr>
        <w:pStyle w:val="null3"/>
        <w:outlineLvl w:val="3"/>
      </w:pPr>
      <w:r>
        <w:rPr>
          <w:sz w:val="24"/>
          <w:b/>
        </w:rPr>
        <w:t>3.3.5.验收标准和方法</w:t>
      </w:r>
    </w:p>
    <w:p>
      <w:pPr>
        <w:pStyle w:val="null3"/>
      </w:pPr>
      <w:r>
        <w:rPr/>
        <w:t>采购包1：</w:t>
      </w:r>
    </w:p>
    <w:p>
      <w:pPr>
        <w:pStyle w:val="null3"/>
      </w:pPr>
      <w:r>
        <w:rPr/>
        <w:t>㈠合同文本、合同附件、招标文件、响应文件。㈡乙方提交的结案报告。㈢国内相应的标准、规范。</w:t>
      </w:r>
    </w:p>
    <w:p>
      <w:pPr>
        <w:pStyle w:val="null3"/>
        <w:outlineLvl w:val="3"/>
      </w:pPr>
      <w:r>
        <w:rPr>
          <w:sz w:val="24"/>
          <w:b/>
        </w:rPr>
        <w:t>3.3.6违约责任及解决争议的方法</w:t>
      </w:r>
    </w:p>
    <w:p>
      <w:pPr>
        <w:pStyle w:val="null3"/>
      </w:pPr>
      <w:r>
        <w:rPr/>
        <w:t>采购包1：</w:t>
      </w:r>
    </w:p>
    <w:p>
      <w:pPr>
        <w:pStyle w:val="null3"/>
      </w:pPr>
      <w:r>
        <w:rPr/>
        <w:t>1、服务缺陷的补救措施和索赔 (1)如果乙方提供的服务不符合本合同约定以及磋商文件、响应文件关于服务的要求和承诺，乙方应按照甲方同意的下列一种或几种方式结合起来解决索赔事宜： ①乙方同意将服务款项目退还给甲方，由此发生的一切费用和损失由乙方承担。如甲方以适当的条件和方法购买与未履约标的相类似的服务，乙方应负担新购买类似服务所超出的费用。 ②根据服务的质量状况以及甲方所遭受的损失，经过甲乙双方商定降低服务的价格，协商不成的，以甲方确认的服务价格为准。 (2)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要求提供履约保函的银行进行赔付，如不足以弥补甲方损失的，甲方有权进一步要求乙方赔偿。 2、迟延履约的违约责任 (1)乙方应按照本合同规定的时间、地点提供服务。 (2)在履行合同过程中，如果乙方遇到可能妨碍按时提供服务的情形时，应及时以书面形式将迟延的事实、可能迟延的期限和理由通知甲方。甲方在收到乙方通知后，应尽快对情况进行评价，并确定是否同意延期提供服务。 (3)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计收，直至交货或提供服务为止。但误期赔偿费的最高限额不超过合同价的15%。 (4)如果乙方延迟履约超过30日，甲方有权终止全部或部分合同，并依其认为适当的条件和方法购买与未履约类似的服务，乙方应负担购买类似服务所超出的费用。但是，乙方应继续执行合同中未终止的部分。 3、未履行合同义务的违约责任 (1)守约方有权终止全部或部分合同。 (2)由违约一方支付违约金，违约金标准见合同条款前附表。 (3)违约金不足以弥补守约方实际损失、可预见或者应当预见的损失，由违约方全额予以赔偿。 4、合同纠纷的解决方式 (1)合同各方应通过友好协商，解决在执行合同过程中所发生的或与合同有关的一切争端。如协商30日内(根据实际情况设定)不能解决，可以按合同规定的方式提起诉讼。 (2)诉讼应由甲方住所地人民法院管辖。财产保全担保保险费、财产保全申请费、律师代理费、差旅费、评估费、鉴定费诉讼费等与仲裁或诉讼活动相关费用应由败诉方负担。 (3)如诉讼事项不影响合同其他部分的履行，则在诉讼期间，除正在进行诉讼的部分外，合同的其他部分应继续执行。</w:t>
      </w:r>
    </w:p>
    <w:p>
      <w:pPr>
        <w:pStyle w:val="null3"/>
        <w:outlineLvl w:val="2"/>
      </w:pPr>
      <w:r>
        <w:rPr>
          <w:sz w:val="28"/>
          <w:b/>
        </w:rPr>
        <w:t>3.4其他要求</w:t>
      </w:r>
    </w:p>
    <w:p>
      <w:pPr>
        <w:pStyle w:val="null3"/>
      </w:pPr>
      <w:r>
        <w:rPr/>
        <w:t>采购包1：</w:t>
      </w:r>
    </w:p>
    <w:p>
      <w:pPr>
        <w:pStyle w:val="null3"/>
      </w:pPr>
      <w:r>
        <w:rPr/>
        <w:t>为顺利推进政府采购电子化交易平台应用，供应商需要在线提交所有通过电子化交易平台实施的政府采购项目的投标文件。同时，线下提交纸质投标文件正本壹份、副本贰份，电子版本贰份(以U盘形式提供，文件格式为word 或pdf格式)。若电子投标文件与纸质投标文件不一致的，以电子投标文件为准；若正本和副本不符。以正本为准。投标文件正本和副本分别装订成册密封（电子版同正本一起密封），在封口处加盖供应商公章。</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响应函 供应商资格证明文件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提供合法有效的营业执照/事业单位法人证书/专业服务机构执业许可证/民办非企业单位登记证书等相关证明，自然人参与的提供其身份证明。</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授权证明</w:t>
            </w:r>
          </w:p>
        </w:tc>
        <w:tc>
          <w:tcPr>
            <w:tcW w:type="dxa" w:w="3322"/>
          </w:tcPr>
          <w:p>
            <w:pPr>
              <w:pStyle w:val="null3"/>
            </w:pPr>
            <w:r>
              <w:rPr/>
              <w:t>法定代表人直接参加投标，须出具法定代表人身份证；法定代表人授权代表参加投标，须出具法定代表人授权书及授权代表身份证。</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提供2023年度的财务审计报告或开户银行出具的资信证明。</w:t>
            </w:r>
          </w:p>
        </w:tc>
        <w:tc>
          <w:tcPr>
            <w:tcW w:type="dxa" w:w="1661"/>
          </w:tcPr>
          <w:p>
            <w:pPr>
              <w:pStyle w:val="null3"/>
            </w:pPr>
            <w:r>
              <w:rPr/>
              <w:t>供应商资格证明文件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开标前近六个月内至少三个月的纳税凭证/证明，依法免税的应提供相关证明材料。</w:t>
            </w:r>
          </w:p>
        </w:tc>
        <w:tc>
          <w:tcPr>
            <w:tcW w:type="dxa" w:w="1661"/>
          </w:tcPr>
          <w:p>
            <w:pPr>
              <w:pStyle w:val="null3"/>
            </w:pPr>
            <w:r>
              <w:rPr/>
              <w:t>供应商资格证明文件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开标前近六个月内至少三个月的社会保障资金缴纳凭证/证明，依法不需要缴纳的应提供相关证明材料。</w:t>
            </w:r>
          </w:p>
        </w:tc>
        <w:tc>
          <w:tcPr>
            <w:tcW w:type="dxa" w:w="1661"/>
          </w:tcPr>
          <w:p>
            <w:pPr>
              <w:pStyle w:val="null3"/>
            </w:pPr>
            <w:r>
              <w:rPr/>
              <w:t>供应商资格证明文件</w:t>
            </w:r>
          </w:p>
        </w:tc>
      </w:tr>
      <w:tr>
        <w:tc>
          <w:tcPr>
            <w:tcW w:type="dxa" w:w="831"/>
          </w:tcPr>
          <w:p>
            <w:pPr>
              <w:pStyle w:val="null3"/>
            </w:pPr>
            <w:r>
              <w:rPr/>
              <w:t>6</w:t>
            </w:r>
          </w:p>
        </w:tc>
        <w:tc>
          <w:tcPr>
            <w:tcW w:type="dxa" w:w="2492"/>
          </w:tcPr>
          <w:p>
            <w:pPr>
              <w:pStyle w:val="null3"/>
            </w:pPr>
            <w:r>
              <w:rPr/>
              <w:t>履约承诺</w:t>
            </w:r>
          </w:p>
        </w:tc>
        <w:tc>
          <w:tcPr>
            <w:tcW w:type="dxa" w:w="3322"/>
          </w:tcPr>
          <w:p>
            <w:pPr>
              <w:pStyle w:val="null3"/>
            </w:pPr>
            <w:r>
              <w:rPr/>
              <w:t>提供具有履行本合同所必需的设备和专业技术能力的说明及承诺书</w:t>
            </w:r>
          </w:p>
        </w:tc>
        <w:tc>
          <w:tcPr>
            <w:tcW w:type="dxa" w:w="1661"/>
          </w:tcPr>
          <w:p>
            <w:pPr>
              <w:pStyle w:val="null3"/>
            </w:pPr>
            <w:r>
              <w:rPr/>
              <w:t>供应商资格证明文件</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供应商应出具参加政府采购活动前3年内在经营活动中没有重大违法记录的书面声明。</w:t>
            </w:r>
          </w:p>
        </w:tc>
        <w:tc>
          <w:tcPr>
            <w:tcW w:type="dxa" w:w="1661"/>
          </w:tcPr>
          <w:p>
            <w:pPr>
              <w:pStyle w:val="null3"/>
            </w:pPr>
            <w:r>
              <w:rPr/>
              <w:t>供应商资格证明文件</w:t>
            </w:r>
          </w:p>
        </w:tc>
      </w:tr>
      <w:tr>
        <w:tc>
          <w:tcPr>
            <w:tcW w:type="dxa" w:w="831"/>
          </w:tcPr>
          <w:p>
            <w:pPr>
              <w:pStyle w:val="null3"/>
            </w:pPr>
            <w:r>
              <w:rPr/>
              <w:t>8</w:t>
            </w:r>
          </w:p>
        </w:tc>
        <w:tc>
          <w:tcPr>
            <w:tcW w:type="dxa" w:w="2492"/>
          </w:tcPr>
          <w:p>
            <w:pPr>
              <w:pStyle w:val="null3"/>
            </w:pPr>
            <w:r>
              <w:rPr/>
              <w:t>信用情况</w:t>
            </w:r>
          </w:p>
        </w:tc>
        <w:tc>
          <w:tcPr>
            <w:tcW w:type="dxa" w:w="3322"/>
          </w:tcPr>
          <w:p>
            <w:pPr>
              <w:pStyle w:val="null3"/>
            </w:pPr>
            <w:r>
              <w:rPr/>
              <w:t>供应商不得被列入“中国执行信息公开网”（http://zxgk.court.gov.cn）失信被执行人，不得被列入“信用中国”网站（www.creditchina.gov.cn）重大税收违法失信主体，不得被列入“中国政府采购网”（www.ccgp.gov.cn）政府采购严重违法失信行为记录名单。</w:t>
            </w:r>
          </w:p>
        </w:tc>
        <w:tc>
          <w:tcPr>
            <w:tcW w:type="dxa" w:w="1661"/>
          </w:tcPr>
          <w:p>
            <w:pPr>
              <w:pStyle w:val="null3"/>
            </w:pPr>
            <w:r>
              <w:rPr/>
              <w:t>供应商资格证明文件</w:t>
            </w:r>
          </w:p>
        </w:tc>
      </w:tr>
      <w:tr>
        <w:tc>
          <w:tcPr>
            <w:tcW w:type="dxa" w:w="831"/>
          </w:tcPr>
          <w:p>
            <w:pPr>
              <w:pStyle w:val="null3"/>
            </w:pPr>
            <w:r>
              <w:rPr/>
              <w:t>9</w:t>
            </w:r>
          </w:p>
        </w:tc>
        <w:tc>
          <w:tcPr>
            <w:tcW w:type="dxa" w:w="2492"/>
          </w:tcPr>
          <w:p>
            <w:pPr>
              <w:pStyle w:val="null3"/>
            </w:pPr>
            <w:r>
              <w:rPr/>
              <w:t>是否面向中小企业</w:t>
            </w:r>
          </w:p>
        </w:tc>
        <w:tc>
          <w:tcPr>
            <w:tcW w:type="dxa" w:w="3322"/>
          </w:tcPr>
          <w:p>
            <w:pPr>
              <w:pStyle w:val="null3"/>
            </w:pPr>
            <w:r>
              <w:rPr/>
              <w:t>本项目专门面向中小企业</w:t>
            </w:r>
          </w:p>
        </w:tc>
        <w:tc>
          <w:tcPr>
            <w:tcW w:type="dxa" w:w="1661"/>
          </w:tcPr>
          <w:p>
            <w:pPr>
              <w:pStyle w:val="null3"/>
            </w:pPr>
            <w:r>
              <w:rPr/>
              <w:t>供应商资格证明文件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参与的供应商服务应由符合政策要求的中小企业承接</w:t>
            </w:r>
          </w:p>
        </w:tc>
        <w:tc>
          <w:tcPr>
            <w:tcW w:type="dxa" w:w="1661"/>
          </w:tcPr>
          <w:p>
            <w:pPr>
              <w:pStyle w:val="null3"/>
            </w:pPr>
            <w:r>
              <w:rPr/>
              <w:t>供应商资格证明文件</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报价一览表 响应函 供应商资格证明文件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报价一览表 标的清单 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w:t>
            </w:r>
          </w:p>
        </w:tc>
      </w:tr>
      <w:tr>
        <w:tc>
          <w:tcPr>
            <w:tcW w:type="dxa" w:w="831"/>
          </w:tcPr>
          <w:p>
            <w:pPr>
              <w:pStyle w:val="null3"/>
            </w:pPr>
            <w:r>
              <w:rPr/>
              <w:t>4</w:t>
            </w:r>
          </w:p>
        </w:tc>
        <w:tc>
          <w:tcPr>
            <w:tcW w:type="dxa" w:w="2492"/>
          </w:tcPr>
          <w:p>
            <w:pPr>
              <w:pStyle w:val="null3"/>
            </w:pPr>
            <w:r>
              <w:rPr/>
              <w:t>响应文件签字盖章、格式</w:t>
            </w:r>
          </w:p>
        </w:tc>
        <w:tc>
          <w:tcPr>
            <w:tcW w:type="dxa" w:w="3322"/>
          </w:tcPr>
          <w:p>
            <w:pPr>
              <w:pStyle w:val="null3"/>
            </w:pPr>
            <w:r>
              <w:rPr/>
              <w:t>符合采购文件要求</w:t>
            </w:r>
          </w:p>
        </w:tc>
        <w:tc>
          <w:tcPr>
            <w:tcW w:type="dxa" w:w="1661"/>
          </w:tcPr>
          <w:p>
            <w:pPr>
              <w:pStyle w:val="null3"/>
            </w:pPr>
            <w:r>
              <w:rPr/>
              <w:t>响应文件封面 报价一览表 供应商认为有必要补充说明的事项 响应函 供应商资格证明文件</w:t>
            </w:r>
          </w:p>
        </w:tc>
      </w:tr>
      <w:tr>
        <w:tc>
          <w:tcPr>
            <w:tcW w:type="dxa" w:w="831"/>
          </w:tcPr>
          <w:p>
            <w:pPr>
              <w:pStyle w:val="null3"/>
            </w:pPr>
            <w:r>
              <w:rPr/>
              <w:t>5</w:t>
            </w:r>
          </w:p>
        </w:tc>
        <w:tc>
          <w:tcPr>
            <w:tcW w:type="dxa" w:w="2492"/>
          </w:tcPr>
          <w:p>
            <w:pPr>
              <w:pStyle w:val="null3"/>
            </w:pPr>
            <w:r>
              <w:rPr/>
              <w:t>投标报价</w:t>
            </w:r>
          </w:p>
        </w:tc>
        <w:tc>
          <w:tcPr>
            <w:tcW w:type="dxa" w:w="3322"/>
          </w:tcPr>
          <w:p>
            <w:pPr>
              <w:pStyle w:val="null3"/>
            </w:pPr>
            <w:r>
              <w:rPr/>
              <w:t>唯一报价，并未超出采购预算或最高限价</w:t>
            </w:r>
          </w:p>
        </w:tc>
        <w:tc>
          <w:tcPr>
            <w:tcW w:type="dxa" w:w="1661"/>
          </w:tcPr>
          <w:p>
            <w:pPr>
              <w:pStyle w:val="null3"/>
            </w:pPr>
            <w:r>
              <w:rPr/>
              <w:t>报价一览表</w:t>
            </w:r>
          </w:p>
        </w:tc>
      </w:tr>
      <w:tr>
        <w:tc>
          <w:tcPr>
            <w:tcW w:type="dxa" w:w="831"/>
          </w:tcPr>
          <w:p>
            <w:pPr>
              <w:pStyle w:val="null3"/>
            </w:pPr>
            <w:r>
              <w:rPr/>
              <w:t>6</w:t>
            </w:r>
          </w:p>
        </w:tc>
        <w:tc>
          <w:tcPr>
            <w:tcW w:type="dxa" w:w="2492"/>
          </w:tcPr>
          <w:p>
            <w:pPr>
              <w:pStyle w:val="null3"/>
            </w:pPr>
            <w:r>
              <w:rPr/>
              <w:t>服务周期的响应</w:t>
            </w:r>
          </w:p>
        </w:tc>
        <w:tc>
          <w:tcPr>
            <w:tcW w:type="dxa" w:w="3322"/>
          </w:tcPr>
          <w:p>
            <w:pPr>
              <w:pStyle w:val="null3"/>
            </w:pPr>
            <w:r>
              <w:rPr/>
              <w:t>符合采购文件要求</w:t>
            </w:r>
          </w:p>
        </w:tc>
        <w:tc>
          <w:tcPr>
            <w:tcW w:type="dxa" w:w="1661"/>
          </w:tcPr>
          <w:p>
            <w:pPr>
              <w:pStyle w:val="null3"/>
            </w:pPr>
            <w:r>
              <w:rPr/>
              <w:t>报价一览表</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详见附件：报价一览表</w:t>
      </w:r>
    </w:p>
    <w:p>
      <w:pPr>
        <w:pStyle w:val="null3"/>
        <w:ind w:firstLine="960"/>
      </w:pPr>
      <w:r>
        <w:rPr/>
        <w:t>详见附件：报价表</w:t>
      </w:r>
    </w:p>
    <w:p>
      <w:pPr>
        <w:pStyle w:val="null3"/>
        <w:ind w:firstLine="960"/>
      </w:pPr>
      <w:r>
        <w:rPr/>
        <w:t>详见附件：标的清单</w:t>
      </w:r>
    </w:p>
    <w:p>
      <w:pPr>
        <w:pStyle w:val="null3"/>
        <w:ind w:firstLine="960"/>
      </w:pPr>
      <w:r>
        <w:rPr/>
        <w:t>详见附件：供应商资格证明文件</w:t>
      </w:r>
    </w:p>
    <w:p>
      <w:pPr>
        <w:pStyle w:val="null3"/>
        <w:ind w:firstLine="960"/>
      </w:pPr>
      <w:r>
        <w:rPr/>
        <w:t>详见附件：供应商认为有必要补充说明的事项</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