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ilvl w:val="0"/>
          <w:numId w:val="0"/>
        </w:numPr>
        <w:tabs>
          <w:tab w:val="clear" w:pos="324"/>
        </w:tabs>
        <w:ind w:leftChars="0"/>
        <w:jc w:val="center"/>
        <w:rPr>
          <w:rFonts w:hint="default" w:ascii="Times New Roman" w:hAnsi="Times New Roman" w:cs="Times New Roman"/>
        </w:rPr>
      </w:pPr>
      <w:r>
        <w:rPr>
          <w:rFonts w:hint="default" w:ascii="Times New Roman" w:hAnsi="Times New Roman" w:eastAsia="宋体" w:cs="Times New Roman"/>
          <w:b/>
          <w:bCs/>
          <w:sz w:val="36"/>
          <w:szCs w:val="36"/>
          <w:lang w:val="en-US" w:eastAsia="zh-CN"/>
        </w:rPr>
        <w:t>服务</w:t>
      </w:r>
      <w:r>
        <w:rPr>
          <w:rFonts w:hint="default" w:ascii="Times New Roman" w:hAnsi="Times New Roman" w:eastAsia="宋体" w:cs="Times New Roman"/>
          <w:b/>
          <w:bCs/>
          <w:sz w:val="36"/>
          <w:szCs w:val="36"/>
          <w:lang w:eastAsia="zh-CN"/>
        </w:rPr>
        <w:t>内容及要求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pacing w:val="4"/>
          <w:sz w:val="21"/>
          <w:szCs w:val="21"/>
        </w:rPr>
      </w:pPr>
      <w:r>
        <w:rPr>
          <w:rFonts w:hint="eastAsia" w:ascii="Times New Roman" w:hAnsi="Times New Roman" w:cs="Times New Roman"/>
          <w:b/>
          <w:bCs/>
          <w:spacing w:val="4"/>
          <w:sz w:val="21"/>
          <w:szCs w:val="21"/>
          <w:lang w:val="en-US" w:eastAsia="zh-CN"/>
        </w:rPr>
        <w:t>一、</w:t>
      </w:r>
      <w:r>
        <w:rPr>
          <w:rFonts w:hint="default" w:ascii="Times New Roman" w:hAnsi="Times New Roman" w:cs="Times New Roman"/>
          <w:b/>
          <w:bCs/>
          <w:spacing w:val="4"/>
          <w:sz w:val="21"/>
          <w:szCs w:val="21"/>
        </w:rPr>
        <w:t>技术</w:t>
      </w:r>
      <w:r>
        <w:rPr>
          <w:rFonts w:hint="default" w:ascii="Times New Roman" w:hAnsi="Times New Roman" w:cs="Times New Roman"/>
          <w:b/>
          <w:bCs/>
          <w:spacing w:val="4"/>
          <w:sz w:val="21"/>
          <w:szCs w:val="21"/>
          <w:lang w:val="en-US" w:eastAsia="zh-CN"/>
        </w:rPr>
        <w:t>要求</w:t>
      </w:r>
      <w:r>
        <w:rPr>
          <w:rFonts w:hint="default" w:ascii="Times New Roman" w:hAnsi="Times New Roman" w:cs="Times New Roman"/>
          <w:b/>
          <w:bCs/>
          <w:spacing w:val="4"/>
          <w:sz w:val="21"/>
          <w:szCs w:val="21"/>
        </w:rPr>
        <w:t>：</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w:t>
      </w:r>
      <w:r>
        <w:rPr>
          <w:rFonts w:hint="default" w:ascii="Times New Roman" w:hAnsi="Times New Roman" w:eastAsia="宋体" w:cs="Times New Roman"/>
          <w:b/>
          <w:sz w:val="21"/>
          <w:szCs w:val="21"/>
          <w:lang w:val="en-US" w:eastAsia="zh-CN"/>
        </w:rPr>
        <w:t>一</w:t>
      </w:r>
      <w:r>
        <w:rPr>
          <w:rFonts w:hint="eastAsia" w:ascii="Times New Roman" w:hAnsi="Times New Roman" w:eastAsia="宋体" w:cs="Times New Roman"/>
          <w:b/>
          <w:sz w:val="21"/>
          <w:szCs w:val="21"/>
          <w:lang w:val="en-US" w:eastAsia="zh-CN"/>
        </w:rPr>
        <w:t>）</w:t>
      </w:r>
      <w:r>
        <w:rPr>
          <w:rFonts w:hint="default" w:ascii="Times New Roman" w:hAnsi="Times New Roman" w:eastAsia="宋体" w:cs="Times New Roman"/>
          <w:b/>
          <w:sz w:val="21"/>
          <w:szCs w:val="21"/>
          <w:lang w:val="en-US" w:eastAsia="zh-CN"/>
        </w:rPr>
        <w:t>、任务来源</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为更好地适应生态文明建设需要，满足自然资源管理新要求，落实耕地数量、质量、生态“三位一体”保护，自然资源部改进原耕地分等调查评价方法，形成了新的耕地资源质量分类体系，并在第三次全国国土调查中部署开展了耕地资源质量分类专项工作，形成了基于“三调”的耕地资源质量分类成果，全面掌握了耕地资源质量本底状况。</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2021年，自然资源部将耕地资源质量分类成果年度更新与监测工作纳入年度国土变更调查工作中，已先后开展了2020年度、2021年度、2022年度耕地资源质量分类成果更新与监测工作。按照《自然资源部办公厅关于开展2023年度全国国土变更调查工作的通知》（自然资办发〔2023〕38号）部署，在2023年度国土变更调查工作中，继续部署开展2023年度耕地资源质量分类年度更新与监测专项工作。</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w:t>
      </w:r>
      <w:r>
        <w:rPr>
          <w:rFonts w:hint="default" w:ascii="Times New Roman" w:hAnsi="Times New Roman" w:eastAsia="宋体" w:cs="Times New Roman"/>
          <w:b/>
          <w:sz w:val="21"/>
          <w:szCs w:val="21"/>
          <w:lang w:val="en-US" w:eastAsia="zh-CN"/>
        </w:rPr>
        <w:t>二</w:t>
      </w:r>
      <w:r>
        <w:rPr>
          <w:rFonts w:hint="eastAsia" w:ascii="Times New Roman" w:hAnsi="Times New Roman" w:eastAsia="宋体" w:cs="Times New Roman"/>
          <w:b/>
          <w:sz w:val="21"/>
          <w:szCs w:val="21"/>
          <w:lang w:val="en-US" w:eastAsia="zh-CN"/>
        </w:rPr>
        <w:t>）</w:t>
      </w:r>
      <w:r>
        <w:rPr>
          <w:rFonts w:hint="default" w:ascii="Times New Roman" w:hAnsi="Times New Roman" w:eastAsia="宋体" w:cs="Times New Roman"/>
          <w:b/>
          <w:sz w:val="21"/>
          <w:szCs w:val="21"/>
          <w:lang w:val="en-US" w:eastAsia="zh-CN"/>
        </w:rPr>
        <w:t>、工作依据</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1、《国务院第三次全国国土调查领导小组办公室关于印发〈第三次全国国土调查耕地资源质量分类工作方案〉的通知》（国土调查办发〔2020〕13号）；</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2、《自然资源部办公厅关于开展2023年度全国国土变更调查工作的通知》（自然资办发〔2023〕38号）；</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3、《陕西省自然资源厅关于做好2023年度国土变更调查工作的通知》（陕自然资发〔2023〕58号）；</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4、《2023年度全国国土变更调查实施方案》；</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5、《国土变更调查技术规程（2023年度适用）》；</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6、《耕地资源质量分类年度更新与监测技术手册》（2023年）；</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7、《耕地资源质量分类数据规范》（征求意见稿）。</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（三）、</w:t>
      </w:r>
      <w:r>
        <w:rPr>
          <w:rFonts w:hint="default" w:ascii="Times New Roman" w:hAnsi="Times New Roman" w:eastAsia="宋体" w:cs="Times New Roman"/>
          <w:b/>
          <w:sz w:val="21"/>
          <w:szCs w:val="21"/>
          <w:lang w:val="en-US" w:eastAsia="zh-CN"/>
        </w:rPr>
        <w:t>工作目标</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以2022年度耕地资源质量分类更新成果、2023年度国土变更调查成果为基础，结合2023年度所有土地整治、高标准农田建设等项目竣工验收资料，完成2023年度耕地资源质量分类更新工作，全面掌握2023年度内耕地现状变化及耕地质量建设引起的耕地质量变化情况，保持耕地质量分类数据的现势性。</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按照“每年监测全省1/3的县级行政区，3年覆盖全省所有县”的要求，继2021年第一批36个监测县和2022年第二批35个监测县后，2023年度完成第三批剩余的33个县耕地资源质量监测工作，掌握耕地质量变化趋势，提高耕地资源质量分类结果的准确性。</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（四）、</w:t>
      </w:r>
      <w:r>
        <w:rPr>
          <w:rFonts w:hint="default" w:ascii="Times New Roman" w:hAnsi="Times New Roman" w:eastAsia="宋体" w:cs="Times New Roman"/>
          <w:b/>
          <w:sz w:val="21"/>
          <w:szCs w:val="21"/>
          <w:lang w:val="en-US" w:eastAsia="zh-CN"/>
        </w:rPr>
        <w:t>采购内容</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w:t>
      </w:r>
      <w:r>
        <w:rPr>
          <w:rFonts w:hint="default" w:ascii="Times New Roman" w:hAnsi="Times New Roman" w:eastAsia="宋体" w:cs="Times New Roman"/>
          <w:lang w:val="en-US" w:eastAsia="zh-CN"/>
        </w:rPr>
        <w:t>编制《陕西省2023年度耕地资源质量分类更新与监测技术手册》，协助完成技术培训，开展技术指导；</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w:t>
      </w:r>
      <w:r>
        <w:rPr>
          <w:rFonts w:hint="default" w:ascii="Times New Roman" w:hAnsi="Times New Roman" w:eastAsia="宋体" w:cs="Times New Roman"/>
          <w:lang w:val="en-US" w:eastAsia="zh-CN"/>
        </w:rPr>
        <w:t>整理部下发基础数据，制作下发市、县级的基础数据包；</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w:t>
      </w:r>
      <w:r>
        <w:rPr>
          <w:rFonts w:hint="default" w:ascii="Times New Roman" w:hAnsi="Times New Roman" w:eastAsia="宋体" w:cs="Times New Roman"/>
          <w:lang w:val="en-US" w:eastAsia="zh-CN"/>
        </w:rPr>
        <w:t>确定2023年度监测县名单及各县监测样点数量；</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4、</w:t>
      </w:r>
      <w:r>
        <w:rPr>
          <w:rFonts w:hint="default" w:ascii="Times New Roman" w:hAnsi="Times New Roman" w:eastAsia="宋体" w:cs="Times New Roman"/>
          <w:lang w:val="en-US" w:eastAsia="zh-CN"/>
        </w:rPr>
        <w:t>指导全省除西安市新城区、碑林区以外的105个县（区、市）开展2023年度耕地资源质量分类更新工作；</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5、</w:t>
      </w:r>
      <w:r>
        <w:rPr>
          <w:rFonts w:hint="default" w:ascii="Times New Roman" w:hAnsi="Times New Roman" w:eastAsia="宋体" w:cs="Times New Roman"/>
          <w:lang w:val="en-US" w:eastAsia="zh-CN"/>
        </w:rPr>
        <w:t>指导全省第3批33个县开展2023年度耕地资源质量分类监测工作；</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6、</w:t>
      </w:r>
      <w:r>
        <w:rPr>
          <w:rFonts w:hint="default" w:ascii="Times New Roman" w:hAnsi="Times New Roman" w:eastAsia="宋体" w:cs="Times New Roman"/>
          <w:lang w:val="en-US" w:eastAsia="zh-CN"/>
        </w:rPr>
        <w:t>对全省2023年度耕地资源质量分类更新与监测工作县级成果和市级成果组织进行质检和核查，包括质检软件核查和人工核查；</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7、</w:t>
      </w:r>
      <w:r>
        <w:rPr>
          <w:rFonts w:hint="default" w:ascii="Times New Roman" w:hAnsi="Times New Roman" w:eastAsia="宋体" w:cs="Times New Roman"/>
          <w:lang w:val="en-US" w:eastAsia="zh-CN"/>
        </w:rPr>
        <w:t>完成2023年度耕地资源质量分类更新与监测成果省级汇总分析，编制省级汇总成果；</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8、</w:t>
      </w:r>
      <w:r>
        <w:rPr>
          <w:rFonts w:hint="default" w:ascii="Times New Roman" w:hAnsi="Times New Roman" w:eastAsia="宋体" w:cs="Times New Roman"/>
          <w:lang w:val="en-US" w:eastAsia="zh-CN"/>
        </w:rPr>
        <w:t>基于陕西省2023年度耕地资源质量分类更新与监测工作成果开展进一步深入研究，取得一定科研成果，在省级以上公开发行的学术刊物上发表学术成果。</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（五）、成果</w:t>
      </w:r>
      <w:r>
        <w:rPr>
          <w:rFonts w:hint="default" w:ascii="Times New Roman" w:hAnsi="Times New Roman" w:eastAsia="宋体" w:cs="Times New Roman"/>
          <w:b/>
          <w:sz w:val="21"/>
          <w:szCs w:val="21"/>
          <w:lang w:val="en-US" w:eastAsia="zh-CN"/>
        </w:rPr>
        <w:t>要求</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汇总形成全省除西安市新城区、碑林区以外的105个县（区、市）2023年度耕地资源质量分类更新数据库；</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汇总形成全省第3批33个监测县2023年度耕地资源质量监测数据库和监测样点汇总表；</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分析全省2023年度耕地资源质量分类更新与监测结果，编制《陕西省2023年度耕地资源质量分类更新与监测报告》，形成全省2023年度更新与监测工作《基础资料汇编》。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pacing w:val="4"/>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pacing w:val="4"/>
          <w:sz w:val="21"/>
          <w:szCs w:val="21"/>
          <w:lang w:val="en-US" w:eastAsia="zh-CN"/>
        </w:rPr>
      </w:pPr>
      <w:r>
        <w:rPr>
          <w:rFonts w:hint="eastAsia" w:ascii="Times New Roman" w:hAnsi="Times New Roman" w:eastAsia="宋体" w:cs="Times New Roman"/>
          <w:b/>
          <w:bCs/>
          <w:spacing w:val="4"/>
          <w:sz w:val="21"/>
          <w:szCs w:val="21"/>
          <w:lang w:val="en-US" w:eastAsia="zh-CN"/>
        </w:rPr>
        <w:t>二、商务要求：</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w:t>
      </w:r>
      <w:r>
        <w:rPr>
          <w:rFonts w:hint="eastAsia" w:ascii="Times New Roman" w:hAnsi="Times New Roman" w:eastAsia="宋体" w:cs="Times New Roman"/>
          <w:b/>
          <w:sz w:val="21"/>
          <w:szCs w:val="21"/>
          <w:lang w:val="en-US" w:eastAsia="zh-CN"/>
        </w:rPr>
        <w:t>一</w:t>
      </w:r>
      <w:r>
        <w:rPr>
          <w:rFonts w:hint="default" w:ascii="Times New Roman" w:hAnsi="Times New Roman" w:eastAsia="宋体" w:cs="Times New Roman"/>
          <w:b/>
          <w:sz w:val="21"/>
          <w:szCs w:val="21"/>
          <w:lang w:val="en-US" w:eastAsia="zh-CN"/>
        </w:rPr>
        <w:t>）</w:t>
      </w:r>
      <w:r>
        <w:rPr>
          <w:rFonts w:hint="eastAsia" w:ascii="Times New Roman" w:hAnsi="Times New Roman" w:eastAsia="宋体" w:cs="Times New Roman"/>
          <w:b/>
          <w:sz w:val="21"/>
          <w:szCs w:val="21"/>
          <w:lang w:val="en-US" w:eastAsia="zh-CN"/>
        </w:rPr>
        <w:t>、</w:t>
      </w:r>
      <w:r>
        <w:rPr>
          <w:rFonts w:hint="default" w:ascii="Times New Roman" w:hAnsi="Times New Roman" w:eastAsia="宋体" w:cs="Times New Roman"/>
          <w:b/>
          <w:sz w:val="21"/>
          <w:szCs w:val="21"/>
          <w:lang w:val="en-US" w:eastAsia="zh-CN"/>
        </w:rPr>
        <w:t>服务期限</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2024年8月31日前：组织县级按照国家下发的基础库完成年度更新与监测工作，形成2023年度耕地资源质量分类更新和监测数据库，完成质检并上报自然资源部。</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2024年12月31日前：以自然资源部统一下发的2023年度耕地资源质量分类数据库和汇总表，完成县级、市级和省级耕地资源质量分类更新与监测数据汇总分析。</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b/>
          <w:kern w:val="2"/>
          <w:sz w:val="21"/>
          <w:szCs w:val="21"/>
          <w:lang w:val="en-US" w:eastAsia="zh-CN" w:bidi="ar-SA"/>
        </w:rPr>
        <w:t>（</w:t>
      </w:r>
      <w:r>
        <w:rPr>
          <w:rFonts w:hint="eastAsia" w:ascii="Times New Roman" w:hAnsi="Times New Roman" w:eastAsia="宋体" w:cs="Times New Roman"/>
          <w:b/>
          <w:kern w:val="2"/>
          <w:sz w:val="21"/>
          <w:szCs w:val="21"/>
          <w:lang w:val="en-US" w:eastAsia="zh-CN" w:bidi="ar-SA"/>
        </w:rPr>
        <w:t>二</w:t>
      </w:r>
      <w:r>
        <w:rPr>
          <w:rFonts w:hint="default" w:ascii="Times New Roman" w:hAnsi="Times New Roman" w:eastAsia="宋体" w:cs="Times New Roman"/>
          <w:b/>
          <w:kern w:val="2"/>
          <w:sz w:val="21"/>
          <w:szCs w:val="21"/>
          <w:lang w:val="en-US" w:eastAsia="zh-CN" w:bidi="ar-SA"/>
        </w:rPr>
        <w:t>）</w:t>
      </w:r>
      <w:r>
        <w:rPr>
          <w:rFonts w:hint="eastAsia" w:ascii="Times New Roman" w:hAnsi="Times New Roman" w:eastAsia="宋体" w:cs="Times New Roman"/>
          <w:b/>
          <w:kern w:val="2"/>
          <w:sz w:val="21"/>
          <w:szCs w:val="21"/>
          <w:lang w:val="en-US" w:eastAsia="zh-CN" w:bidi="ar-SA"/>
        </w:rPr>
        <w:t>、</w:t>
      </w:r>
      <w:r>
        <w:rPr>
          <w:rFonts w:hint="default" w:ascii="Times New Roman" w:hAnsi="Times New Roman" w:eastAsia="宋体" w:cs="Times New Roman"/>
          <w:b/>
          <w:kern w:val="2"/>
          <w:sz w:val="21"/>
          <w:szCs w:val="21"/>
          <w:lang w:val="en-US" w:eastAsia="zh-CN" w:bidi="ar-SA"/>
        </w:rPr>
        <w:t>服务地点：</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采购人指定地点</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rPr>
          <w:rFonts w:hint="default" w:ascii="Times New Roman" w:hAnsi="Times New Roman" w:eastAsia="宋体" w:cs="Times New Roman"/>
          <w:b/>
          <w:kern w:val="2"/>
          <w:sz w:val="21"/>
          <w:szCs w:val="21"/>
          <w:highlight w:val="none"/>
          <w:lang w:val="en-US" w:eastAsia="zh-CN" w:bidi="ar-SA"/>
        </w:rPr>
      </w:pPr>
      <w:r>
        <w:rPr>
          <w:rFonts w:hint="default" w:ascii="Times New Roman" w:hAnsi="Times New Roman" w:eastAsia="宋体" w:cs="Times New Roman"/>
          <w:b/>
          <w:kern w:val="2"/>
          <w:sz w:val="21"/>
          <w:szCs w:val="21"/>
          <w:lang w:val="en-US" w:eastAsia="zh-CN" w:bidi="ar-SA"/>
        </w:rPr>
        <w:t>（</w:t>
      </w:r>
      <w:r>
        <w:rPr>
          <w:rFonts w:hint="eastAsia" w:ascii="Times New Roman" w:hAnsi="Times New Roman" w:eastAsia="宋体" w:cs="Times New Roman"/>
          <w:b/>
          <w:kern w:val="2"/>
          <w:sz w:val="21"/>
          <w:szCs w:val="21"/>
          <w:lang w:val="en-US" w:eastAsia="zh-CN" w:bidi="ar-SA"/>
        </w:rPr>
        <w:t>三</w:t>
      </w:r>
      <w:r>
        <w:rPr>
          <w:rFonts w:hint="default" w:ascii="Times New Roman" w:hAnsi="Times New Roman" w:eastAsia="宋体" w:cs="Times New Roman"/>
          <w:b/>
          <w:kern w:val="2"/>
          <w:sz w:val="21"/>
          <w:szCs w:val="21"/>
          <w:highlight w:val="none"/>
          <w:lang w:val="en-US" w:eastAsia="zh-CN" w:bidi="ar-SA"/>
        </w:rPr>
        <w:t>）</w:t>
      </w:r>
      <w:r>
        <w:rPr>
          <w:rFonts w:hint="eastAsia" w:ascii="Times New Roman" w:hAnsi="Times New Roman" w:eastAsia="宋体" w:cs="Times New Roman"/>
          <w:b/>
          <w:kern w:val="2"/>
          <w:sz w:val="21"/>
          <w:szCs w:val="21"/>
          <w:highlight w:val="none"/>
          <w:lang w:val="en-US" w:eastAsia="zh-CN" w:bidi="ar-SA"/>
        </w:rPr>
        <w:t>、</w:t>
      </w:r>
      <w:r>
        <w:rPr>
          <w:rFonts w:hint="default" w:ascii="Times New Roman" w:hAnsi="Times New Roman" w:eastAsia="宋体" w:cs="Times New Roman"/>
          <w:b/>
          <w:kern w:val="2"/>
          <w:sz w:val="21"/>
          <w:szCs w:val="21"/>
          <w:highlight w:val="none"/>
          <w:lang w:val="en-US" w:eastAsia="zh-CN" w:bidi="ar-SA"/>
        </w:rPr>
        <w:t>付款方式：</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合同签订后10个工作日内，甲方支付合同总价款的60% ，待项目全部完成之后甲方支付剩余的40% 。甲方付款前，乙方应向甲方出具等额有效的增值税普通发票。</w:t>
      </w:r>
    </w:p>
    <w:p>
      <w:pPr>
        <w:pStyle w:val="3"/>
        <w:spacing w:line="360" w:lineRule="auto"/>
        <w:ind w:firstLine="420" w:firstLineChars="200"/>
        <w:jc w:val="left"/>
        <w:rPr>
          <w:rFonts w:hint="default" w:ascii="Times New Roman" w:hAnsi="Times New Roman" w:cs="Times New Roman"/>
          <w:highlight w:val="non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upperLetter"/>
      <w:pStyle w:val="6"/>
      <w:lvlText w:val="%1．"/>
      <w:lvlJc w:val="left"/>
      <w:pPr>
        <w:tabs>
          <w:tab w:val="left" w:pos="324"/>
        </w:tabs>
        <w:ind w:left="4524" w:hanging="32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lYmEzZjA2ZGZkNjYxZDMwYzE1N2FmODc4ODA5ZTQifQ=="/>
  </w:docVars>
  <w:rsids>
    <w:rsidRoot w:val="1B6B272F"/>
    <w:rsid w:val="1B6B2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numPr>
        <w:ilvl w:val="0"/>
        <w:numId w:val="1"/>
      </w:numPr>
      <w:jc w:val="center"/>
      <w:outlineLvl w:val="0"/>
    </w:pPr>
    <w:rPr>
      <w:rFonts w:ascii="黑体" w:eastAsia="黑体"/>
      <w:sz w:val="30"/>
      <w:szCs w:val="20"/>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spacing w:after="120"/>
      <w:ind w:right="0" w:rightChars="0" w:firstLine="420" w:firstLineChars="100"/>
      <w:jc w:val="both"/>
    </w:pPr>
    <w:rPr>
      <w:szCs w:val="20"/>
    </w:rPr>
  </w:style>
  <w:style w:type="paragraph" w:styleId="3">
    <w:name w:val="Body Text"/>
    <w:basedOn w:val="1"/>
    <w:next w:val="1"/>
    <w:qFormat/>
    <w:uiPriority w:val="0"/>
    <w:pPr>
      <w:ind w:right="-84" w:rightChars="-40"/>
      <w:jc w:val="center"/>
    </w:pPr>
    <w:rPr>
      <w:rFonts w:eastAsia="宋体"/>
      <w:kern w:val="2"/>
      <w:sz w:val="21"/>
      <w:szCs w:val="24"/>
      <w:lang w:val="en-US" w:eastAsia="zh-CN" w:bidi="ar-SA"/>
    </w:rPr>
  </w:style>
  <w:style w:type="paragraph" w:styleId="4">
    <w:name w:val="Body Text First Indent 2"/>
    <w:basedOn w:val="5"/>
    <w:next w:val="1"/>
    <w:qFormat/>
    <w:uiPriority w:val="0"/>
    <w:pPr>
      <w:ind w:firstLine="420" w:firstLineChars="200"/>
    </w:pPr>
  </w:style>
  <w:style w:type="paragraph" w:styleId="5">
    <w:name w:val="Body Text Indent"/>
    <w:basedOn w:val="1"/>
    <w:next w:val="1"/>
    <w:qFormat/>
    <w:uiPriority w:val="0"/>
    <w:pPr>
      <w:spacing w:line="360" w:lineRule="auto"/>
      <w:ind w:firstLine="480"/>
    </w:pPr>
    <w:rPr>
      <w:rFonts w:ascii="宋体" w:eastAsia="宋体"/>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2024-06-05T09:44:00Z</dcterms:created>
  <dc:creator>   Zandra。</dc:creator>
  <cp:lastModifiedBy>   Zandra。</cp:lastModifiedBy>
  <dcterms:modified xsi:type="dcterms:W3CDTF">2024-06-05T09:44:27Z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510C761100C343C7862762BC3528329C_11</vt:lpwstr>
  </property>
</Properties>
</file>