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高速公路服务区充电基础设施随手查服务对接升级项目(二次)</w:t>
      </w:r>
    </w:p>
    <w:p>
      <w:pPr>
        <w:pStyle w:val="null3"/>
        <w:jc w:val="center"/>
        <w:outlineLvl w:val="2"/>
      </w:pPr>
      <w:r>
        <w:rPr>
          <w:sz w:val="28"/>
          <w:b/>
        </w:rPr>
        <w:t>采购项目编号：</w:t>
      </w:r>
      <w:r>
        <w:rPr>
          <w:sz w:val="28"/>
          <w:b/>
        </w:rPr>
        <w:t>中赞招字（2024）第33号.1B1</w:t>
      </w:r>
      <w:r>
        <w:br/>
      </w:r>
      <w:r>
        <w:br/>
      </w:r>
      <w:r>
        <w:br/>
      </w:r>
    </w:p>
    <w:p>
      <w:pPr>
        <w:pStyle w:val="null3"/>
        <w:jc w:val="center"/>
        <w:outlineLvl w:val="2"/>
      </w:pPr>
      <w:r>
        <w:rPr>
          <w:sz w:val="28"/>
          <w:b/>
        </w:rPr>
        <w:t>陕西省高速公路收费中心</w:t>
      </w:r>
    </w:p>
    <w:p>
      <w:pPr>
        <w:pStyle w:val="null3"/>
        <w:jc w:val="center"/>
        <w:outlineLvl w:val="2"/>
      </w:pPr>
      <w:r>
        <w:rPr>
          <w:sz w:val="28"/>
          <w:b/>
        </w:rPr>
        <w:t>中赞国际项目管理有限公司</w:t>
      </w:r>
      <w:r>
        <w:rPr>
          <w:sz w:val="28"/>
          <w:b/>
        </w:rPr>
        <w:t>共同编制</w:t>
      </w:r>
    </w:p>
    <w:p>
      <w:pPr>
        <w:pStyle w:val="null3"/>
        <w:jc w:val="center"/>
        <w:outlineLvl w:val="2"/>
      </w:pPr>
      <w:r>
        <w:rPr>
          <w:sz w:val="28"/>
          <w:b/>
        </w:rPr>
        <w:t>2024年06月12日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中赞国际项目管理有限公司</w:t>
      </w:r>
      <w:r>
        <w:rPr/>
        <w:t>（以下简称“代理机构”）受</w:t>
      </w:r>
      <w:r>
        <w:rPr/>
        <w:t>陕西省高速公路收费中心</w:t>
      </w:r>
      <w:r>
        <w:rPr/>
        <w:t>委托，拟对</w:t>
      </w:r>
      <w:r>
        <w:rPr/>
        <w:t>高速公路服务区充电基础设施随手查服务对接升级项目(二次)</w:t>
      </w:r>
      <w:r>
        <w:rPr/>
        <w:t>采用竞争性磋商采购方式进行采购，兹邀请供应商参加本项目的竞争性磋商。</w:t>
      </w:r>
    </w:p>
    <w:p>
      <w:pPr>
        <w:pStyle w:val="null3"/>
        <w:outlineLvl w:val="2"/>
      </w:pPr>
      <w:r>
        <w:rPr>
          <w:sz w:val="28"/>
          <w:b/>
        </w:rPr>
        <w:t>一、项目编号：</w:t>
      </w:r>
      <w:r>
        <w:rPr>
          <w:sz w:val="28"/>
          <w:b/>
        </w:rPr>
        <w:t>中赞招字（2024）第33号.1B1</w:t>
      </w:r>
    </w:p>
    <w:p>
      <w:pPr>
        <w:pStyle w:val="null3"/>
        <w:outlineLvl w:val="2"/>
      </w:pPr>
      <w:r>
        <w:rPr>
          <w:sz w:val="28"/>
          <w:b/>
        </w:rPr>
        <w:t>二、项目名称：</w:t>
      </w:r>
      <w:r>
        <w:rPr>
          <w:sz w:val="28"/>
          <w:b/>
        </w:rPr>
        <w:t>高速公路服务区充电基础设施随手查服务对接升级项目(二次)</w:t>
      </w:r>
    </w:p>
    <w:p>
      <w:pPr>
        <w:pStyle w:val="null3"/>
        <w:outlineLvl w:val="2"/>
      </w:pPr>
      <w:r>
        <w:rPr>
          <w:sz w:val="28"/>
          <w:b/>
        </w:rPr>
        <w:t>三、磋商项目简介</w:t>
      </w:r>
    </w:p>
    <w:p>
      <w:pPr>
        <w:pStyle w:val="null3"/>
        <w:ind w:firstLine="480"/>
      </w:pPr>
      <w:r>
        <w:rPr/>
        <w:t>高速公路服务区充电基础设施随手查服务对接升级项目预算金额76万。根据交通运输部《高速公路充电基础设施“随手查”服务行动方案》和《陕西省高速公路充电设施“随手查”服务行动工作方案》有关要求，本项目开发陕西省高速公路服务区充电基础设施“随手查”平台，建立统一的信息采集和汇聚系统，通过多种渠道收集充电设施的信息，将信息进行整合、汇总、发布，实现高速公路服务区充电基础设施实时状态查询，通过“随手查”服务，高速公路出行用户可以随时了解高速公路服务区充电基础设施的实时状态。系统拟部署在陕西交通云平台，软件需适应交通云平台的软硬件环境、数据库及服务器操作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采购包1（高速公路服务区充电基础设施随手查服务对接升级项目）：属于专门面向中小企业采购。</w:t>
      </w:r>
    </w:p>
    <w:p>
      <w:pPr>
        <w:pStyle w:val="null3"/>
        <w:ind w:firstLine="480"/>
      </w:pPr>
      <w:r>
        <w:rPr/>
        <w:t>（三）本项目的特定资格要求：</w:t>
      </w:r>
    </w:p>
    <w:p>
      <w:pPr>
        <w:pStyle w:val="null3"/>
      </w:pPr>
      <w:r>
        <w:rPr/>
        <w:t>采购包1：</w:t>
      </w:r>
    </w:p>
    <w:p>
      <w:pPr>
        <w:pStyle w:val="null3"/>
      </w:pPr>
      <w:r>
        <w:rPr/>
        <w:t>1、信用记录：供应商不得在“信用中国” 网站被列入失信被执行人名单、重大税收违法案件当事人名单和不得在“中国政府采购网”被列入政府采购严重违法失信行为记录名单。</w:t>
      </w:r>
    </w:p>
    <w:p>
      <w:pPr>
        <w:pStyle w:val="null3"/>
      </w:pPr>
      <w:r>
        <w:rPr/>
        <w:t>2、法定代表人委托授权书\身份证明：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p>
      <w:pPr>
        <w:pStyle w:val="null3"/>
      </w:pPr>
      <w:r>
        <w:rPr/>
        <w:t>3、有效的主体资格证明：提供合格有效的法人或者其他组织的营业执照等证明文件或自然人的身份证明。</w:t>
      </w:r>
    </w:p>
    <w:p>
      <w:pPr>
        <w:pStyle w:val="null3"/>
      </w:pPr>
      <w:r>
        <w:rPr/>
        <w:t>4、财务状况报告：（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p>
      <w:pPr>
        <w:pStyle w:val="null3"/>
      </w:pPr>
      <w:r>
        <w:rPr/>
        <w:t>5、税收缴纳证明：提供递交响应文件截止日期前十二个月（递交响应文件截止时间当月不计入）内已缴存的至少一个月的纳税证明或完税证明，依法免税的单位应提供相关证明材料。</w:t>
      </w:r>
    </w:p>
    <w:p>
      <w:pPr>
        <w:pStyle w:val="null3"/>
      </w:pPr>
      <w:r>
        <w:rPr/>
        <w:t>6、社会保障资金缴纳证明：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p>
      <w:pPr>
        <w:pStyle w:val="null3"/>
      </w:pPr>
      <w:r>
        <w:rPr/>
        <w:t>7、无重大违法记录声明：近3年内在经营活动中没有重大违法记录的书面声明。</w:t>
      </w:r>
    </w:p>
    <w:p>
      <w:pPr>
        <w:pStyle w:val="null3"/>
      </w:pPr>
      <w:r>
        <w:rPr/>
        <w:t>8、具有履行合同所必需的设备和专业技术能力：提交履行合同所必需的设备和专业技术能力的书面声明。</w:t>
      </w:r>
    </w:p>
    <w:p>
      <w:pPr>
        <w:pStyle w:val="null3"/>
      </w:pPr>
      <w:r>
        <w:rPr/>
        <w:t>9、本项目不接受联合体响应：非联合体投标承诺书。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陕西省高速公路收费中心</w:t>
      </w:r>
    </w:p>
    <w:p>
      <w:pPr>
        <w:pStyle w:val="null3"/>
      </w:pPr>
      <w:r>
        <w:rPr/>
        <w:t xml:space="preserve"> 地址： </w:t>
      </w:r>
      <w:r>
        <w:rPr/>
        <w:t xml:space="preserve"> 西安市未央区未央路208号</w:t>
      </w:r>
    </w:p>
    <w:p>
      <w:pPr>
        <w:pStyle w:val="null3"/>
      </w:pPr>
      <w:r>
        <w:rPr/>
        <w:t xml:space="preserve"> 邮编： </w:t>
      </w:r>
      <w:r>
        <w:rPr/>
        <w:t>710000</w:t>
      </w:r>
    </w:p>
    <w:p>
      <w:pPr>
        <w:pStyle w:val="null3"/>
      </w:pPr>
      <w:r>
        <w:rPr/>
        <w:t xml:space="preserve"> 联系人： </w:t>
      </w:r>
      <w:r>
        <w:rPr/>
        <w:t>陕西省高速公路收费中心办公室</w:t>
      </w:r>
    </w:p>
    <w:p>
      <w:pPr>
        <w:pStyle w:val="null3"/>
      </w:pPr>
      <w:r>
        <w:rPr/>
        <w:t xml:space="preserve"> 联系电话： </w:t>
      </w:r>
      <w:r>
        <w:rPr/>
        <w:t>029-86531101</w:t>
      </w:r>
    </w:p>
    <w:p>
      <w:pPr>
        <w:pStyle w:val="null3"/>
        <w:outlineLvl w:val="3"/>
      </w:pPr>
      <w:r>
        <w:rPr>
          <w:sz w:val="24"/>
          <w:b/>
        </w:rPr>
        <w:t>代理机构：</w:t>
      </w:r>
      <w:r>
        <w:rPr>
          <w:sz w:val="24"/>
          <w:b/>
        </w:rPr>
        <w:t>中赞国际项目管理有限公司</w:t>
      </w:r>
    </w:p>
    <w:p>
      <w:pPr>
        <w:pStyle w:val="null3"/>
      </w:pPr>
      <w:r>
        <w:rPr/>
        <w:t xml:space="preserve"> 地址： </w:t>
      </w:r>
      <w:r>
        <w:rPr/>
        <w:t>陕西省西安市未央区未央路老三届首座大厦2号1幢12220室</w:t>
      </w:r>
    </w:p>
    <w:p>
      <w:pPr>
        <w:pStyle w:val="null3"/>
      </w:pPr>
      <w:r>
        <w:rPr/>
        <w:t xml:space="preserve"> 邮编： </w:t>
      </w:r>
      <w:r>
        <w:rPr/>
        <w:t xml:space="preserve"> 710000</w:t>
      </w:r>
    </w:p>
    <w:p>
      <w:pPr>
        <w:pStyle w:val="null3"/>
      </w:pPr>
      <w:r>
        <w:rPr/>
        <w:t xml:space="preserve"> 联系人： </w:t>
      </w:r>
      <w:r>
        <w:rPr/>
        <w:t>张琪</w:t>
      </w:r>
    </w:p>
    <w:p>
      <w:pPr>
        <w:pStyle w:val="null3"/>
      </w:pPr>
      <w:r>
        <w:rPr/>
        <w:t xml:space="preserve"> 联系电话： </w:t>
      </w:r>
      <w:r>
        <w:rPr/>
        <w:t>029-81629798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开户名称：中赞国际项目管理有限公司</w:t>
            </w:r>
          </w:p>
          <w:p>
            <w:pPr>
              <w:pStyle w:val="null3"/>
            </w:pPr>
            <w:r>
              <w:rPr/>
              <w:t>开户银行：招商银行股份有限公司西安未央路支行</w:t>
            </w:r>
          </w:p>
          <w:p>
            <w:pPr>
              <w:pStyle w:val="null3"/>
            </w:pPr>
            <w:r>
              <w:rPr/>
              <w:t>银行账号：129912141810202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5%向招标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陕西省高速公路收费中心</w:t>
      </w:r>
      <w:r>
        <w:rPr/>
        <w:t>和</w:t>
      </w:r>
      <w:r>
        <w:rPr/>
        <w:t>中赞国际项目管理有限公司</w:t>
      </w:r>
      <w:r>
        <w:rPr/>
        <w:t>享有。对磋商文件中供应商参加本次政府采购活动应当具备的条件，磋商项目技术、服务、商务及其他要求，评审细则及标准由</w:t>
      </w:r>
      <w:r>
        <w:rPr/>
        <w:t>陕西省高速公路收费中心</w:t>
      </w:r>
      <w:r>
        <w:rPr/>
        <w:t>负责解释。除上述磋商文件内容，其他内容由</w:t>
      </w:r>
      <w:r>
        <w:rPr/>
        <w:t>中赞国际项目管理有限公司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陕西省高速公路收费中心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中赞国际项目管理有限公司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采购人照政府采购合同规定的技术、服务、安全标准组织对供应商履约情况进行验收，并出具验收书。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中赞国际项目管理有限公司</w:t>
      </w:r>
      <w:r>
        <w:rPr/>
        <w:t xml:space="preserve"> 负责答复；供应商对除采购需求外的采购文件的询问、质疑由</w:t>
      </w:r>
      <w:r>
        <w:rPr/>
        <w:t>中赞国际项目管理有限公司</w:t>
      </w:r>
      <w:r>
        <w:rPr/>
        <w:t xml:space="preserve"> 负责答复；供应商对采购过程、采购结果的询问、质疑由 </w:t>
      </w:r>
      <w:r>
        <w:rPr/>
        <w:t>中赞国际项目管理有限公司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联系人：张琪</w:t>
      </w:r>
    </w:p>
    <w:p>
      <w:pPr>
        <w:pStyle w:val="null3"/>
      </w:pPr>
      <w:r>
        <w:rPr/>
        <w:t>联系电话： 029-81629798</w:t>
      </w:r>
    </w:p>
    <w:p>
      <w:pPr>
        <w:pStyle w:val="null3"/>
      </w:pPr>
      <w:r>
        <w:rPr/>
        <w:t>地址：陕西省西安市未央区未央路老三届首座大厦2号1幢2220室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高速公路服务区充电基础设施随手查服务对接升级项目预算金额76万。根据交通运输部《高速公路充电基础设施“随手查”服务行动方案》和《陕西省高速公路充电设施“随手查”服务行动工作方案》有关要求，本项目开发陕西省高速公路服务区充电基础设施“随手查”平台，建立统一的信息采集和汇聚系统，通过多种渠道收集充电设施的信息，将信息进行整合、汇总、发布，实现高速公路服务区充电基础设施实时状态查询，通过“随手查”服务，高速公路出行用户可以随时了解高速公路服务区充电基础设施的实时状态。系统拟部署在陕西交通云平台，软件需适应交通云平台的软硬件环境、数据库及服务器操作系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760,000.00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高速公路服务区充电基础设施随手查服务对接升级项目</w:t>
            </w:r>
          </w:p>
        </w:tc>
        <w:tc>
          <w:tcPr>
            <w:tcW w:type="dxa" w:w="831"/>
          </w:tcPr>
          <w:p>
            <w:pPr>
              <w:pStyle w:val="null3"/>
              <w:jc w:val="right"/>
            </w:pPr>
            <w:r>
              <w:rPr/>
              <w:t>1.00</w:t>
            </w:r>
          </w:p>
        </w:tc>
        <w:tc>
          <w:tcPr>
            <w:tcW w:type="dxa" w:w="831"/>
          </w:tcPr>
          <w:p>
            <w:pPr>
              <w:pStyle w:val="null3"/>
              <w:jc w:val="right"/>
            </w:pPr>
            <w:r>
              <w:rPr/>
              <w:t>760,000.00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标的名称：高速公路服务区充电基础设施随手查服务对接升级项目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402"/>
              <w:jc w:val="both"/>
            </w:pPr>
            <w:r>
              <w:rPr>
                <w:rFonts w:ascii="宋体" w:hAnsi="宋体" w:cs="宋体" w:eastAsia="宋体"/>
                <w:sz w:val="20"/>
                <w:b/>
              </w:rPr>
              <w:t>服务内容及技术要求</w:t>
            </w:r>
          </w:p>
          <w:p>
            <w:pPr>
              <w:pStyle w:val="null3"/>
              <w:ind w:firstLine="402"/>
              <w:jc w:val="both"/>
            </w:pPr>
            <w:r>
              <w:rPr>
                <w:rFonts w:ascii="宋体" w:hAnsi="宋体" w:cs="宋体" w:eastAsia="宋体"/>
                <w:sz w:val="20"/>
                <w:b/>
              </w:rPr>
              <w:t>（一）开发内容如下：</w:t>
            </w:r>
          </w:p>
          <w:p>
            <w:pPr>
              <w:pStyle w:val="null3"/>
              <w:ind w:firstLine="400"/>
              <w:jc w:val="both"/>
            </w:pPr>
            <w:r>
              <w:rPr>
                <w:rFonts w:ascii="宋体" w:hAnsi="宋体" w:cs="宋体" w:eastAsia="宋体"/>
                <w:sz w:val="20"/>
              </w:rPr>
              <w:t>1.开发陕西省高速公路服务区充电基础设施“随手查”平台电脑管理端。</w:t>
            </w:r>
          </w:p>
          <w:p>
            <w:pPr>
              <w:pStyle w:val="null3"/>
              <w:ind w:firstLine="400"/>
              <w:jc w:val="both"/>
            </w:pPr>
            <w:r>
              <w:rPr>
                <w:rFonts w:ascii="宋体" w:hAnsi="宋体" w:cs="宋体" w:eastAsia="宋体"/>
                <w:sz w:val="20"/>
              </w:rPr>
              <w:t>2.开发陕西省高速公路服务区充电基础设施“随手查”平台公众服务移动端外部应用。</w:t>
            </w:r>
          </w:p>
          <w:p>
            <w:pPr>
              <w:pStyle w:val="null3"/>
              <w:ind w:firstLine="400"/>
              <w:jc w:val="both"/>
            </w:pPr>
            <w:r>
              <w:rPr>
                <w:rFonts w:ascii="宋体" w:hAnsi="宋体" w:cs="宋体" w:eastAsia="宋体"/>
                <w:sz w:val="20"/>
              </w:rPr>
              <w:t>3.开发陕西省高速公路服务区充电基础设施“随手查”平台的部中心数据汇集及传输功能。</w:t>
            </w:r>
          </w:p>
          <w:p>
            <w:pPr>
              <w:pStyle w:val="null3"/>
              <w:ind w:firstLine="402"/>
              <w:jc w:val="both"/>
            </w:pPr>
            <w:r>
              <w:rPr>
                <w:rFonts w:ascii="宋体" w:hAnsi="宋体" w:cs="宋体" w:eastAsia="宋体"/>
                <w:sz w:val="20"/>
                <w:b/>
              </w:rPr>
              <w:t>（二）功能要求</w:t>
            </w:r>
          </w:p>
          <w:p>
            <w:pPr>
              <w:pStyle w:val="null3"/>
              <w:ind w:firstLine="402"/>
              <w:jc w:val="both"/>
            </w:pPr>
            <w:r>
              <w:rPr>
                <w:rFonts w:ascii="宋体" w:hAnsi="宋体" w:cs="宋体" w:eastAsia="宋体"/>
                <w:sz w:val="20"/>
                <w:b/>
              </w:rPr>
              <w:t>1.开发陕西省高速公路服务区充电基础设施“随手查”平台电脑管理端，具体包括功能基础数据管理、数据统计分析、数据汇聚、数据服务管理等</w:t>
            </w:r>
            <w:r>
              <w:rPr>
                <w:rFonts w:ascii="宋体" w:hAnsi="宋体" w:cs="宋体" w:eastAsia="宋体"/>
                <w:sz w:val="20"/>
              </w:rPr>
              <w:t>。</w:t>
            </w:r>
          </w:p>
          <w:p>
            <w:pPr>
              <w:pStyle w:val="null3"/>
              <w:ind w:firstLine="400"/>
              <w:jc w:val="both"/>
            </w:pPr>
            <w:r>
              <w:rPr>
                <w:rFonts w:ascii="宋体" w:hAnsi="宋体" w:cs="宋体" w:eastAsia="宋体"/>
                <w:sz w:val="20"/>
              </w:rPr>
              <w:t>（</w:t>
            </w:r>
            <w:r>
              <w:rPr>
                <w:rFonts w:ascii="宋体" w:hAnsi="宋体" w:cs="宋体" w:eastAsia="宋体"/>
                <w:sz w:val="20"/>
              </w:rPr>
              <w:t>1）基础数据管理：主要包括服务区信息管理、基础设施运营商管理、充电站信息管理、充电设备信息管理、充电设备接口信息管理功能。提供公路服务区充电设施的动、静态数据的管理、审核功能，以及对部路网中心下发的“总对总”数据确认、核对功能。提供用户反馈问题查看处理功能。</w:t>
            </w:r>
          </w:p>
          <w:p>
            <w:pPr>
              <w:pStyle w:val="null3"/>
              <w:ind w:firstLine="400"/>
              <w:jc w:val="both"/>
            </w:pPr>
            <w:r>
              <w:rPr>
                <w:rFonts w:ascii="宋体" w:hAnsi="宋体" w:cs="宋体" w:eastAsia="宋体"/>
                <w:sz w:val="20"/>
              </w:rPr>
              <w:t>（</w:t>
            </w:r>
            <w:r>
              <w:rPr>
                <w:rFonts w:ascii="宋体" w:hAnsi="宋体" w:cs="宋体" w:eastAsia="宋体"/>
                <w:sz w:val="20"/>
              </w:rPr>
              <w:t>2）数据统计分析：主要包括充电基础设施分布、充电基础设施监测、充电基础设施统计、充电设施运营统计等功能。提供对服务区充电设施的统计分析报表功能及充电基础设施运营监测功能。报表内容主要涉及服务区已建、待建充电设施情况以及充电设施运营情况的相关统计分析。对服务区充电设施数据实时监测，直观展示当前各服务区、充电站的充电基础设施实时利用率、利用率排名等信息。</w:t>
            </w:r>
          </w:p>
          <w:p>
            <w:pPr>
              <w:pStyle w:val="null3"/>
              <w:ind w:firstLine="400"/>
              <w:jc w:val="both"/>
            </w:pPr>
            <w:r>
              <w:rPr>
                <w:rFonts w:ascii="宋体" w:hAnsi="宋体" w:cs="宋体" w:eastAsia="宋体"/>
                <w:sz w:val="20"/>
              </w:rPr>
              <w:t>（</w:t>
            </w:r>
            <w:r>
              <w:rPr>
                <w:rFonts w:ascii="宋体" w:hAnsi="宋体" w:cs="宋体" w:eastAsia="宋体"/>
                <w:sz w:val="20"/>
              </w:rPr>
              <w:t>3）数据汇聚：主要包括充电基础设施运营商接口、部省数据交互接口。建设数据接口进行数据交互，从充电设施运营商系统进行公路服务区充电设施的动、静态数据采集。将审核充电基础设施动、静态数据上报至部中心系统。</w:t>
            </w:r>
          </w:p>
          <w:p>
            <w:pPr>
              <w:pStyle w:val="null3"/>
              <w:ind w:firstLine="400"/>
              <w:jc w:val="both"/>
            </w:pPr>
            <w:r>
              <w:rPr>
                <w:rFonts w:ascii="宋体" w:hAnsi="宋体" w:cs="宋体" w:eastAsia="宋体"/>
                <w:sz w:val="20"/>
              </w:rPr>
              <w:t>（</w:t>
            </w:r>
            <w:r>
              <w:rPr>
                <w:rFonts w:ascii="宋体" w:hAnsi="宋体" w:cs="宋体" w:eastAsia="宋体"/>
                <w:sz w:val="20"/>
              </w:rPr>
              <w:t>4）数据服务管理：主要包括统一应用网关、统一应用注册、统一应用管理、统一应用鉴权、统一用户中心功能，对平台用户、数据服务进行统一管理。</w:t>
            </w:r>
          </w:p>
          <w:p>
            <w:pPr>
              <w:pStyle w:val="null3"/>
              <w:ind w:firstLine="402"/>
              <w:jc w:val="both"/>
            </w:pPr>
            <w:r>
              <w:rPr>
                <w:rFonts w:ascii="宋体" w:hAnsi="宋体" w:cs="宋体" w:eastAsia="宋体"/>
                <w:sz w:val="20"/>
                <w:b/>
              </w:rPr>
              <w:t>2.开发陕西省高速公路服务区充电基础设施“随手查”平台公众服务移动端外部应用，具体包括：</w:t>
            </w:r>
          </w:p>
          <w:p>
            <w:pPr>
              <w:pStyle w:val="null3"/>
              <w:ind w:firstLine="400"/>
              <w:jc w:val="both"/>
            </w:pPr>
            <w:r>
              <w:rPr>
                <w:rFonts w:ascii="宋体" w:hAnsi="宋体" w:cs="宋体" w:eastAsia="宋体"/>
                <w:sz w:val="20"/>
              </w:rPr>
              <w:t>（</w:t>
            </w:r>
            <w:r>
              <w:rPr>
                <w:rFonts w:ascii="宋体" w:hAnsi="宋体" w:cs="宋体" w:eastAsia="宋体"/>
                <w:sz w:val="20"/>
              </w:rPr>
              <w:t>1）服务区充电设施查询：按服务区名称模糊查询服务区充电站动静态信息，含服务区充电站充电桩数量、使用状态、充电费率等信息。</w:t>
            </w:r>
          </w:p>
          <w:p>
            <w:pPr>
              <w:pStyle w:val="null3"/>
              <w:ind w:firstLine="400"/>
              <w:jc w:val="both"/>
            </w:pPr>
            <w:r>
              <w:rPr>
                <w:rFonts w:ascii="宋体" w:hAnsi="宋体" w:cs="宋体" w:eastAsia="宋体"/>
                <w:sz w:val="20"/>
              </w:rPr>
              <w:t>（</w:t>
            </w:r>
            <w:r>
              <w:rPr>
                <w:rFonts w:ascii="宋体" w:hAnsi="宋体" w:cs="宋体" w:eastAsia="宋体"/>
                <w:sz w:val="20"/>
              </w:rPr>
              <w:t>2）服务区充电地图快捷查询：在地图上分图标类型展示所有服务区充电场站信息，快速查询场站的充电桩空闲情况及场站费率信息。</w:t>
            </w:r>
          </w:p>
          <w:p>
            <w:pPr>
              <w:pStyle w:val="null3"/>
              <w:ind w:firstLine="400"/>
              <w:jc w:val="both"/>
            </w:pPr>
            <w:r>
              <w:rPr>
                <w:rFonts w:ascii="宋体" w:hAnsi="宋体" w:cs="宋体" w:eastAsia="宋体"/>
                <w:sz w:val="20"/>
              </w:rPr>
              <w:t>（</w:t>
            </w:r>
            <w:r>
              <w:rPr>
                <w:rFonts w:ascii="宋体" w:hAnsi="宋体" w:cs="宋体" w:eastAsia="宋体"/>
                <w:sz w:val="20"/>
              </w:rPr>
              <w:t>3）问题反馈：针对有故障或数据不准确的充电桩或充电接口，用户可以进行问题上报。</w:t>
            </w:r>
          </w:p>
          <w:p>
            <w:pPr>
              <w:pStyle w:val="null3"/>
              <w:ind w:firstLine="402"/>
              <w:jc w:val="both"/>
            </w:pPr>
            <w:r>
              <w:rPr>
                <w:rFonts w:ascii="宋体" w:hAnsi="宋体" w:cs="宋体" w:eastAsia="宋体"/>
                <w:sz w:val="20"/>
                <w:b/>
              </w:rPr>
              <w:t>3.开发陕西省高速公路服务区充电基础设施“随手查”平台的部中心数据汇集及传输功能，包括：</w:t>
            </w:r>
          </w:p>
          <w:p>
            <w:pPr>
              <w:pStyle w:val="null3"/>
              <w:ind w:firstLine="400"/>
              <w:jc w:val="both"/>
            </w:pPr>
            <w:r>
              <w:rPr>
                <w:rFonts w:ascii="宋体" w:hAnsi="宋体" w:cs="宋体" w:eastAsia="宋体"/>
                <w:sz w:val="20"/>
              </w:rPr>
              <w:t>（</w:t>
            </w:r>
            <w:r>
              <w:rPr>
                <w:rFonts w:ascii="宋体" w:hAnsi="宋体" w:cs="宋体" w:eastAsia="宋体"/>
                <w:sz w:val="20"/>
              </w:rPr>
              <w:t>1）服务区基础信息推送:服务区编号、服务区名称、服务区类型、服务区的区划代码、省市县等数据信息推送。</w:t>
            </w:r>
          </w:p>
          <w:p>
            <w:pPr>
              <w:pStyle w:val="null3"/>
              <w:ind w:firstLine="400"/>
              <w:jc w:val="both"/>
            </w:pPr>
            <w:r>
              <w:rPr>
                <w:rFonts w:ascii="宋体" w:hAnsi="宋体" w:cs="宋体" w:eastAsia="宋体"/>
                <w:sz w:val="20"/>
              </w:rPr>
              <w:t>（</w:t>
            </w:r>
            <w:r>
              <w:rPr>
                <w:rFonts w:ascii="宋体" w:hAnsi="宋体" w:cs="宋体" w:eastAsia="宋体"/>
                <w:sz w:val="20"/>
              </w:rPr>
              <w:t>2）充电接口信息推送:充电设备编号、充电运营商信息、充电接口编号、充电接口电压、电流、设备状态、车位状态等数据信息进行推送。</w:t>
            </w:r>
          </w:p>
          <w:p>
            <w:pPr>
              <w:pStyle w:val="null3"/>
              <w:ind w:firstLine="400"/>
              <w:jc w:val="both"/>
            </w:pPr>
            <w:r>
              <w:rPr>
                <w:rFonts w:ascii="宋体" w:hAnsi="宋体" w:cs="宋体" w:eastAsia="宋体"/>
                <w:sz w:val="20"/>
              </w:rPr>
              <w:t>（</w:t>
            </w:r>
            <w:r>
              <w:rPr>
                <w:rFonts w:ascii="宋体" w:hAnsi="宋体" w:cs="宋体" w:eastAsia="宋体"/>
                <w:sz w:val="20"/>
              </w:rPr>
              <w:t>3）充电设备信息推送:充电站编号、设备编号、生产商名字、设备型号、设备类型、设备功率等字段信息进行推送。</w:t>
            </w:r>
          </w:p>
          <w:p>
            <w:pPr>
              <w:pStyle w:val="null3"/>
              <w:ind w:firstLine="400"/>
              <w:jc w:val="both"/>
            </w:pPr>
            <w:r>
              <w:rPr>
                <w:rFonts w:ascii="宋体" w:hAnsi="宋体" w:cs="宋体" w:eastAsia="宋体"/>
                <w:sz w:val="20"/>
              </w:rPr>
              <w:t>（</w:t>
            </w:r>
            <w:r>
              <w:rPr>
                <w:rFonts w:ascii="宋体" w:hAnsi="宋体" w:cs="宋体" w:eastAsia="宋体"/>
                <w:sz w:val="20"/>
              </w:rPr>
              <w:t>4）充电站信息推送：服务区编号、充电站编号、站点模式、站点状态、运营商名称、运营商电话、建设场所、服务费率、支付方式等信息进行推送。</w:t>
            </w:r>
          </w:p>
          <w:p>
            <w:pPr>
              <w:pStyle w:val="null3"/>
              <w:ind w:firstLine="400"/>
              <w:jc w:val="both"/>
            </w:pPr>
            <w:r>
              <w:rPr>
                <w:rFonts w:ascii="宋体" w:hAnsi="宋体" w:cs="宋体" w:eastAsia="宋体"/>
                <w:sz w:val="20"/>
              </w:rPr>
              <w:t>（</w:t>
            </w:r>
            <w:r>
              <w:rPr>
                <w:rFonts w:ascii="宋体" w:hAnsi="宋体" w:cs="宋体" w:eastAsia="宋体"/>
                <w:sz w:val="20"/>
              </w:rPr>
              <w:t>5）收费标准推送：充电接口编号、起止时间、时段电费、时段服务费等信息推送。</w:t>
            </w:r>
          </w:p>
          <w:p>
            <w:pPr>
              <w:pStyle w:val="null3"/>
              <w:ind w:firstLine="402"/>
              <w:jc w:val="both"/>
            </w:pPr>
            <w:r>
              <w:rPr>
                <w:rFonts w:ascii="宋体" w:hAnsi="宋体" w:cs="宋体" w:eastAsia="宋体"/>
                <w:sz w:val="20"/>
                <w:b/>
              </w:rPr>
              <w:t>（三）性能要求</w:t>
            </w:r>
          </w:p>
          <w:p>
            <w:pPr>
              <w:pStyle w:val="null3"/>
              <w:ind w:firstLine="402"/>
              <w:jc w:val="both"/>
            </w:pPr>
            <w:r>
              <w:rPr>
                <w:rFonts w:ascii="宋体" w:hAnsi="宋体" w:cs="宋体" w:eastAsia="宋体"/>
                <w:sz w:val="20"/>
                <w:b/>
              </w:rPr>
              <w:t>1.高可用性</w:t>
            </w:r>
          </w:p>
          <w:p>
            <w:pPr>
              <w:pStyle w:val="null3"/>
              <w:ind w:firstLine="400"/>
              <w:jc w:val="both"/>
            </w:pPr>
            <w:r>
              <w:rPr>
                <w:rFonts w:ascii="宋体" w:hAnsi="宋体" w:cs="宋体" w:eastAsia="宋体"/>
                <w:sz w:val="20"/>
              </w:rPr>
              <w:t>在线用户：支持超过</w:t>
            </w:r>
            <w:r>
              <w:rPr>
                <w:rFonts w:ascii="宋体" w:hAnsi="宋体" w:cs="宋体" w:eastAsia="宋体"/>
                <w:sz w:val="20"/>
              </w:rPr>
              <w:t>2000名同时在线用户。</w:t>
            </w:r>
          </w:p>
          <w:p>
            <w:pPr>
              <w:pStyle w:val="null3"/>
              <w:ind w:firstLine="400"/>
              <w:jc w:val="both"/>
            </w:pPr>
            <w:r>
              <w:rPr>
                <w:rFonts w:ascii="宋体" w:hAnsi="宋体" w:cs="宋体" w:eastAsia="宋体"/>
                <w:sz w:val="20"/>
              </w:rPr>
              <w:t>并发支持：系统需支持</w:t>
            </w:r>
            <w:r>
              <w:rPr>
                <w:rFonts w:ascii="宋体" w:hAnsi="宋体" w:cs="宋体" w:eastAsia="宋体"/>
                <w:sz w:val="20"/>
              </w:rPr>
              <w:t>200个以上的并发用户，保证使用流畅。</w:t>
            </w:r>
          </w:p>
          <w:p>
            <w:pPr>
              <w:pStyle w:val="null3"/>
              <w:ind w:firstLine="400"/>
              <w:jc w:val="both"/>
            </w:pPr>
            <w:r>
              <w:rPr>
                <w:rFonts w:ascii="宋体" w:hAnsi="宋体" w:cs="宋体" w:eastAsia="宋体"/>
                <w:sz w:val="20"/>
              </w:rPr>
              <w:t>数据保护：确保数据在意外情况下不丢失或损坏。</w:t>
            </w:r>
          </w:p>
          <w:p>
            <w:pPr>
              <w:pStyle w:val="null3"/>
              <w:ind w:firstLine="400"/>
              <w:jc w:val="both"/>
            </w:pPr>
            <w:r>
              <w:rPr>
                <w:rFonts w:ascii="宋体" w:hAnsi="宋体" w:cs="宋体" w:eastAsia="宋体"/>
                <w:sz w:val="20"/>
              </w:rPr>
              <w:t>负载均衡：多活部署，故障服务自动下线。</w:t>
            </w:r>
          </w:p>
          <w:p>
            <w:pPr>
              <w:pStyle w:val="null3"/>
              <w:ind w:firstLine="402"/>
              <w:jc w:val="both"/>
            </w:pPr>
            <w:r>
              <w:rPr>
                <w:rFonts w:ascii="宋体" w:hAnsi="宋体" w:cs="宋体" w:eastAsia="宋体"/>
                <w:sz w:val="20"/>
                <w:b/>
              </w:rPr>
              <w:t>2.时效性和响应</w:t>
            </w:r>
          </w:p>
          <w:p>
            <w:pPr>
              <w:pStyle w:val="null3"/>
              <w:ind w:firstLine="400"/>
              <w:jc w:val="both"/>
            </w:pPr>
            <w:r>
              <w:rPr>
                <w:rFonts w:ascii="宋体" w:hAnsi="宋体" w:cs="宋体" w:eastAsia="宋体"/>
                <w:sz w:val="20"/>
              </w:rPr>
              <w:t>时效性：满足用户访问平台的时效性要求。</w:t>
            </w:r>
          </w:p>
          <w:p>
            <w:pPr>
              <w:pStyle w:val="null3"/>
              <w:ind w:firstLine="400"/>
              <w:jc w:val="both"/>
            </w:pPr>
            <w:r>
              <w:rPr>
                <w:rFonts w:ascii="宋体" w:hAnsi="宋体" w:cs="宋体" w:eastAsia="宋体"/>
                <w:sz w:val="20"/>
              </w:rPr>
              <w:t>平均响应时间：系统保持平均响应时间不超过</w:t>
            </w:r>
            <w:r>
              <w:rPr>
                <w:rFonts w:ascii="宋体" w:hAnsi="宋体" w:cs="宋体" w:eastAsia="宋体"/>
                <w:sz w:val="20"/>
              </w:rPr>
              <w:t>3秒。</w:t>
            </w:r>
          </w:p>
          <w:p>
            <w:pPr>
              <w:pStyle w:val="null3"/>
              <w:ind w:firstLine="400"/>
              <w:jc w:val="both"/>
            </w:pPr>
            <w:r>
              <w:rPr>
                <w:rFonts w:ascii="宋体" w:hAnsi="宋体" w:cs="宋体" w:eastAsia="宋体"/>
                <w:sz w:val="20"/>
              </w:rPr>
              <w:t>峰值响应时间：系统峰值响应时间不超过</w:t>
            </w:r>
            <w:r>
              <w:rPr>
                <w:rFonts w:ascii="宋体" w:hAnsi="宋体" w:cs="宋体" w:eastAsia="宋体"/>
                <w:sz w:val="20"/>
              </w:rPr>
              <w:t>5秒。</w:t>
            </w:r>
          </w:p>
          <w:p>
            <w:pPr>
              <w:pStyle w:val="null3"/>
              <w:ind w:firstLine="402"/>
              <w:jc w:val="both"/>
            </w:pPr>
            <w:r>
              <w:rPr>
                <w:rFonts w:ascii="宋体" w:hAnsi="宋体" w:cs="宋体" w:eastAsia="宋体"/>
                <w:sz w:val="20"/>
                <w:b/>
              </w:rPr>
              <w:t>3.故障恢复和可靠性</w:t>
            </w:r>
          </w:p>
          <w:p>
            <w:pPr>
              <w:pStyle w:val="null3"/>
              <w:ind w:firstLine="400"/>
              <w:jc w:val="both"/>
            </w:pPr>
            <w:r>
              <w:rPr>
                <w:rFonts w:ascii="宋体" w:hAnsi="宋体" w:cs="宋体" w:eastAsia="宋体"/>
                <w:sz w:val="20"/>
              </w:rPr>
              <w:t>技术架构：采用成熟的技术架构，确保系统在故障时能快速恢复应用系统和相关业务数据。</w:t>
            </w:r>
          </w:p>
          <w:p>
            <w:pPr>
              <w:pStyle w:val="null3"/>
              <w:ind w:firstLine="400"/>
              <w:jc w:val="both"/>
            </w:pPr>
            <w:r>
              <w:rPr>
                <w:rFonts w:ascii="宋体" w:hAnsi="宋体" w:cs="宋体" w:eastAsia="宋体"/>
                <w:sz w:val="20"/>
              </w:rPr>
              <w:t>可靠性：系统应满足</w:t>
            </w:r>
            <w:r>
              <w:rPr>
                <w:rFonts w:ascii="宋体" w:hAnsi="宋体" w:cs="宋体" w:eastAsia="宋体"/>
                <w:sz w:val="20"/>
              </w:rPr>
              <w:t>7×24小时不间断服务，可用率不低于99.9%。</w:t>
            </w:r>
          </w:p>
          <w:p>
            <w:pPr>
              <w:pStyle w:val="null3"/>
              <w:ind w:firstLine="402"/>
              <w:jc w:val="both"/>
            </w:pPr>
            <w:r>
              <w:rPr>
                <w:rFonts w:ascii="宋体" w:hAnsi="宋体" w:cs="宋体" w:eastAsia="宋体"/>
                <w:sz w:val="20"/>
                <w:b/>
              </w:rPr>
              <w:t>4.查询业务</w:t>
            </w:r>
          </w:p>
          <w:p>
            <w:pPr>
              <w:pStyle w:val="null3"/>
              <w:ind w:firstLine="400"/>
              <w:jc w:val="both"/>
            </w:pPr>
            <w:r>
              <w:rPr>
                <w:rFonts w:ascii="宋体" w:hAnsi="宋体" w:cs="宋体" w:eastAsia="宋体"/>
                <w:sz w:val="20"/>
              </w:rPr>
              <w:t>常规查询：常规分页查询页面加载时间不超过</w:t>
            </w:r>
            <w:r>
              <w:rPr>
                <w:rFonts w:ascii="宋体" w:hAnsi="宋体" w:cs="宋体" w:eastAsia="宋体"/>
                <w:sz w:val="20"/>
              </w:rPr>
              <w:t>1秒。</w:t>
            </w:r>
          </w:p>
          <w:p>
            <w:pPr>
              <w:pStyle w:val="null3"/>
              <w:ind w:firstLine="400"/>
              <w:jc w:val="both"/>
            </w:pPr>
            <w:r>
              <w:rPr>
                <w:rFonts w:ascii="宋体" w:hAnsi="宋体" w:cs="宋体" w:eastAsia="宋体"/>
                <w:sz w:val="20"/>
              </w:rPr>
              <w:t>统计查询：统计类台账页面加载时间不超过</w:t>
            </w:r>
            <w:r>
              <w:rPr>
                <w:rFonts w:ascii="宋体" w:hAnsi="宋体" w:cs="宋体" w:eastAsia="宋体"/>
                <w:sz w:val="20"/>
              </w:rPr>
              <w:t>3秒。</w:t>
            </w:r>
          </w:p>
          <w:p>
            <w:pPr>
              <w:pStyle w:val="null3"/>
              <w:ind w:firstLine="400"/>
              <w:jc w:val="both"/>
            </w:pPr>
            <w:r>
              <w:rPr>
                <w:rFonts w:ascii="宋体" w:hAnsi="宋体" w:cs="宋体" w:eastAsia="宋体"/>
                <w:sz w:val="20"/>
              </w:rPr>
              <w:t>报表查询：报表汇总统计类查询不超过</w:t>
            </w:r>
            <w:r>
              <w:rPr>
                <w:rFonts w:ascii="宋体" w:hAnsi="宋体" w:cs="宋体" w:eastAsia="宋体"/>
                <w:sz w:val="20"/>
              </w:rPr>
              <w:t>5秒。</w:t>
            </w:r>
          </w:p>
          <w:p>
            <w:pPr>
              <w:pStyle w:val="null3"/>
              <w:ind w:firstLine="402"/>
              <w:jc w:val="both"/>
            </w:pPr>
            <w:r>
              <w:rPr>
                <w:rFonts w:ascii="宋体" w:hAnsi="宋体" w:cs="宋体" w:eastAsia="宋体"/>
                <w:sz w:val="20"/>
                <w:b/>
              </w:rPr>
              <w:t>5.系统接口</w:t>
            </w:r>
          </w:p>
          <w:p>
            <w:pPr>
              <w:pStyle w:val="null3"/>
              <w:ind w:firstLine="400"/>
              <w:jc w:val="both"/>
            </w:pPr>
            <w:r>
              <w:rPr>
                <w:rFonts w:ascii="宋体" w:hAnsi="宋体" w:cs="宋体" w:eastAsia="宋体"/>
                <w:sz w:val="20"/>
              </w:rPr>
              <w:t>可靠性：确保系统接口的可靠性和高可用性，采用多种冗余和心跳机制等技术手段，以保障应用系统及数据的安全与可靠。</w:t>
            </w:r>
          </w:p>
          <w:p>
            <w:pPr>
              <w:pStyle w:val="null3"/>
              <w:ind w:firstLine="402"/>
              <w:jc w:val="both"/>
            </w:pPr>
            <w:r>
              <w:rPr>
                <w:rFonts w:ascii="宋体" w:hAnsi="宋体" w:cs="宋体" w:eastAsia="宋体"/>
                <w:sz w:val="20"/>
                <w:b/>
              </w:rPr>
              <w:t>6.用户界面</w:t>
            </w:r>
          </w:p>
          <w:p>
            <w:pPr>
              <w:pStyle w:val="null3"/>
              <w:ind w:firstLine="400"/>
              <w:jc w:val="both"/>
            </w:pPr>
            <w:r>
              <w:rPr>
                <w:rFonts w:ascii="宋体" w:hAnsi="宋体" w:cs="宋体" w:eastAsia="宋体"/>
                <w:sz w:val="20"/>
              </w:rPr>
              <w:t>用户友好：系统界面友好，保证用户工作简单、方便、快捷。</w:t>
            </w:r>
          </w:p>
          <w:p>
            <w:pPr>
              <w:pStyle w:val="null3"/>
              <w:ind w:firstLine="400"/>
              <w:jc w:val="both"/>
            </w:pPr>
            <w:r>
              <w:rPr>
                <w:rFonts w:ascii="宋体" w:hAnsi="宋体" w:cs="宋体" w:eastAsia="宋体"/>
                <w:sz w:val="20"/>
              </w:rPr>
              <w:t>iOS、Android、鸿蒙主流系统上的移动外部应用应保持流畅，无卡顿现象。</w:t>
            </w:r>
          </w:p>
          <w:p>
            <w:pPr>
              <w:pStyle w:val="null3"/>
              <w:ind w:firstLine="400"/>
              <w:jc w:val="both"/>
            </w:pPr>
            <w:r>
              <w:rPr>
                <w:rFonts w:ascii="宋体" w:hAnsi="宋体" w:cs="宋体" w:eastAsia="宋体"/>
                <w:sz w:val="20"/>
              </w:rPr>
              <w:t>浏览器兼容：支持</w:t>
            </w:r>
            <w:r>
              <w:rPr>
                <w:rFonts w:ascii="宋体" w:hAnsi="宋体" w:cs="宋体" w:eastAsia="宋体"/>
                <w:sz w:val="20"/>
              </w:rPr>
              <w:t>IE11以上浏览器，同时兼容FireFox、Chrome等主流浏览器。</w:t>
            </w:r>
          </w:p>
          <w:p>
            <w:pPr>
              <w:pStyle w:val="null3"/>
              <w:ind w:firstLine="402"/>
              <w:jc w:val="both"/>
            </w:pPr>
            <w:r>
              <w:rPr>
                <w:rFonts w:ascii="宋体" w:hAnsi="宋体" w:cs="宋体" w:eastAsia="宋体"/>
                <w:sz w:val="20"/>
                <w:b/>
              </w:rPr>
              <w:t>7.安全性</w:t>
            </w:r>
          </w:p>
          <w:p>
            <w:pPr>
              <w:pStyle w:val="null3"/>
              <w:ind w:firstLine="400"/>
              <w:jc w:val="both"/>
            </w:pPr>
            <w:r>
              <w:rPr>
                <w:rFonts w:ascii="宋体" w:hAnsi="宋体" w:cs="宋体" w:eastAsia="宋体"/>
                <w:sz w:val="20"/>
              </w:rPr>
              <w:t>（</w:t>
            </w:r>
            <w:r>
              <w:rPr>
                <w:rFonts w:ascii="宋体" w:hAnsi="宋体" w:cs="宋体" w:eastAsia="宋体"/>
                <w:sz w:val="20"/>
              </w:rPr>
              <w:t>1）系统设计安全性保障：在设计时充分考虑系统安全问题，通过各种技术手段和措施，保证系统和数据安全。配置防火墙、态势感知、漏洞扫描、堡垒机等安全防护设备，配置合理的安全防护策略，以确保系统网络的安全。在业务系统层面，采用多层次的访问控制机制，包括身份认证（强密码口令+图形验证码）、权限控制和访问控制列表等，对用户的访问行为进行限制，防止非法用户访问系统资源。</w:t>
            </w:r>
          </w:p>
          <w:p>
            <w:pPr>
              <w:pStyle w:val="null3"/>
              <w:ind w:firstLine="400"/>
              <w:jc w:val="both"/>
            </w:pPr>
            <w:r>
              <w:rPr>
                <w:rFonts w:ascii="宋体" w:hAnsi="宋体" w:cs="宋体" w:eastAsia="宋体"/>
                <w:sz w:val="20"/>
              </w:rPr>
              <w:t>（</w:t>
            </w:r>
            <w:r>
              <w:rPr>
                <w:rFonts w:ascii="宋体" w:hAnsi="宋体" w:cs="宋体" w:eastAsia="宋体"/>
                <w:sz w:val="20"/>
              </w:rPr>
              <w:t>2）数据安全性保障：系统设置多层次的数据保护机制，包括数据备份、数据加密等，确保数据的安全。通过使用数字签名和数字证书技术，确保数据在传输过程中的安全性和可靠性。</w:t>
            </w:r>
          </w:p>
          <w:p>
            <w:pPr>
              <w:pStyle w:val="null3"/>
              <w:ind w:firstLine="400"/>
              <w:jc w:val="both"/>
            </w:pPr>
            <w:r>
              <w:rPr>
                <w:rFonts w:ascii="宋体" w:hAnsi="宋体" w:cs="宋体" w:eastAsia="宋体"/>
                <w:sz w:val="20"/>
              </w:rPr>
              <w:t>（</w:t>
            </w:r>
            <w:r>
              <w:rPr>
                <w:rFonts w:ascii="宋体" w:hAnsi="宋体" w:cs="宋体" w:eastAsia="宋体"/>
                <w:sz w:val="20"/>
              </w:rPr>
              <w:t>3）访问安全性保障：系统访问采用HTTPS、SSL/TLS安全认证机制，防止中间人攻击，保证数据在传输过程中的机密性、完整性和身份验证。</w:t>
            </w:r>
          </w:p>
          <w:p>
            <w:pPr>
              <w:pStyle w:val="null3"/>
              <w:ind w:firstLine="400"/>
              <w:jc w:val="both"/>
            </w:pPr>
            <w:r>
              <w:rPr>
                <w:rFonts w:ascii="宋体" w:hAnsi="宋体" w:cs="宋体" w:eastAsia="宋体"/>
                <w:sz w:val="20"/>
              </w:rPr>
              <w:t>（</w:t>
            </w:r>
            <w:r>
              <w:rPr>
                <w:rFonts w:ascii="宋体" w:hAnsi="宋体" w:cs="宋体" w:eastAsia="宋体"/>
                <w:sz w:val="20"/>
              </w:rPr>
              <w:t>4）安全性测试保障：系统上线前通过渗透测试、模糊测试、暴力破解测试以及安全漏洞扫描等方法，提前发现和修复系统中存在的漏洞、弱点和安全隐患，降低系统安全风险。</w:t>
            </w:r>
          </w:p>
          <w:p>
            <w:pPr>
              <w:pStyle w:val="null3"/>
              <w:jc w:val="both"/>
            </w:pPr>
            <w:r>
              <w:rPr>
                <w:rFonts w:ascii="宋体" w:hAnsi="宋体" w:cs="宋体" w:eastAsia="宋体"/>
                <w:sz w:val="20"/>
              </w:rPr>
              <w:t xml:space="preserve">    （</w:t>
            </w:r>
            <w:r>
              <w:rPr>
                <w:rFonts w:ascii="宋体" w:hAnsi="宋体" w:cs="宋体" w:eastAsia="宋体"/>
                <w:sz w:val="20"/>
              </w:rPr>
              <w:t>5）安全运维保障：完善运维机制，规范运维程序，形成运维记录，采取切实有效的措施，做好系统日常巡检、加强意识技能培训、全面摸清现网资产、及时升级安装补丁、开展安全专项服务、备份系统数据配置、做好监测预警处置等日常安全运维工作，确保系统中高危隐患彻底清理，保障系统安全稳定运行。</w:t>
            </w:r>
          </w:p>
        </w:tc>
      </w:tr>
    </w:tbl>
    <w:p>
      <w:pPr>
        <w:pStyle w:val="null3"/>
        <w:outlineLvl w:val="2"/>
      </w:pPr>
      <w:r>
        <w:rPr>
          <w:sz w:val="28"/>
          <w:b/>
        </w:rPr>
        <w:t>3.2.3人员配置要求</w:t>
      </w:r>
    </w:p>
    <w:p>
      <w:pPr>
        <w:pStyle w:val="null3"/>
      </w:pPr>
      <w:r>
        <w:rPr/>
        <w:t>采购包1：</w:t>
      </w:r>
    </w:p>
    <w:p>
      <w:pPr>
        <w:pStyle w:val="null3"/>
      </w:pPr>
      <w:r>
        <w:rPr/>
        <w:t>详见“技术参数与性能指标”。</w:t>
      </w:r>
    </w:p>
    <w:p>
      <w:pPr>
        <w:pStyle w:val="null3"/>
        <w:outlineLvl w:val="2"/>
      </w:pPr>
      <w:r>
        <w:rPr>
          <w:sz w:val="28"/>
          <w:b/>
        </w:rPr>
        <w:t>3.2.4设施设备要求</w:t>
      </w:r>
    </w:p>
    <w:p>
      <w:pPr>
        <w:pStyle w:val="null3"/>
      </w:pPr>
      <w:r>
        <w:rPr/>
        <w:t>采购包1：</w:t>
      </w:r>
    </w:p>
    <w:p>
      <w:pPr>
        <w:pStyle w:val="null3"/>
      </w:pPr>
      <w:r>
        <w:rPr/>
        <w:t>详见“技术参数与性能指标”。</w:t>
      </w:r>
    </w:p>
    <w:p>
      <w:pPr>
        <w:pStyle w:val="null3"/>
        <w:outlineLvl w:val="2"/>
      </w:pPr>
      <w:r>
        <w:rPr>
          <w:sz w:val="28"/>
          <w:b/>
        </w:rPr>
        <w:t>3.2.5其他要求</w:t>
      </w:r>
    </w:p>
    <w:p>
      <w:pPr>
        <w:pStyle w:val="null3"/>
      </w:pPr>
      <w:r>
        <w:rPr/>
        <w:t>采购包1：</w:t>
      </w:r>
    </w:p>
    <w:p>
      <w:pPr>
        <w:pStyle w:val="null3"/>
      </w:pPr>
      <w:r>
        <w:rPr/>
        <w:t>（一）交付要求：供应商应于合同签订后60个自然日内完成所有功能开发并部署，具备使用条件，并向中心出具包含开通运行、功能测试与申请上线等内容的书面交付报告，双方确认签章并以此确定试运行期开始时间。 （二）资产要求：供应商应在系统部署完毕1个月内提供软硬件环境及配置信息、网络拓扑、数据存储备份等信息提交采购人，并在服务时间到期前1个月根据系统情况进行更新并提交电子版及纸质资料。 （三）保密要求：项目实施过程中所收集、产生的所有与本项目相关的文档、资料，包括文字、图片、表格、数字等各种形式所属权均归属省中心，供应商必须对所涉及到的内容保密，供应商及服务人员应按照要求签署保密协议。 （四）网络安全要求：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供应商应于合同签订后60个自然日内完成所有功能开发并部署，具备使用条件，并向中心出具包含开通运行、功能测试与申请上线等内容的书面交付报告，双方确认签章并以此确定试运行期开始时间。系统一个月试运行期满，并通过中心验收之日起正式进入服务期，服务期为12个月。</w:t>
      </w:r>
    </w:p>
    <w:p>
      <w:pPr>
        <w:pStyle w:val="null3"/>
        <w:outlineLvl w:val="3"/>
      </w:pPr>
      <w:r>
        <w:rPr>
          <w:sz w:val="24"/>
          <w:b/>
        </w:rPr>
        <w:t>3.3.2服务地点</w:t>
      </w:r>
    </w:p>
    <w:p>
      <w:pPr>
        <w:pStyle w:val="null3"/>
      </w:pPr>
      <w:r>
        <w:rPr/>
        <w:t>采购包1：</w:t>
      </w:r>
    </w:p>
    <w:p>
      <w:pPr>
        <w:pStyle w:val="null3"/>
      </w:pPr>
      <w:r>
        <w:rPr/>
        <w:t>陕西省高速公路收费中心</w:t>
      </w:r>
    </w:p>
    <w:p>
      <w:pPr>
        <w:pStyle w:val="null3"/>
        <w:outlineLvl w:val="3"/>
      </w:pPr>
      <w:r>
        <w:rPr>
          <w:sz w:val="24"/>
          <w:b/>
        </w:rPr>
        <w:t>3.3.3考核（验收）标准和方法</w:t>
      </w:r>
    </w:p>
    <w:p>
      <w:pPr>
        <w:pStyle w:val="null3"/>
      </w:pPr>
      <w:r>
        <w:rPr/>
        <w:t>采购包1：</w:t>
      </w:r>
    </w:p>
    <w:p>
      <w:pPr>
        <w:pStyle w:val="null3"/>
      </w:pPr>
      <w:r>
        <w:rPr/>
        <w:t>乙方所提供服务应遵循中华人民共和国及地方的有关法律规范，达到采购人使用要求，由采购人组织验收。验收依据：（1）竞争性磋商文件；（2）磋商响应文件；（3）合同文本；（4）国家有关的验收标准及规范。 验收要求：一个月试运行期满，服务商应完成过程资料整理并形成验收资料，书面通知中心进行验收。中心在接到申请并核验资料齐全后15个工作日内，组织会议对供应商提供服务情况进行验收，并形成验收意见。</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合同签订10日内，供应商开具全额合同发票，采购人收到发票后15日内支付合同价款的40%</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所有功能开发上线，一个月试运行期满并通过中心验收后的15日内，支付合同费用的50%</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剩余10%作为运维服务费，服务期（试运行期结束后一年）满后支付</w:t>
      </w:r>
      <w:r>
        <w:rPr/>
        <w:t xml:space="preserve"> ，达到付款条件起 </w:t>
      </w:r>
      <w:r>
        <w:rPr/>
        <w:t>15</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1.交付违约责任：供应商如不能按时依照合同约定时间、设计功能或技术标准，开发调试安装并完整交付的，应向中心支付本合同总价款10%的违约金；同时按照逾期时间，向中心支付迟延履行的违约金，每日按逾期交货货款金额万分之一累计计算；服务商逾期一个月仍无法按合同要求提供产品或提供虚假材料，或质量不能满足技术要求的，中心有权终止合同，同时要求服务商承担相应的经济损失或承担本合同总价款10%的违约金。 2.网络安全违约责任： 供应商应做到以下要求: (1)彻底清理系统隐患。全面排查清理系统网络安全隐患，确保中高危隐患彻底清零。 (2)全面摸清现网资产。全面摸清系统资产，形成资产台账，定期维护更新资产，确保资产信息准确。 (3)彻底消除口令问题。定期开展口令隐患排查，严格系统密码存储管理，确保口令问题彻底消除。 (4)及时升级安装补丁。定期开展漏洞扫描、渗透测试等工作，及时升级系统存在漏洞的软件，安装最新补丁和杀毒软件，确保系统软件升至最新版本。 (5)强化系统监测能力。充分利用现有监测平台或借助第三方监测手段做好能力。充分利用现有监测平台或借助第三方监测手段做好软件/设备状态监测，及时感知并处置异常网络安全行为，确保系统安全运行。 (6)加强系统安全防护。选用技术能力强、安全业务精湛、经验丰富、责任心强的人员做好系统安全防护，采取切实有效的措施，能够及时发现系统异常攻击行为，做好系统安全防守。 (7)做好日常管理工作。完善运维机制，规范运维程序，形成运维记录，做好设备日常巡检、加强意识技能培训开展安全专项服务、备份系统数据配置、做好监测预警处置等日常网络安全工作。 若供应商因上述(1)至(7)条款落实不到位，造成部、省、公安、中心等有关部门通报时，发现并通报1次，扣除服务费5000元;造成网络安全事件时，将按照国家，部、省、中心网络安全相关规定，根据造成的实际损失、影响，上报有关部门同时进行责任追究。</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供应商不得在“信用中国” 网站被列入失信被执行人名单、重大税收违法案件当事人名单和不得在“中国政府采购网”被列入政府采购严重违法失信行为记录名单。</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提供递交响应文件截止日期前十二个月（递交响应文件截止时间当月不计入）内已缴存的至少一个月的纳税证明或完税证明，依法免税的单位应提供相关证明材料。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提交履行合同所必需的设备和专业技术能力的书面声明。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本项目不接受联合体响应</w:t>
            </w:r>
          </w:p>
        </w:tc>
        <w:tc>
          <w:tcPr>
            <w:tcW w:type="dxa" w:w="3322"/>
          </w:tcPr>
          <w:p>
            <w:pPr>
              <w:pStyle w:val="null3"/>
            </w:pPr>
            <w:r>
              <w:rPr/>
              <w:t>非联合体投标承诺书。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残疾人福利性单位声明函 报价明细表 服务方案 标的清单 响应函 主要人员简历表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 标的清单 报价表</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未超过项目最高限价，无选择性报价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自磋商响应文件递交截止之日起90个日历日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磋商响应文件签署、盖章有效性</w:t>
            </w:r>
          </w:p>
        </w:tc>
        <w:tc>
          <w:tcPr>
            <w:tcW w:type="dxa" w:w="3322"/>
          </w:tcPr>
          <w:p>
            <w:pPr>
              <w:pStyle w:val="null3"/>
            </w:pPr>
            <w:r>
              <w:rPr/>
              <w:t>磋商响应文件的签署、盖章符合竞争性磋商文件要求</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残疾人福利性单位声明函 报价明细表 服务方案 标的清单 响应函 主要人员简历表 监狱企业的证明文件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商务响应偏离表 标的清单 报价表</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要求实质性条款完全响应，不能有采购人不能接受的附加条件</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残疾人福利性单位声明函 报价明细表 服务方案 标的清单 响应函 主要人员简历表 监狱企业的证明文件</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磋商保证金缴纳凭证</w:t>
            </w:r>
          </w:p>
        </w:tc>
        <w:tc>
          <w:tcPr>
            <w:tcW w:type="dxa" w:w="1661"/>
          </w:tcPr>
          <w:p>
            <w:pPr>
              <w:pStyle w:val="null3"/>
            </w:pPr>
            <w:r>
              <w:rPr/>
              <w:t>投标保证金汇款凭证及基本账户信息</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不存在法律、法规和磋商文件规定的其他无效情况</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残疾人福利性单位声明函 报价明细表 服务方案 标的清单 响应函 主要人员简历表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供应商应根据本项目具体服务要求进行需求分析。根据对开发陕西省高速公路服务区充电基础设施“随手查”平台及后期运维服务的分析响应情况进行打分。需求分析全面、透彻得(4-6]分；相对全面、合理得(2-4]分；一般全面、合理，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整体服务方案</w:t>
            </w:r>
          </w:p>
        </w:tc>
        <w:tc>
          <w:tcPr>
            <w:tcW w:type="dxa" w:w="2492"/>
          </w:tcPr>
          <w:p>
            <w:pPr>
              <w:pStyle w:val="null3"/>
            </w:pPr>
            <w:r>
              <w:rPr/>
              <w:t>供应商需提供科学、完整、合理、规范的服务方案，包括项目总体服务方案设计、标准依据。方案内容完整，分析全面。总体服务方案设计科学合理、描述条理清晰，可行性、安全性强，完全满足采购需求得(7-10]分；方案内容较完整，分析较全面，可行性较强，满足采购需求得(4-7]分；方案内容一般，可行性一般，基本满足采购需求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技术方案</w:t>
            </w:r>
          </w:p>
        </w:tc>
        <w:tc>
          <w:tcPr>
            <w:tcW w:type="dxa" w:w="2492"/>
          </w:tcPr>
          <w:p>
            <w:pPr>
              <w:pStyle w:val="null3"/>
            </w:pPr>
            <w:r>
              <w:rPr/>
              <w:t>技术方案科学合理、详细、完整、可行性强、工作进度计划合理、有可操作性，有详细、完善、可行的技术方案得（6-8]分；方案较为合理、完善得(3-6] 分；方案较差、一般得(0-3]；未提供得0分。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质量保证措施</w:t>
            </w:r>
          </w:p>
        </w:tc>
        <w:tc>
          <w:tcPr>
            <w:tcW w:type="dxa" w:w="2492"/>
          </w:tcPr>
          <w:p>
            <w:pPr>
              <w:pStyle w:val="null3"/>
            </w:pPr>
            <w:r>
              <w:rPr/>
              <w:t>质量保证措施内容总体思路清晰合理、可行性强得(4-6]分；质量保证措施总体思路较清晰合理，可行性较强得(2-4]分；质量保证措施总体思路基本清晰合理，可行性一般得(0-2]分；未提供得0分。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团队能力</w:t>
            </w:r>
          </w:p>
        </w:tc>
        <w:tc>
          <w:tcPr>
            <w:tcW w:type="dxa" w:w="2492"/>
          </w:tcPr>
          <w:p>
            <w:pPr>
              <w:pStyle w:val="null3"/>
            </w:pPr>
            <w:r>
              <w:rPr/>
              <w:t>1.供应商具有持有有效的中国网络安全审查技术与认证中心CCRC信息系统安全集成二级或以上服务资质证书的，得2分。 2.具有有效IS09001质量管理体系认证证书、IS014001环境管理体系认证证书、ISO45001职业健康安全管理体系认证证书、IS27001信息安全管理体系认证证书的，每提供一项得1分，最高得4分。 3.供应商具有软件成熟度证书3级及以上，得2分。 4.供应商具有ITSS信息技术服务标准三级及以上证书，得2分。 5.项目经理具有计算机软考类高级证书，得2分。 6.其他项目管理人员具有计算机类软考证书中级及以上，一个加1分，最高加3分。 注：须提供相关人员的材料证明并加盖投标供应商公章。</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p>
            <w:pPr>
              <w:pStyle w:val="null3"/>
            </w:pPr>
            <w:r>
              <w:rPr/>
              <w:t>主要人员简历表</w:t>
            </w:r>
          </w:p>
          <w:p>
            <w:pPr>
              <w:pStyle w:val="null3"/>
            </w:pPr>
            <w:r>
              <w:rPr/>
              <w:t>供应商认为需要提供的其他资料</w:t>
            </w:r>
          </w:p>
        </w:tc>
      </w:tr>
      <w:tr>
        <w:tc>
          <w:tcPr>
            <w:tcW w:type="dxa" w:w="831"/>
            <w:vMerge/>
          </w:tcPr>
          <w:p/>
        </w:tc>
        <w:tc>
          <w:tcPr>
            <w:tcW w:type="dxa" w:w="1661"/>
          </w:tcPr>
          <w:p>
            <w:pPr>
              <w:pStyle w:val="null3"/>
            </w:pPr>
            <w:r>
              <w:rPr/>
              <w:t>人员配置方案</w:t>
            </w:r>
          </w:p>
        </w:tc>
        <w:tc>
          <w:tcPr>
            <w:tcW w:type="dxa" w:w="2492"/>
          </w:tcPr>
          <w:p>
            <w:pPr>
              <w:pStyle w:val="null3"/>
            </w:pPr>
            <w:r>
              <w:rPr/>
              <w:t>供应商应提供详细、完善的项目管理方案，有详细的人员配置方案、健全的组织机构及工作安排，岗位分工明确，专业性强，同类项目经验丰富，得(6-8]分；有详细的人员配置方案、组织机构及工作安排基本完善、合理，岗位分工明确，具有较丰富的同类项目经验，得(3-6]分；有详细的人员配置方案，组织机构及工作安排合理性一般，岗位分工不清晰，缺少同类项目经验，得(0-3]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主要人员简历表</w:t>
            </w:r>
          </w:p>
          <w:p>
            <w:pPr>
              <w:pStyle w:val="null3"/>
            </w:pPr>
            <w:r>
              <w:rPr/>
              <w:t>供应商认为需要提供的其他资料</w:t>
            </w:r>
          </w:p>
        </w:tc>
      </w:tr>
      <w:tr>
        <w:tc>
          <w:tcPr>
            <w:tcW w:type="dxa" w:w="831"/>
            <w:vMerge/>
          </w:tcPr>
          <w:p/>
        </w:tc>
        <w:tc>
          <w:tcPr>
            <w:tcW w:type="dxa" w:w="1661"/>
          </w:tcPr>
          <w:p>
            <w:pPr>
              <w:pStyle w:val="null3"/>
            </w:pPr>
            <w:r>
              <w:rPr/>
              <w:t>应急预案</w:t>
            </w:r>
          </w:p>
        </w:tc>
        <w:tc>
          <w:tcPr>
            <w:tcW w:type="dxa" w:w="2492"/>
          </w:tcPr>
          <w:p>
            <w:pPr>
              <w:pStyle w:val="null3"/>
            </w:pPr>
            <w:r>
              <w:rPr/>
              <w:t>针对本项目服务内容“随手查”平台电脑管理端、“随手查”平台公众服务移动端外部应用、“随手查”平台的部中心数据汇集及传输功能。提供有效、可行的应急方案，应急预案内容完善合理可行、针对性强的得(3-5]分；应急预案内容较完善、较合理可行、针对性较强的得(1-3]分；应急预案内容基本完善、合理、针对性一般的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网络安全措施</w:t>
            </w:r>
          </w:p>
        </w:tc>
        <w:tc>
          <w:tcPr>
            <w:tcW w:type="dxa" w:w="2492"/>
          </w:tcPr>
          <w:p>
            <w:pPr>
              <w:pStyle w:val="null3"/>
            </w:pPr>
            <w:r>
              <w:rPr/>
              <w:t>供应商必须在现有安全体制下提出确保系统安全可靠的策略、措施和步骤。提供网络安全措施及安全保障体系。措施详尽，合理可行, 安全保障体系健全，针对性强，得（4-6]分；措施较完善，安全保障体系基本健全，有一定针对性，得（2-4]分；方案内容及安全保障体系简单，无针对性，得（0-2]分；未提供得0分。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售后服务方案</w:t>
            </w:r>
          </w:p>
        </w:tc>
        <w:tc>
          <w:tcPr>
            <w:tcW w:type="dxa" w:w="2492"/>
          </w:tcPr>
          <w:p>
            <w:pPr>
              <w:pStyle w:val="null3"/>
            </w:pPr>
            <w:r>
              <w:rPr/>
              <w:t>有详细明确的售后服务方案，并在后续保障能力、服务及时性等方面有明确的承诺及保证措施。售后服务方案完善且具体可行得(3-5]分；较完善得(1-3]分；一般得(0-1]分；未提供得0分。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合理化建议</w:t>
            </w:r>
          </w:p>
        </w:tc>
        <w:tc>
          <w:tcPr>
            <w:tcW w:type="dxa" w:w="2492"/>
          </w:tcPr>
          <w:p>
            <w:pPr>
              <w:pStyle w:val="null3"/>
            </w:pPr>
            <w:r>
              <w:rPr/>
              <w:t>有利于本项目工作顺利进行的合理化建议。建议详细合理，针对性强得（3-5] ;建议较简洁，针对性较差得（1-3]分;建议含糊无实质性内容得（0-1]分；未提供得0分。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如供应商提供2022年至今类似项目业绩，每提供一个有效业绩证明得2分，本项最高得6分。 备注：以加盖投标供应商公章的合同、协议书复印件作为评审依据。</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1、满足磋商文件要求且最终报价最低的供应商的价格为磋商基准价，其价格分为满分20分。 2、磋商报价得分=（磋商基准价/最终磋商报价） ×20（因落实政府采购政策进行价格调整的，以调整后的价格计算磋商基准价和磋商报价得分，详见磋商文件政府采购政策评分标准）。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详见附件：投标保证金汇款凭证及基本账户信息</w:t>
      </w:r>
    </w:p>
    <w:p>
      <w:pPr>
        <w:pStyle w:val="null3"/>
        <w:ind w:firstLine="960"/>
      </w:pPr>
      <w:r>
        <w:rPr/>
        <w:t>详见附件：报价表</w:t>
      </w:r>
    </w:p>
    <w:p>
      <w:pPr>
        <w:pStyle w:val="null3"/>
        <w:ind w:firstLine="960"/>
      </w:pPr>
      <w:r>
        <w:rPr/>
        <w:t>详见附件：标的清单</w:t>
      </w:r>
    </w:p>
    <w:p>
      <w:pPr>
        <w:pStyle w:val="null3"/>
        <w:ind w:firstLine="960"/>
      </w:pPr>
      <w:r>
        <w:rPr/>
        <w:t>详见附件：报价明细表</w:t>
      </w:r>
    </w:p>
    <w:p>
      <w:pPr>
        <w:pStyle w:val="null3"/>
        <w:ind w:firstLine="960"/>
      </w:pPr>
      <w:r>
        <w:rPr/>
        <w:t>详见附件：商务响应偏离表</w:t>
      </w:r>
    </w:p>
    <w:p>
      <w:pPr>
        <w:pStyle w:val="null3"/>
        <w:ind w:firstLine="960"/>
      </w:pPr>
      <w:r>
        <w:rPr/>
        <w:t>详见附件：服务方案</w:t>
      </w:r>
    </w:p>
    <w:p>
      <w:pPr>
        <w:pStyle w:val="null3"/>
        <w:ind w:firstLine="960"/>
      </w:pPr>
      <w:r>
        <w:rPr/>
        <w:t>详见附件：主要人员简历表</w:t>
      </w:r>
    </w:p>
    <w:p>
      <w:pPr>
        <w:pStyle w:val="null3"/>
        <w:ind w:firstLine="960"/>
      </w:pPr>
      <w:r>
        <w:rPr/>
        <w:t>详见附件：类似项目业绩</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详见附件：《高速公路服务区充电基础设施随手查服务对接升级》合同参考格式及主要条款.docx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