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供应商业绩一览表</w:t>
      </w:r>
    </w:p>
    <w:p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1、公司业绩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  <w:t>以中标通知书及合同协议书为准；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时间以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  <w:t>中标通知书发出时间或合同签订时间为准。</w:t>
      </w:r>
    </w:p>
    <w:p>
      <w:pPr>
        <w:pStyle w:val="2"/>
        <w:spacing w:line="360" w:lineRule="auto"/>
        <w:rPr>
          <w:rFonts w:hint="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  <w:t>项目负责人或项目技术负责人业绩，以单位出具消防安全评估报告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及时间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zh-CN"/>
        </w:rPr>
        <w:t>为准。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期: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7985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0" w:after="20" w:line="415" w:lineRule="auto"/>
      <w:jc w:val="left"/>
      <w:outlineLvl w:val="1"/>
    </w:pPr>
    <w:rPr>
      <w:rFonts w:ascii="Cambria" w:hAnsi="Cambria"/>
      <w:b/>
      <w:bCs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2024-07-01T09:58:48Z</dcterms:created>
  <dc:creator>Administrator</dc:creator>
  <cp:lastModifiedBy>C</cp:lastModifiedBy>
  <dcterms:modified xsi:type="dcterms:W3CDTF">2024-07-01T09:59:01Z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204815823C284C2A9AB2A19657214BBE_12</vt:lpwstr>
  </property>
</Properties>
</file>