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版本号：240701002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雁塔校区区域消防安全综合治理体系构建及韧性提升项目</w:t>
      </w:r>
    </w:p>
    <w:p>
      <w:pPr>
        <w:pStyle w:val="null3"/>
        <w:jc w:val="center"/>
        <w:outlineLvl w:val="2"/>
      </w:pPr>
      <w:r>
        <w:rPr>
          <w:sz w:val="28"/>
          <w:b/>
        </w:rPr>
        <w:t>采购项目编号：</w:t>
      </w:r>
      <w:r>
        <w:rPr>
          <w:sz w:val="28"/>
          <w:b/>
        </w:rPr>
        <w:t>SXWZ2024ZB-XJD-137</w:t>
      </w:r>
      <w:r>
        <w:br/>
      </w:r>
      <w:r>
        <w:br/>
      </w:r>
      <w:r>
        <w:br/>
      </w:r>
    </w:p>
    <w:p>
      <w:pPr>
        <w:pStyle w:val="null3"/>
        <w:jc w:val="center"/>
        <w:outlineLvl w:val="2"/>
      </w:pPr>
      <w:r>
        <w:rPr>
          <w:sz w:val="28"/>
          <w:b/>
        </w:rPr>
        <w:t>西安建筑科技大学</w:t>
      </w:r>
    </w:p>
    <w:p>
      <w:pPr>
        <w:pStyle w:val="null3"/>
        <w:jc w:val="center"/>
        <w:outlineLvl w:val="2"/>
      </w:pPr>
      <w:r>
        <w:rPr>
          <w:sz w:val="28"/>
          <w:b/>
        </w:rPr>
        <w:t>陕西万泽招标有限公司</w:t>
      </w:r>
      <w:r>
        <w:rPr>
          <w:sz w:val="28"/>
          <w:b/>
        </w:rPr>
        <w:t>共同编制</w:t>
      </w:r>
    </w:p>
    <w:p>
      <w:pPr>
        <w:pStyle w:val="null3"/>
        <w:jc w:val="center"/>
        <w:outlineLvl w:val="2"/>
      </w:pPr>
      <w:r>
        <w:rPr>
          <w:sz w:val="28"/>
          <w:b/>
        </w:rPr>
        <w:t>2024年07月01日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陕西万泽招标有限公司</w:t>
      </w:r>
      <w:r>
        <w:rPr/>
        <w:t>（以下简称“代理机构”）受</w:t>
      </w:r>
      <w:r>
        <w:rPr/>
        <w:t>西安建筑科技大学</w:t>
      </w:r>
      <w:r>
        <w:rPr/>
        <w:t>委托，拟对</w:t>
      </w:r>
      <w:r>
        <w:rPr/>
        <w:t>雁塔校区区域消防安全综合治理体系构建及韧性提升项目</w:t>
      </w:r>
      <w:r>
        <w:rPr/>
        <w:t>采用竞争性磋商采购方式进行采购，兹邀请供应商参加本项目的竞争性磋商。</w:t>
      </w:r>
    </w:p>
    <w:p>
      <w:pPr>
        <w:pStyle w:val="null3"/>
        <w:outlineLvl w:val="2"/>
      </w:pPr>
      <w:r>
        <w:rPr>
          <w:sz w:val="28"/>
          <w:b/>
        </w:rPr>
        <w:t>一、项目编号：</w:t>
      </w:r>
      <w:r>
        <w:rPr>
          <w:sz w:val="28"/>
          <w:b/>
        </w:rPr>
        <w:t>SXWZ2024ZB-XJD-137</w:t>
      </w:r>
    </w:p>
    <w:p>
      <w:pPr>
        <w:pStyle w:val="null3"/>
        <w:outlineLvl w:val="2"/>
      </w:pPr>
      <w:r>
        <w:rPr>
          <w:sz w:val="28"/>
          <w:b/>
        </w:rPr>
        <w:t>二、项目名称：</w:t>
      </w:r>
      <w:r>
        <w:rPr>
          <w:sz w:val="28"/>
          <w:b/>
        </w:rPr>
        <w:t>雁塔校区区域消防安全综合治理体系构建及韧性提升项目</w:t>
      </w:r>
    </w:p>
    <w:p>
      <w:pPr>
        <w:pStyle w:val="null3"/>
        <w:outlineLvl w:val="2"/>
      </w:pPr>
      <w:r>
        <w:rPr>
          <w:sz w:val="28"/>
          <w:b/>
        </w:rPr>
        <w:t>三、磋商项目简介</w:t>
      </w:r>
    </w:p>
    <w:p>
      <w:pPr>
        <w:pStyle w:val="null3"/>
        <w:ind w:firstLine="480"/>
      </w:pPr>
      <w:r>
        <w:rPr/>
        <w:t>雁塔校区区域消防安全综合治理体系构建及韧性提升项目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采购包1（雁塔校区区域消防安全综合治理体系构建及韧性提升项目）：属于专门面向中小企业采购。</w:t>
      </w:r>
    </w:p>
    <w:p>
      <w:pPr>
        <w:pStyle w:val="null3"/>
        <w:ind w:firstLine="480"/>
      </w:pPr>
      <w:r>
        <w:rPr/>
        <w:t>（三）本项目的特定资格要求：</w:t>
      </w:r>
    </w:p>
    <w:p>
      <w:pPr>
        <w:pStyle w:val="null3"/>
      </w:pPr>
      <w:r>
        <w:rPr/>
        <w:t>采购包1：</w:t>
      </w:r>
    </w:p>
    <w:p>
      <w:pPr>
        <w:pStyle w:val="null3"/>
      </w:pPr>
      <w:r>
        <w:rPr/>
        <w:t>1、提供合格有效的法人或其他组织的营业执照等证明文件，自然人参与的提供其身份证原件：提供合格有效的法人或其他组织的营业执照等证明文件，自然人参与的提供其身份证原件</w:t>
      </w:r>
    </w:p>
    <w:p>
      <w:pPr>
        <w:pStyle w:val="null3"/>
      </w:pPr>
      <w:r>
        <w:rPr/>
        <w:t>2、社会保障资金缴纳证明：供应商提供本单位2023年6月至今已缴纳的连续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3、税收缴纳证明：供应商提供本单位2023年6月至今已缴纳的连续三个月纳税证明或完税证明，依法免税的单位应提供相关证明材料</w:t>
      </w:r>
    </w:p>
    <w:p>
      <w:pPr>
        <w:pStyle w:val="null3"/>
      </w:pPr>
      <w:r>
        <w:rPr/>
        <w:t>4、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t>5、法定代表人授权委托书：非法定代表人参加磋商的，须提供法定代表人授权委托书及被授权人身份证原件；法定代表人参加磋商时,只须提供法定代表人身份证原件</w:t>
      </w:r>
    </w:p>
    <w:p>
      <w:pPr>
        <w:pStyle w:val="null3"/>
      </w:pPr>
      <w:r>
        <w:rPr/>
        <w:t>6、其他资格证明资料：供应商在社会消防技术服务信息系统中可查询;拟派项目负责人和技术负责人须持有一级注册消防工程师资格，必须为本公司注册人员，并提供本企业为其缴纳近半年连续三个月的社保缴纳证明</w:t>
      </w:r>
    </w:p>
    <w:p>
      <w:pPr>
        <w:pStyle w:val="null3"/>
      </w:pPr>
      <w:r>
        <w:rPr/>
        <w:t>7、中小企业声明函：本项目专门面向中小企业采购，供应商应提供中小企业声明函</w:t>
      </w:r>
    </w:p>
    <w:p>
      <w:pPr>
        <w:pStyle w:val="null3"/>
      </w:pPr>
      <w:r>
        <w:rPr/>
        <w:t>8、非联合体承诺书：本项目不接受联合体磋商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3"/>
      </w:pPr>
      <w:r>
        <w:rPr>
          <w:sz w:val="24"/>
          <w:b/>
        </w:rPr>
        <w:t>代理机构：</w:t>
      </w:r>
      <w:r>
        <w:rPr>
          <w:sz w:val="24"/>
          <w:b/>
        </w:rPr>
        <w:t>陕西万泽招标有限公司</w:t>
      </w:r>
    </w:p>
    <w:p>
      <w:pPr>
        <w:pStyle w:val="null3"/>
      </w:pPr>
      <w:r>
        <w:rPr/>
        <w:t xml:space="preserve"> 地址： </w:t>
      </w:r>
      <w:r>
        <w:rPr/>
        <w:t>西安市高新区唐延路旺座现代城C座25楼2502室</w:t>
      </w:r>
    </w:p>
    <w:p>
      <w:pPr>
        <w:pStyle w:val="null3"/>
      </w:pPr>
      <w:r>
        <w:rPr/>
        <w:t xml:space="preserve"> 邮编： </w:t>
      </w:r>
      <w:r>
        <w:rPr/>
        <w:t>710065</w:t>
      </w:r>
    </w:p>
    <w:p>
      <w:pPr>
        <w:pStyle w:val="null3"/>
      </w:pPr>
      <w:r>
        <w:rPr/>
        <w:t xml:space="preserve"> 联系人： </w:t>
      </w:r>
      <w:r>
        <w:rPr/>
        <w:t>招标二部 崔方明 许芳芳 刘嘉辉 陈晓航</w:t>
      </w:r>
    </w:p>
    <w:p>
      <w:pPr>
        <w:pStyle w:val="null3"/>
      </w:pPr>
      <w:r>
        <w:rPr/>
        <w:t xml:space="preserve"> 联系电话： </w:t>
      </w:r>
      <w:r>
        <w:rPr/>
        <w:t>029-88319689-8004</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采购包1：721,400.00元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开户名称：陕西万泽招标有限公司</w:t>
            </w:r>
          </w:p>
          <w:p>
            <w:pPr>
              <w:pStyle w:val="null3"/>
            </w:pPr>
            <w:r>
              <w:rPr/>
              <w:t>开户银行：西安银行朝阳门支行</w:t>
            </w:r>
          </w:p>
          <w:p>
            <w:pPr>
              <w:pStyle w:val="null3"/>
            </w:pPr>
            <w:r>
              <w:rPr/>
              <w:t>银行账号：211011580000015489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代理服务费收费标准：以本采购项目中标价为基数，参照国家计委关于印发《招标代理服务收费管理暂行办法》的通知（计价格[2002]1980号）和发改办价格[2003]857号规定收取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踏勘时间：2024-07-09 09:30:00</w:t>
            </w:r>
          </w:p>
          <w:p>
            <w:pPr>
              <w:pStyle w:val="null3"/>
              <w:ind w:firstLine="975"/>
            </w:pPr>
            <w:r>
              <w:rPr/>
              <w:t>踏勘地点：西安建筑科技大学雁塔校区南院北门</w:t>
            </w:r>
          </w:p>
          <w:p>
            <w:pPr>
              <w:pStyle w:val="null3"/>
              <w:ind w:firstLine="975"/>
            </w:pPr>
            <w:r>
              <w:rPr/>
              <w:t>联系人：王立程</w:t>
            </w:r>
          </w:p>
          <w:p>
            <w:pPr>
              <w:pStyle w:val="null3"/>
              <w:ind w:firstLine="975"/>
            </w:pPr>
            <w:r>
              <w:rPr/>
              <w:t>联系电话号码：029-82201336</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西安建筑科技大学</w:t>
      </w:r>
      <w:r>
        <w:rPr/>
        <w:t>和</w:t>
      </w:r>
      <w:r>
        <w:rPr/>
        <w:t>陕西万泽招标有限公司</w:t>
      </w:r>
      <w:r>
        <w:rPr/>
        <w:t>享有。对磋商文件中供应商参加本次政府采购活动应当具备的条件，磋商项目技术、服务、商务及其他要求，评审细则及标准由</w:t>
      </w:r>
      <w:r>
        <w:rPr/>
        <w:t>西安建筑科技大学</w:t>
      </w:r>
      <w:r>
        <w:rPr/>
        <w:t>负责解释。除上述磋商文件内容，其他内容由</w:t>
      </w:r>
      <w:r>
        <w:rPr/>
        <w:t>陕西万泽招标有限公司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西安建筑科技大学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陕西万泽招标有限公司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按照招标文件、投标文件及合同约定执行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陕西万泽招标有限公司</w:t>
      </w:r>
      <w:r>
        <w:rPr/>
        <w:t xml:space="preserve"> 负责答复；供应商对除采购需求外的采购文件的询问、质疑由</w:t>
      </w:r>
      <w:r>
        <w:rPr/>
        <w:t>陕西万泽招标有限公司</w:t>
      </w:r>
      <w:r>
        <w:rPr/>
        <w:t xml:space="preserve"> 负责答复；供应商对采购过程、采购结果的询问、质疑由 </w:t>
      </w:r>
      <w:r>
        <w:rPr/>
        <w:t>陕西万泽招标有限公司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联系人：陕西万泽招标有限公司</w:t>
      </w:r>
    </w:p>
    <w:p>
      <w:pPr>
        <w:pStyle w:val="null3"/>
      </w:pPr>
      <w:r>
        <w:rPr/>
        <w:t>联系电话：029-88319689</w:t>
      </w:r>
    </w:p>
    <w:p>
      <w:pPr>
        <w:pStyle w:val="null3"/>
      </w:pPr>
      <w:r>
        <w:rPr/>
        <w:t>地址：西安市高新区唐延路旺座现代城C座25楼2502室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雁塔校区区域消防安全综合治理体系构建及韧性提升项目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721,400.00</w:t>
      </w:r>
    </w:p>
    <w:p>
      <w:pPr>
        <w:pStyle w:val="null3"/>
      </w:pPr>
      <w:r>
        <w:rPr/>
        <w:t>采购包最高限价（元）: 721,400.00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西安建筑科技大学雁塔校区区域消防安全综合治理体系构建及韧性提升项目</w:t>
            </w:r>
          </w:p>
        </w:tc>
        <w:tc>
          <w:tcPr>
            <w:tcW w:type="dxa" w:w="831"/>
          </w:tcPr>
          <w:p>
            <w:pPr>
              <w:pStyle w:val="null3"/>
              <w:jc w:val="right"/>
            </w:pPr>
            <w:r>
              <w:rPr/>
              <w:t>1.00</w:t>
            </w:r>
          </w:p>
        </w:tc>
        <w:tc>
          <w:tcPr>
            <w:tcW w:type="dxa" w:w="831"/>
          </w:tcPr>
          <w:p>
            <w:pPr>
              <w:pStyle w:val="null3"/>
              <w:jc w:val="right"/>
            </w:pPr>
            <w:r>
              <w:rPr/>
              <w:t>721,400.00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标的名称：西安建筑科技大学雁塔校区区域消防安全综合治理体系构建及韧性提升项目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8"/>
                <w:b/>
              </w:rPr>
              <w:t>1. 项目概述</w:t>
            </w:r>
          </w:p>
          <w:p>
            <w:pPr>
              <w:pStyle w:val="null3"/>
              <w:jc w:val="both"/>
            </w:pPr>
            <w:r>
              <w:rPr>
                <w:rFonts w:ascii="宋体" w:hAnsi="宋体" w:cs="宋体" w:eastAsia="宋体"/>
                <w:sz w:val="28"/>
                <w:b/>
              </w:rPr>
              <w:t>（</w:t>
            </w:r>
            <w:r>
              <w:rPr>
                <w:rFonts w:ascii="宋体" w:hAnsi="宋体" w:cs="宋体" w:eastAsia="宋体"/>
                <w:sz w:val="28"/>
                <w:b/>
              </w:rPr>
              <w:t>1）项目背景</w:t>
            </w:r>
          </w:p>
          <w:p>
            <w:pPr>
              <w:pStyle w:val="null3"/>
              <w:ind w:firstLine="560"/>
              <w:jc w:val="both"/>
            </w:pPr>
            <w:r>
              <w:rPr>
                <w:rFonts w:ascii="宋体" w:hAnsi="宋体" w:cs="宋体" w:eastAsia="宋体"/>
                <w:sz w:val="28"/>
              </w:rPr>
              <w:t>根据《陕西省教育厅、陕西省住房和城乡建设厅、陕西省消防救援总队关于开展排查化解高校校内建筑消防安全隐患专项行动的通知》（以下简称《通知》）的安排部署，学校已完成雁塔校区各类建筑消防隐患自查排查工作。因雁塔校区各类建筑普遍存在建成时间较早、部分楼宇使用功能调整、相关消防建审、验收（备案）手续不齐情况，经属地住建、消防专家消防技术服务工作指导会议初步意见，需引入第三方社会消防服务机构进一步对雁塔校区各类建筑进行科学、规范、精准的消防安全隐患排查工作，在掌握各类建筑数量及基础数据的基础上，分析不足和症结，明确火灾风险管控重点部位，针对整个校区，一校一策，不同风险等级的建筑，一楼一案，实行差异化、精准化动态监管，提出有针对性的加强措施、整改建议、制定整改台账清单，推动学校消防安全标准化达标创建工作，力争实现建筑消防安全状况符合属地住建、消防救援部门规定的相应消防技术标准要求，消防隐患动态清零，进一步提升学校的消防安全管理能力和治理水平，构建常态化的、系统化的消防安全管理工作体系。</w:t>
            </w:r>
          </w:p>
          <w:p>
            <w:pPr>
              <w:pStyle w:val="null3"/>
              <w:jc w:val="both"/>
            </w:pPr>
            <w:r>
              <w:rPr>
                <w:rFonts w:ascii="宋体" w:hAnsi="宋体" w:cs="宋体" w:eastAsia="宋体"/>
                <w:sz w:val="28"/>
                <w:b/>
              </w:rPr>
              <w:t>（</w:t>
            </w:r>
            <w:r>
              <w:rPr>
                <w:rFonts w:ascii="宋体" w:hAnsi="宋体" w:cs="宋体" w:eastAsia="宋体"/>
                <w:sz w:val="28"/>
                <w:b/>
              </w:rPr>
              <w:t>2）项目内容</w:t>
            </w:r>
          </w:p>
          <w:p>
            <w:pPr>
              <w:pStyle w:val="null3"/>
              <w:ind w:firstLine="560"/>
              <w:jc w:val="both"/>
            </w:pPr>
            <w:r>
              <w:rPr>
                <w:rFonts w:ascii="宋体" w:hAnsi="宋体" w:cs="宋体" w:eastAsia="宋体"/>
                <w:sz w:val="28"/>
              </w:rPr>
              <w:t>系统性对雁塔校区公共区域与</w:t>
            </w:r>
            <w:r>
              <w:rPr>
                <w:rFonts w:ascii="宋体" w:hAnsi="宋体" w:cs="宋体" w:eastAsia="宋体"/>
                <w:sz w:val="28"/>
              </w:rPr>
              <w:t>160栋建筑全面开展消防安全隐患排查，消防安全评估，出具消防安全评估报告，制定“一校一策、一楼一策”综合治理方案，配合学校完成建设工程消防设计审核（审查）、消防验收（备案）、消防安全状况达标，建立健全学校消防安全管理体系制度，构建学校三级应急预案体系，指导完善现有智慧消防管理平台消防并出具技术改造指导意见书。该项目包括但不限于以下内容：</w:t>
            </w:r>
          </w:p>
          <w:p>
            <w:pPr>
              <w:pStyle w:val="null3"/>
              <w:jc w:val="both"/>
            </w:pPr>
            <w:r>
              <w:rPr>
                <w:rFonts w:ascii="宋体" w:hAnsi="宋体" w:cs="宋体" w:eastAsia="宋体"/>
                <w:sz w:val="28"/>
                <w:b/>
              </w:rPr>
              <w:t>①开展消防安全隐患排查工作。</w:t>
            </w:r>
            <w:r>
              <w:rPr>
                <w:rFonts w:ascii="宋体" w:hAnsi="宋体" w:cs="宋体" w:eastAsia="宋体"/>
                <w:sz w:val="28"/>
              </w:rPr>
              <w:t>根据消防法律法规和消防行业技术标准，对雁塔校区公共区域及</w:t>
            </w:r>
            <w:r>
              <w:rPr>
                <w:rFonts w:ascii="宋体" w:hAnsi="宋体" w:cs="宋体" w:eastAsia="宋体"/>
                <w:sz w:val="28"/>
              </w:rPr>
              <w:t>160栋建筑进行全数、全覆盖隐患排查工作，形成隐患清单、整改清单及措施清单，充分总结分析，分类、分场所编制相关工作手册，以指导长效工作开展。</w:t>
            </w:r>
          </w:p>
          <w:p>
            <w:pPr>
              <w:pStyle w:val="null3"/>
              <w:jc w:val="both"/>
            </w:pPr>
            <w:r>
              <w:rPr>
                <w:rFonts w:ascii="宋体" w:hAnsi="宋体" w:cs="宋体" w:eastAsia="宋体"/>
                <w:sz w:val="28"/>
                <w:b/>
              </w:rPr>
              <w:t>②开展消防安全评估工作。</w:t>
            </w:r>
            <w:r>
              <w:rPr>
                <w:rFonts w:ascii="宋体" w:hAnsi="宋体" w:cs="宋体" w:eastAsia="宋体"/>
                <w:sz w:val="28"/>
              </w:rPr>
              <w:t>根据消防法律法规和消防行业技术标准，对雁塔校区公共区域及</w:t>
            </w:r>
            <w:r>
              <w:rPr>
                <w:rFonts w:ascii="宋体" w:hAnsi="宋体" w:cs="宋体" w:eastAsia="宋体"/>
                <w:sz w:val="28"/>
              </w:rPr>
              <w:t>160栋建筑开展消防安全评估工作，制订火灾风险辨识标准，按照红、橙、黄、蓝四色进行火灾风险等级划分，掌握校园火灾风险源分布情况，确定高、中、低风险区域，形成风险地图、清单等。结合消防安全隐患排查、火灾风险辨识，对雁塔校区公共区域与160栋建筑楼宇从建筑消防安全、消防设施和消防安全管理开展消防安全评估，现场消防安全评估记录完整，并形成消防安全评估报告，该报告真实可靠，采购人将对报告项目内容逐一进行竣工验收。</w:t>
            </w:r>
          </w:p>
          <w:p>
            <w:pPr>
              <w:pStyle w:val="null3"/>
              <w:jc w:val="both"/>
            </w:pPr>
            <w:r>
              <w:rPr>
                <w:rFonts w:ascii="宋体" w:hAnsi="宋体" w:cs="宋体" w:eastAsia="宋体"/>
                <w:sz w:val="28"/>
                <w:b/>
              </w:rPr>
              <w:t>③编制校园消防安全一楼一策综合治理方案。</w:t>
            </w:r>
            <w:r>
              <w:rPr>
                <w:rFonts w:ascii="宋体" w:hAnsi="宋体" w:cs="宋体" w:eastAsia="宋体"/>
                <w:sz w:val="28"/>
              </w:rPr>
              <w:t>依据校内建筑投用时的消防法规和消防行业技术标准，结合消防安全评估报告，编制校园消防安全一校一策、一楼一策综合治理方案，综合治理方案原则要明确现有建筑消防设计应遵守的规范、标准和规定，说明风险现状、整改意见、预期效果、保障方案、限用停用等内容，提出有针对性的加强措施、整改建议意见、制定整改台账清单，指导并配合完成雁塔校区消防安全隐患整改，对受客观条件限制，无法通过整改达到相应消防技术标准要求的个别建筑提出</w:t>
            </w:r>
            <w:r>
              <w:rPr>
                <w:rFonts w:ascii="宋体" w:hAnsi="宋体" w:cs="宋体" w:eastAsia="宋体"/>
                <w:sz w:val="28"/>
              </w:rPr>
              <w:t>“人防、物防、技防”的优化建议和解决方案，配合学校完成建设工程消防设计审核（审查）、消防验收（备案）、消防安全状况达标。</w:t>
            </w:r>
          </w:p>
          <w:p>
            <w:pPr>
              <w:pStyle w:val="null3"/>
              <w:jc w:val="both"/>
            </w:pPr>
            <w:r>
              <w:rPr>
                <w:rFonts w:ascii="宋体" w:hAnsi="宋体" w:cs="宋体" w:eastAsia="宋体"/>
                <w:sz w:val="28"/>
                <w:b/>
              </w:rPr>
              <w:t>④建立消防安全管理体系。</w:t>
            </w:r>
            <w:r>
              <w:rPr>
                <w:rFonts w:ascii="宋体" w:hAnsi="宋体" w:cs="宋体" w:eastAsia="宋体"/>
                <w:sz w:val="28"/>
              </w:rPr>
              <w:t>严格按照</w:t>
            </w:r>
            <w:r>
              <w:rPr>
                <w:rFonts w:ascii="宋体" w:hAnsi="宋体" w:cs="宋体" w:eastAsia="宋体"/>
                <w:sz w:val="28"/>
              </w:rPr>
              <w:t>“党政同责、一岗双责、齐抓共管”和“三管三必须”原则，健全完善学校消防安全管理体系，指导并配合制定学校消防安全责任制，消防安全教育、培训制度，防火巡查、检查制度，安全疏散设施管理制度，消防设施器材维护管理制度，消防（控制室）值班制度，火灾隐患整改制度，用火、用电安全管理制度，灭火和应急疏散预案演练制度，易燃易爆危险品和场所防火防爆管理制度，专职消防队、微型消防站组织管理制度，燃气和电气设备检查和管理（包括防雷、防静电）制度，消防安全工作考评和奖惩制度、消防安全例会制度、消防管理档案等，最终实现各责任主体的良性互动，规范指导各单位消防安全工作开展，校内主导，内外协同，推动消防安全责任制逐级落实，创新校园消防安全自治管理。配合学校申报全国119消防先进集体和先进个人事宜。</w:t>
            </w:r>
          </w:p>
          <w:p>
            <w:pPr>
              <w:pStyle w:val="null3"/>
              <w:jc w:val="both"/>
            </w:pPr>
            <w:r>
              <w:rPr>
                <w:rFonts w:ascii="宋体" w:hAnsi="宋体" w:cs="宋体" w:eastAsia="宋体"/>
                <w:sz w:val="28"/>
                <w:b/>
              </w:rPr>
              <w:t>⑤构建消防应急预案体系。</w:t>
            </w:r>
            <w:r>
              <w:rPr>
                <w:rFonts w:ascii="宋体" w:hAnsi="宋体" w:cs="宋体" w:eastAsia="宋体"/>
                <w:sz w:val="28"/>
              </w:rPr>
              <w:t>强化学校三级预案体系构建，结合学校工作实际，指导并配合制定学校校级层面总体消防应急预案、二级单位专项预案、重点场所（部位）现场处置方案，针对专业问题，开展预案修订、演练、培训等工作，有效应对各级各类火灾突发事件，分级分类提升消防安全管理四个能力。</w:t>
            </w:r>
          </w:p>
          <w:p>
            <w:pPr>
              <w:pStyle w:val="null3"/>
              <w:jc w:val="both"/>
            </w:pPr>
            <w:r>
              <w:rPr>
                <w:rFonts w:ascii="宋体" w:hAnsi="宋体" w:cs="宋体" w:eastAsia="宋体"/>
                <w:sz w:val="28"/>
                <w:b/>
              </w:rPr>
              <w:t>⑥消防技术改造指导意见。</w:t>
            </w:r>
            <w:r>
              <w:rPr>
                <w:rFonts w:ascii="宋体" w:hAnsi="宋体" w:cs="宋体" w:eastAsia="宋体"/>
                <w:sz w:val="28"/>
              </w:rPr>
              <w:t>根据消防安全评估结果，统筹兼顾建筑安全性、技术合理性和工程经济性，基于智慧消防信息化管理为目标，编制消防技术改造指导意见书。</w:t>
            </w:r>
          </w:p>
          <w:p>
            <w:pPr>
              <w:pStyle w:val="null3"/>
              <w:jc w:val="both"/>
            </w:pPr>
            <w:r>
              <w:rPr>
                <w:rFonts w:ascii="宋体" w:hAnsi="宋体" w:cs="宋体" w:eastAsia="宋体"/>
                <w:sz w:val="28"/>
                <w:b/>
              </w:rPr>
              <w:t>2.服务内容和标准</w:t>
            </w:r>
            <w:r>
              <w:rPr>
                <w:rFonts w:ascii="宋体" w:hAnsi="宋体" w:cs="宋体" w:eastAsia="宋体"/>
                <w:sz w:val="28"/>
              </w:rPr>
              <w:t>：</w:t>
            </w:r>
          </w:p>
          <w:p>
            <w:pPr>
              <w:pStyle w:val="null3"/>
              <w:jc w:val="both"/>
            </w:pPr>
            <w:r>
              <w:rPr>
                <w:rFonts w:ascii="宋体" w:hAnsi="宋体" w:cs="宋体" w:eastAsia="宋体"/>
                <w:sz w:val="28"/>
              </w:rPr>
              <w:t>（</w:t>
            </w:r>
            <w:r>
              <w:rPr>
                <w:rFonts w:ascii="宋体" w:hAnsi="宋体" w:cs="宋体" w:eastAsia="宋体"/>
                <w:sz w:val="28"/>
              </w:rPr>
              <w:t>1）总体要求：服务范围、现状条件等；</w:t>
            </w:r>
          </w:p>
          <w:p>
            <w:pPr>
              <w:pStyle w:val="null3"/>
              <w:jc w:val="both"/>
            </w:pPr>
            <w:r>
              <w:rPr>
                <w:rFonts w:ascii="宋体" w:hAnsi="宋体" w:cs="宋体" w:eastAsia="宋体"/>
                <w:sz w:val="28"/>
                <w:b/>
              </w:rPr>
              <w:t>服务范围：</w:t>
            </w:r>
            <w:r>
              <w:rPr>
                <w:rFonts w:ascii="宋体" w:hAnsi="宋体" w:cs="宋体" w:eastAsia="宋体"/>
                <w:sz w:val="28"/>
              </w:rPr>
              <w:t>目前雁塔校区</w:t>
            </w:r>
            <w:r>
              <w:rPr>
                <w:rFonts w:ascii="宋体" w:hAnsi="宋体" w:cs="宋体" w:eastAsia="宋体"/>
                <w:sz w:val="28"/>
              </w:rPr>
              <w:t>160栋建筑（主体建筑126栋，临建、活动板房、设备用房、配电室、换热站等34栋）。</w:t>
            </w:r>
          </w:p>
          <w:p>
            <w:pPr>
              <w:pStyle w:val="null3"/>
              <w:jc w:val="both"/>
            </w:pPr>
            <w:r>
              <w:rPr>
                <w:rFonts w:ascii="宋体" w:hAnsi="宋体" w:cs="宋体" w:eastAsia="宋体"/>
                <w:sz w:val="28"/>
                <w:b/>
              </w:rPr>
              <w:t>现状条件：</w:t>
            </w:r>
            <w:r>
              <w:rPr>
                <w:rFonts w:ascii="宋体" w:hAnsi="宋体" w:cs="宋体" w:eastAsia="宋体"/>
                <w:sz w:val="28"/>
              </w:rPr>
              <w:t>雁塔校区占地面积</w:t>
            </w:r>
            <w:r>
              <w:rPr>
                <w:rFonts w:ascii="宋体" w:hAnsi="宋体" w:cs="宋体" w:eastAsia="宋体"/>
                <w:sz w:val="28"/>
              </w:rPr>
              <w:t>44.6万平方米，楼宇总建筑面积79.4万平方米，建筑各类建筑大致分类如下：</w:t>
            </w:r>
          </w:p>
          <w:tbl>
            <w:tblPr>
              <w:tblInd w:type="dxa" w:w="135"/>
              <w:tblBorders>
                <w:top w:val="none" w:color="000000" w:sz="4"/>
                <w:left w:val="none" w:color="000000" w:sz="4"/>
                <w:bottom w:val="none" w:color="000000" w:sz="4"/>
                <w:right w:val="none" w:color="000000" w:sz="4"/>
                <w:insideH w:val="none"/>
                <w:insideV w:val="none"/>
              </w:tblBorders>
            </w:tblPr>
            <w:tblGrid>
              <w:gridCol w:w="511"/>
              <w:gridCol w:w="379"/>
              <w:gridCol w:w="367"/>
              <w:gridCol w:w="457"/>
              <w:gridCol w:w="839"/>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建筑分类</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数量（栋）</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建筑类别</w:t>
                  </w:r>
                </w:p>
              </w:tc>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建筑面积</w:t>
                  </w:r>
                  <w:r>
                    <w:rPr>
                      <w:rFonts w:ascii="宋体" w:hAnsi="宋体" w:cs="宋体" w:eastAsia="宋体"/>
                      <w:sz w:val="24"/>
                    </w:rPr>
                    <w:t xml:space="preserve">  </w:t>
                  </w:r>
                  <w:r>
                    <w:rPr>
                      <w:rFonts w:ascii="宋体" w:hAnsi="宋体" w:cs="宋体" w:eastAsia="宋体"/>
                      <w:sz w:val="24"/>
                    </w:rPr>
                    <w:t>（万平方米）</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备注</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学生公寓、职工宿舍</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9.5</w:t>
                  </w: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w:t>
                  </w:r>
                </w:p>
              </w:tc>
              <w:tc>
                <w:tcPr>
                  <w:tcW w:type="dxa" w:w="839"/>
                  <w:vMerge/>
                  <w:tcBorders>
                    <w:top w:val="none" w:color="000000" w:sz="4"/>
                    <w:left w:val="single" w:color="000000" w:sz="4"/>
                    <w:bottom w:val="single" w:color="000000" w:sz="4"/>
                    <w:right w:val="single" w:color="000000" w:sz="4"/>
                  </w:tcBorders>
                </w:tcP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教学、实验</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12.5</w:t>
                  </w: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w:t>
                  </w:r>
                </w:p>
              </w:tc>
              <w:tc>
                <w:tcPr>
                  <w:tcW w:type="dxa" w:w="839"/>
                  <w:vMerge/>
                  <w:tcBorders>
                    <w:top w:val="none" w:color="000000" w:sz="4"/>
                    <w:left w:val="single" w:color="000000" w:sz="4"/>
                    <w:bottom w:val="single" w:color="000000" w:sz="4"/>
                    <w:right w:val="single" w:color="000000" w:sz="4"/>
                  </w:tcBorders>
                </w:tcP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住宅</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16.5</w:t>
                  </w:r>
                </w:p>
              </w:tc>
              <w:tc>
                <w:tcPr>
                  <w:tcW w:type="dxa" w:w="8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12.4</w:t>
                  </w:r>
                </w:p>
              </w:tc>
              <w:tc>
                <w:tcPr>
                  <w:tcW w:type="dxa" w:w="839"/>
                  <w:vMerge/>
                  <w:tcBorders>
                    <w:top w:val="none" w:color="000000" w:sz="4"/>
                    <w:left w:val="single" w:color="000000" w:sz="4"/>
                    <w:bottom w:val="single" w:color="000000" w:sz="4"/>
                    <w:right w:val="single" w:color="000000" w:sz="4"/>
                  </w:tcBorders>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场馆</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图书馆、老年活动中心、停车场、校史馆等</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办公</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保障</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餐厅、配电室、临建等</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商业</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vMerge/>
                  <w:tcBorders>
                    <w:top w:val="none" w:color="000000" w:sz="4"/>
                    <w:left w:val="single" w:color="000000" w:sz="4"/>
                    <w:bottom w:val="single" w:color="000000" w:sz="4"/>
                    <w:right w:val="single" w:color="000000" w:sz="4"/>
                  </w:tcBorders>
                </w:tc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高层</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10.1</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0"/>
                <w:numId w:val="1"/>
              </w:numPr>
              <w:jc w:val="both"/>
            </w:pPr>
            <w:r>
              <w:rPr>
                <w:rFonts w:ascii="宋体" w:hAnsi="宋体" w:cs="宋体" w:eastAsia="宋体"/>
                <w:sz w:val="28"/>
                <w:b/>
              </w:rPr>
              <w:t>服务标准：</w:t>
            </w:r>
          </w:p>
          <w:p>
            <w:pPr>
              <w:pStyle w:val="null3"/>
              <w:jc w:val="both"/>
            </w:pPr>
            <w:r>
              <w:rPr>
                <w:rFonts w:ascii="宋体" w:hAnsi="宋体" w:cs="宋体" w:eastAsia="宋体"/>
                <w:sz w:val="28"/>
                <w:b/>
              </w:rPr>
              <w:t>服务内容：</w:t>
            </w:r>
            <w:r>
              <w:rPr>
                <w:rFonts w:ascii="宋体" w:hAnsi="宋体" w:cs="宋体" w:eastAsia="宋体"/>
                <w:sz w:val="28"/>
              </w:rPr>
              <w:t>以</w:t>
            </w:r>
            <w:r>
              <w:rPr>
                <w:rFonts w:ascii="宋体" w:hAnsi="宋体" w:cs="宋体" w:eastAsia="宋体"/>
                <w:sz w:val="28"/>
              </w:rPr>
              <w:t>“尊重历史、实事求是、摸清底数、分类施策”为原则，依照建筑投用时消防法律法规与行业标准，系统性对雁塔校区公共区域与160栋建筑全面开展消防安全隐患排查、消防安全评估，形成消防安全评估报告、制定“一校一策、一楼一策”综合治理方案、配合学校完成建设工程消防设计审核（审查）、消防验收（备案）、消防安全状况达标、建立健全学校消防安全管理体系制度、构建学校三级应急预案体系、形成智慧消防技术改造指导意见书。</w:t>
            </w:r>
          </w:p>
          <w:p>
            <w:pPr>
              <w:pStyle w:val="null3"/>
              <w:jc w:val="both"/>
            </w:pPr>
            <w:r>
              <w:rPr>
                <w:rFonts w:ascii="宋体" w:hAnsi="宋体" w:cs="宋体" w:eastAsia="宋体"/>
                <w:sz w:val="28"/>
                <w:b/>
              </w:rPr>
              <w:t>工作要求：</w:t>
            </w:r>
            <w:r>
              <w:rPr>
                <w:rFonts w:ascii="宋体" w:hAnsi="宋体" w:cs="宋体" w:eastAsia="宋体"/>
                <w:sz w:val="28"/>
              </w:rPr>
              <w:t>合同签订之日起</w:t>
            </w:r>
            <w:r>
              <w:rPr>
                <w:rFonts w:ascii="宋体" w:hAnsi="宋体" w:cs="宋体" w:eastAsia="宋体"/>
                <w:sz w:val="28"/>
              </w:rPr>
              <w:t>30日内，完成消防安全隐患排查、消防安全评估工作，确保学校及时开展消防隐患整改工作；合同签订之日起60日内，完成学校雁塔校区消防安全“一校一策”“一楼一策”综合治理方案、学校消防安全管理体系、消防应急三级预案及消防技术改造指导意见编制工作，最终配合学校完成建设工程消防设计审核（审查）、消防验收（备案）、达到消防安全状况达标。所有成果资料纸质文件 4 套，并提供相应电子文档。供应商所提交的成果资料均为采购人所有，未经采购人同意，不得将上述资料用于与该项目采购服务之外的任何项目。</w:t>
            </w:r>
          </w:p>
          <w:p>
            <w:pPr>
              <w:pStyle w:val="null3"/>
              <w:jc w:val="both"/>
            </w:pPr>
            <w:r>
              <w:rPr>
                <w:rFonts w:ascii="宋体" w:hAnsi="宋体" w:cs="宋体" w:eastAsia="宋体"/>
                <w:sz w:val="28"/>
                <w:b/>
              </w:rPr>
              <w:t>其他技术、服务要求：</w:t>
            </w:r>
            <w:r>
              <w:rPr>
                <w:rFonts w:ascii="宋体" w:hAnsi="宋体" w:cs="宋体" w:eastAsia="宋体"/>
                <w:sz w:val="28"/>
              </w:rPr>
              <w:t xml:space="preserve"> </w:t>
            </w:r>
            <w:r>
              <w:rPr>
                <w:rFonts w:ascii="宋体" w:hAnsi="宋体" w:cs="宋体" w:eastAsia="宋体"/>
                <w:sz w:val="28"/>
              </w:rPr>
              <w:t>供应商提供成果须符合国家及地方政策法规、有关行业技术标准和规范，满足当地政府及建设行政主管部门的规定。内容齐全、详细、完善、科学合理，格式规范，逻辑层次清晰，语言准确精练，图文字表格要相符，结论明确，满足本项目的要求。</w:t>
            </w:r>
          </w:p>
          <w:p>
            <w:pPr>
              <w:pStyle w:val="null3"/>
              <w:jc w:val="both"/>
            </w:pPr>
            <w:r>
              <w:rPr>
                <w:rFonts w:ascii="宋体" w:hAnsi="宋体" w:cs="宋体" w:eastAsia="宋体"/>
                <w:sz w:val="28"/>
              </w:rPr>
              <w:t>供应商需配备能力和人数满足本项目工作内容的服务团队，总人数不少于</w:t>
            </w:r>
            <w:r>
              <w:rPr>
                <w:rFonts w:ascii="宋体" w:hAnsi="宋体" w:cs="宋体" w:eastAsia="宋体"/>
                <w:sz w:val="28"/>
              </w:rPr>
              <w:t>25人（均需提供身份证、学历或学位证等相关证书及近半年内连续三个月社保缴纳证明、</w:t>
            </w:r>
            <w:r>
              <w:rPr>
                <w:rFonts w:ascii="宋体" w:hAnsi="宋体" w:cs="宋体" w:eastAsia="宋体"/>
                <w:sz w:val="28"/>
                <w:shd w:fill="FFFFFF" w:val="clear"/>
              </w:rPr>
              <w:t>在服务期内所提供人员不可变更）</w:t>
            </w:r>
            <w:r>
              <w:rPr>
                <w:rFonts w:ascii="宋体" w:hAnsi="宋体" w:cs="宋体" w:eastAsia="宋体"/>
                <w:sz w:val="28"/>
              </w:rPr>
              <w:t>，服务团队成员应具有消防工程领域相关专业背景并取得消防领域相关资格证书（一级注册消防工程师、消防设施操作员等），另外需根据采购人工作需要临时安排相关人员提供专业指导和技术服务。</w:t>
            </w:r>
          </w:p>
          <w:p>
            <w:pPr>
              <w:pStyle w:val="null3"/>
              <w:jc w:val="both"/>
            </w:pPr>
            <w:r>
              <w:rPr>
                <w:rFonts w:ascii="宋体" w:hAnsi="宋体" w:cs="宋体" w:eastAsia="宋体"/>
                <w:sz w:val="28"/>
                <w:b/>
              </w:rPr>
              <w:t>（</w:t>
            </w:r>
            <w:r>
              <w:rPr>
                <w:rFonts w:ascii="宋体" w:hAnsi="宋体" w:cs="宋体" w:eastAsia="宋体"/>
                <w:sz w:val="28"/>
                <w:b/>
              </w:rPr>
              <w:t>3）组织实施、应急措施等要求；</w:t>
            </w:r>
          </w:p>
          <w:p>
            <w:pPr>
              <w:pStyle w:val="null3"/>
              <w:jc w:val="both"/>
            </w:pPr>
            <w:r>
              <w:rPr>
                <w:rFonts w:ascii="宋体" w:hAnsi="宋体" w:cs="宋体" w:eastAsia="宋体"/>
                <w:sz w:val="28"/>
              </w:rPr>
              <w:t>成立专项工作组，自中标通知书发送之日起</w:t>
            </w:r>
            <w:r>
              <w:rPr>
                <w:rFonts w:ascii="宋体" w:hAnsi="宋体" w:cs="宋体" w:eastAsia="宋体"/>
                <w:sz w:val="28"/>
              </w:rPr>
              <w:t>5日内提交项目实施方案，经采购人同意后，开展项目实施。在项目开展过程中，应明确以下：</w:t>
            </w:r>
          </w:p>
          <w:p>
            <w:pPr>
              <w:pStyle w:val="null3"/>
              <w:jc w:val="both"/>
            </w:pPr>
            <w:r>
              <w:rPr>
                <w:rFonts w:ascii="宋体" w:hAnsi="宋体" w:cs="宋体" w:eastAsia="宋体"/>
                <w:sz w:val="28"/>
              </w:rPr>
              <w:t>①技术负责人一名，应为一级注册消防工程师资格，负责技术审校把关，项目服务期内需驻校，采购人将对驻校情况进行相关考核。</w:t>
            </w:r>
          </w:p>
          <w:p>
            <w:pPr>
              <w:pStyle w:val="null3"/>
              <w:jc w:val="both"/>
            </w:pPr>
            <w:r>
              <w:rPr>
                <w:rFonts w:ascii="宋体" w:hAnsi="宋体" w:cs="宋体" w:eastAsia="宋体"/>
                <w:sz w:val="28"/>
              </w:rPr>
              <w:t>②项目负责人一名，应为一级注册消防工程师，负责项目技术把关，项目服务期内需驻校，采购人将对驻校情况进行相关考核。</w:t>
            </w:r>
          </w:p>
          <w:p>
            <w:pPr>
              <w:pStyle w:val="null3"/>
              <w:jc w:val="both"/>
            </w:pPr>
            <w:r>
              <w:rPr>
                <w:rFonts w:ascii="宋体" w:hAnsi="宋体" w:cs="宋体" w:eastAsia="宋体"/>
                <w:sz w:val="28"/>
              </w:rPr>
              <w:t>③其他工作人员应具有消防工程领域相关专业背景并取得消防领域相关资格证书。</w:t>
            </w:r>
          </w:p>
          <w:p>
            <w:pPr>
              <w:pStyle w:val="null3"/>
              <w:jc w:val="both"/>
            </w:pPr>
            <w:r>
              <w:rPr>
                <w:rFonts w:ascii="宋体" w:hAnsi="宋体" w:cs="宋体" w:eastAsia="宋体"/>
                <w:sz w:val="28"/>
              </w:rPr>
              <w:t>④成交供应商应承诺成果资料具有专业性，保证成果资料的合法性，并承担因工作失误造成的所有损失。</w:t>
            </w:r>
          </w:p>
          <w:p>
            <w:pPr>
              <w:pStyle w:val="null3"/>
              <w:jc w:val="both"/>
            </w:pPr>
            <w:r>
              <w:rPr>
                <w:rFonts w:ascii="宋体" w:hAnsi="宋体" w:cs="宋体" w:eastAsia="宋体"/>
                <w:sz w:val="28"/>
              </w:rPr>
              <w:t>⑤工作组人员应熟悉消防安全政策法规，具备消防评估专业知识。</w:t>
            </w:r>
          </w:p>
          <w:p>
            <w:pPr>
              <w:pStyle w:val="null3"/>
              <w:jc w:val="both"/>
            </w:pPr>
            <w:r>
              <w:rPr>
                <w:rFonts w:ascii="宋体" w:hAnsi="宋体" w:cs="宋体" w:eastAsia="宋体"/>
                <w:sz w:val="28"/>
              </w:rPr>
              <w:t>⑥服务期限内，成交供应商的服务人员因执行本项目出现的自身伤亡、财产损失或造成他人人身伤亡，均由成交供应商负责处理。</w:t>
            </w:r>
          </w:p>
          <w:p>
            <w:pPr>
              <w:pStyle w:val="null3"/>
              <w:jc w:val="both"/>
            </w:pPr>
            <w:r>
              <w:rPr>
                <w:rFonts w:ascii="宋体" w:hAnsi="宋体" w:cs="宋体" w:eastAsia="宋体"/>
                <w:sz w:val="28"/>
              </w:rPr>
              <w:t>⑦成交供应商在服务期限内违反国家相关法律法规，均由成交供应商承担相应责任。</w:t>
            </w:r>
          </w:p>
          <w:p>
            <w:pPr>
              <w:pStyle w:val="null3"/>
              <w:jc w:val="both"/>
            </w:pPr>
            <w:r>
              <w:rPr>
                <w:rFonts w:ascii="宋体" w:hAnsi="宋体" w:cs="宋体" w:eastAsia="宋体"/>
                <w:sz w:val="28"/>
              </w:rPr>
              <w:t>⑧成交供应商要对外做好项目服务相关保密工作，否则承担相应法律责任。</w:t>
            </w:r>
          </w:p>
          <w:p>
            <w:pPr>
              <w:pStyle w:val="null3"/>
              <w:jc w:val="both"/>
            </w:pPr>
            <w:r>
              <w:rPr>
                <w:rFonts w:ascii="宋体" w:hAnsi="宋体" w:cs="宋体" w:eastAsia="宋体"/>
                <w:sz w:val="28"/>
              </w:rPr>
              <w:t>⑨在服务期限内，因成交供应商执行本项目中发生版权纠纷等问题，采购人概不承担任何责任，均由成交供应商承担由此造成的一切后果。成交供应商应保证其提供的设备等相关产品不出现产权问题。</w:t>
            </w:r>
          </w:p>
          <w:p>
            <w:pPr>
              <w:pStyle w:val="null3"/>
              <w:jc w:val="both"/>
            </w:pPr>
            <w:r>
              <w:rPr>
                <w:rFonts w:ascii="宋体" w:hAnsi="宋体" w:cs="宋体" w:eastAsia="宋体"/>
                <w:sz w:val="28"/>
                <w:b/>
              </w:rPr>
              <w:t>（</w:t>
            </w:r>
            <w:r>
              <w:rPr>
                <w:rFonts w:ascii="宋体" w:hAnsi="宋体" w:cs="宋体" w:eastAsia="宋体"/>
                <w:sz w:val="28"/>
                <w:b/>
              </w:rPr>
              <w:t>4）报价要求以及其他要求等。</w:t>
            </w:r>
          </w:p>
          <w:p>
            <w:pPr>
              <w:pStyle w:val="null3"/>
              <w:jc w:val="both"/>
            </w:pPr>
            <w:r>
              <w:rPr>
                <w:rFonts w:ascii="宋体" w:hAnsi="宋体" w:cs="宋体" w:eastAsia="宋体"/>
                <w:sz w:val="28"/>
              </w:rPr>
              <w:t>供应商的投标报价是供应商响应本项目要求的全部工作内容的价格体现，该费用为一次性包干费用，包括供应商完成本项目所需的人工费、设备费、管理费、验收费、采购代理服务费、知识产权专利费、专家费、评审费、利润和税金等全部费用。在提供服务的过程中的任何遗漏，均由成交供应商免费提供，采购人将不再支付任何费用。</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自合同签订之日起90日历日</w:t>
      </w:r>
    </w:p>
    <w:p>
      <w:pPr>
        <w:pStyle w:val="null3"/>
        <w:outlineLvl w:val="3"/>
      </w:pPr>
      <w:r>
        <w:rPr>
          <w:sz w:val="24"/>
          <w:b/>
        </w:rPr>
        <w:t>3.3.2服务地点</w:t>
      </w:r>
    </w:p>
    <w:p>
      <w:pPr>
        <w:pStyle w:val="null3"/>
      </w:pPr>
      <w:r>
        <w:rPr/>
        <w:t>采购包1：</w:t>
      </w:r>
    </w:p>
    <w:p>
      <w:pPr>
        <w:pStyle w:val="null3"/>
      </w:pPr>
      <w:r>
        <w:rPr/>
        <w:t>西安建筑科技大学雁塔校区</w:t>
      </w:r>
    </w:p>
    <w:p>
      <w:pPr>
        <w:pStyle w:val="null3"/>
        <w:outlineLvl w:val="3"/>
      </w:pPr>
      <w:r>
        <w:rPr>
          <w:sz w:val="24"/>
          <w:b/>
        </w:rPr>
        <w:t>3.3.3考核（验收）标准和方法</w:t>
      </w:r>
    </w:p>
    <w:p>
      <w:pPr>
        <w:pStyle w:val="null3"/>
      </w:pPr>
      <w:r>
        <w:rPr/>
        <w:t>采购包1：</w:t>
      </w:r>
    </w:p>
    <w:p>
      <w:pPr>
        <w:pStyle w:val="null3"/>
      </w:pPr>
      <w:r>
        <w:rPr/>
        <w:t>按照招标文件、投标文件及合同约定执行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合同签订之日起7个工作日内，付款至合同总价30%</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完成消防安全隐患排查、消防安全评估工作，提交消防安全评估报告，制定“一校一策、一楼一策”综合治理方案，指导并配合学校完善消防安全管理体系制度和学校三级消防应急预案，提交消防技术改造指导意见书成果资料，经发包人审定后支付至合同总价85%</w:t>
      </w:r>
      <w:r>
        <w:rPr/>
        <w:t xml:space="preserve"> ，达到付款条件起 </w:t>
      </w:r>
      <w:r>
        <w:rPr/>
        <w:t>7</w:t>
      </w:r>
      <w:r>
        <w:rPr/>
        <w:t xml:space="preserve"> 日内，支付合同总金额的 </w:t>
      </w:r>
      <w:r>
        <w:rPr/>
        <w:t>55.00</w:t>
      </w:r>
      <w:r>
        <w:rPr/>
        <w:t>%。</w:t>
      </w:r>
    </w:p>
    <w:p>
      <w:pPr>
        <w:pStyle w:val="null3"/>
      </w:pPr>
      <w:r>
        <w:rPr/>
        <w:t>采购包1：</w:t>
      </w:r>
      <w:r>
        <w:rPr/>
        <w:t xml:space="preserve"> 付款条件说明： </w:t>
      </w:r>
      <w:r>
        <w:rPr/>
        <w:t>本项目内容完成之后，配合学校完成属地建设部门建设工程消防设计审核（审查）、消防验收（备案）、消防安全状况达标，并经审计部门审核完成后支付至合同总价100%。</w:t>
      </w:r>
      <w:r>
        <w:rPr/>
        <w:t xml:space="preserve"> ，达到付款条件起 </w:t>
      </w:r>
      <w:r>
        <w:rPr/>
        <w:t>7</w:t>
      </w:r>
      <w:r>
        <w:rPr/>
        <w:t xml:space="preserve"> 日内，支付合同总金额的 </w:t>
      </w:r>
      <w:r>
        <w:rPr/>
        <w:t>15.00</w:t>
      </w:r>
      <w:r>
        <w:rPr/>
        <w:t>%。</w:t>
      </w:r>
    </w:p>
    <w:p>
      <w:pPr>
        <w:pStyle w:val="null3"/>
        <w:outlineLvl w:val="3"/>
      </w:pPr>
      <w:r>
        <w:rPr>
          <w:sz w:val="24"/>
          <w:b/>
        </w:rPr>
        <w:t>3.3.6违约责任及解决争议的方法</w:t>
      </w:r>
    </w:p>
    <w:p>
      <w:pPr>
        <w:pStyle w:val="null3"/>
      </w:pPr>
      <w:r>
        <w:rPr/>
        <w:t>采购包1：</w:t>
      </w:r>
    </w:p>
    <w:p>
      <w:pPr>
        <w:pStyle w:val="null3"/>
      </w:pPr>
      <w:r>
        <w:rPr/>
        <w:t>按照招标文件、投标文件及合同约定执行</w:t>
      </w:r>
    </w:p>
    <w:p>
      <w:pPr>
        <w:pStyle w:val="null3"/>
        <w:outlineLvl w:val="2"/>
      </w:pPr>
      <w:r>
        <w:rPr>
          <w:sz w:val="28"/>
          <w:b/>
        </w:rPr>
        <w:t>3.4其他要求</w:t>
      </w:r>
    </w:p>
    <w:p>
      <w:pPr>
        <w:pStyle w:val="null3"/>
      </w:pPr>
      <w:r>
        <w:rPr/>
        <w:t>详见合同条款</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供应商资质证明资料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提供合格有效的法人或其他组织的营业执照等证明文件，自然人参与的提供其身份证原件</w:t>
            </w:r>
          </w:p>
        </w:tc>
        <w:tc>
          <w:tcPr>
            <w:tcW w:type="dxa" w:w="3322"/>
          </w:tcPr>
          <w:p>
            <w:pPr>
              <w:pStyle w:val="null3"/>
            </w:pPr>
            <w:r>
              <w:rPr/>
              <w:t>提供合格有效的法人或其他组织的营业执照等证明文件，自然人参与的提供其身份证原件</w:t>
            </w:r>
          </w:p>
        </w:tc>
        <w:tc>
          <w:tcPr>
            <w:tcW w:type="dxa" w:w="1661"/>
          </w:tcPr>
          <w:p>
            <w:pPr>
              <w:pStyle w:val="null3"/>
            </w:pPr>
            <w:r>
              <w:rPr/>
              <w:t>供应商资质证明资料</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供应商提供本单位2023年6月至今已缴纳的连续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供应商资质证明资料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供应商提供本单位2023年6月至今已缴纳的连续三个月纳税证明或完税证明，依法免税的单位应提供相关证明材料</w:t>
            </w:r>
          </w:p>
        </w:tc>
        <w:tc>
          <w:tcPr>
            <w:tcW w:type="dxa" w:w="1661"/>
          </w:tcPr>
          <w:p>
            <w:pPr>
              <w:pStyle w:val="null3"/>
            </w:pPr>
            <w:r>
              <w:rPr/>
              <w:t>供应商资质证明资料</w:t>
            </w:r>
          </w:p>
        </w:tc>
      </w:tr>
      <w:tr>
        <w:tc>
          <w:tcPr>
            <w:tcW w:type="dxa" w:w="831"/>
          </w:tcPr>
          <w:p>
            <w:pPr>
              <w:pStyle w:val="null3"/>
            </w:pPr>
            <w:r>
              <w:rPr/>
              <w:t>4</w:t>
            </w:r>
          </w:p>
        </w:tc>
        <w:tc>
          <w:tcPr>
            <w:tcW w:type="dxa" w:w="2492"/>
          </w:tcPr>
          <w:p>
            <w:pPr>
              <w:pStyle w:val="null3"/>
            </w:pPr>
            <w:r>
              <w:rPr/>
              <w:t>供应商信誉证明</w:t>
            </w:r>
          </w:p>
        </w:tc>
        <w:tc>
          <w:tcPr>
            <w:tcW w:type="dxa" w:w="3322"/>
          </w:tcPr>
          <w:p>
            <w:pPr>
              <w:pStyle w:val="null3"/>
            </w:pPr>
            <w:r>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t>供应商资质证明资料</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非法定代表人参加磋商的，须提供法定代表人授权委托书及被授权人身份证原件；法定代表人参加磋商时,只须提供法定代表人身份证原件</w:t>
            </w:r>
          </w:p>
        </w:tc>
        <w:tc>
          <w:tcPr>
            <w:tcW w:type="dxa" w:w="1661"/>
          </w:tcPr>
          <w:p>
            <w:pPr>
              <w:pStyle w:val="null3"/>
            </w:pPr>
            <w:r>
              <w:rPr/>
              <w:t>供应商资质证明资料</w:t>
            </w:r>
          </w:p>
        </w:tc>
      </w:tr>
      <w:tr>
        <w:tc>
          <w:tcPr>
            <w:tcW w:type="dxa" w:w="831"/>
          </w:tcPr>
          <w:p>
            <w:pPr>
              <w:pStyle w:val="null3"/>
            </w:pPr>
            <w:r>
              <w:rPr/>
              <w:t>6</w:t>
            </w:r>
          </w:p>
        </w:tc>
        <w:tc>
          <w:tcPr>
            <w:tcW w:type="dxa" w:w="2492"/>
          </w:tcPr>
          <w:p>
            <w:pPr>
              <w:pStyle w:val="null3"/>
            </w:pPr>
            <w:r>
              <w:rPr/>
              <w:t>其他资格证明资料</w:t>
            </w:r>
          </w:p>
        </w:tc>
        <w:tc>
          <w:tcPr>
            <w:tcW w:type="dxa" w:w="3322"/>
          </w:tcPr>
          <w:p>
            <w:pPr>
              <w:pStyle w:val="null3"/>
            </w:pPr>
            <w:r>
              <w:rPr/>
              <w:t>供应商在社会消防技术服务信息系统中可查询;拟派项目负责人和技术负责人须持有一级注册消防工程师资格，必须为本公司注册人员，并提供本企业为其缴纳近半年连续三个月的社保缴纳证明</w:t>
            </w:r>
          </w:p>
        </w:tc>
        <w:tc>
          <w:tcPr>
            <w:tcW w:type="dxa" w:w="1661"/>
          </w:tcPr>
          <w:p>
            <w:pPr>
              <w:pStyle w:val="null3"/>
            </w:pPr>
            <w:r>
              <w:rPr/>
              <w:t>供应商资质证明资料</w:t>
            </w:r>
          </w:p>
        </w:tc>
      </w:tr>
      <w:tr>
        <w:tc>
          <w:tcPr>
            <w:tcW w:type="dxa" w:w="831"/>
          </w:tcPr>
          <w:p>
            <w:pPr>
              <w:pStyle w:val="null3"/>
            </w:pPr>
            <w:r>
              <w:rPr/>
              <w:t>7</w:t>
            </w:r>
          </w:p>
        </w:tc>
        <w:tc>
          <w:tcPr>
            <w:tcW w:type="dxa" w:w="2492"/>
          </w:tcPr>
          <w:p>
            <w:pPr>
              <w:pStyle w:val="null3"/>
            </w:pPr>
            <w:r>
              <w:rPr/>
              <w:t>中小企业声明函</w:t>
            </w:r>
          </w:p>
        </w:tc>
        <w:tc>
          <w:tcPr>
            <w:tcW w:type="dxa" w:w="3322"/>
          </w:tcPr>
          <w:p>
            <w:pPr>
              <w:pStyle w:val="null3"/>
            </w:pPr>
            <w:r>
              <w:rPr/>
              <w:t>本项目专门面向中小企业采购，供应商应提供中小企业声明函</w:t>
            </w:r>
          </w:p>
        </w:tc>
        <w:tc>
          <w:tcPr>
            <w:tcW w:type="dxa" w:w="1661"/>
          </w:tcPr>
          <w:p>
            <w:pPr>
              <w:pStyle w:val="null3"/>
            </w:pPr>
            <w:r>
              <w:rPr/>
              <w:t>中小企业声明函</w:t>
            </w:r>
          </w:p>
        </w:tc>
      </w:tr>
      <w:tr>
        <w:tc>
          <w:tcPr>
            <w:tcW w:type="dxa" w:w="831"/>
          </w:tcPr>
          <w:p>
            <w:pPr>
              <w:pStyle w:val="null3"/>
            </w:pPr>
            <w:r>
              <w:rPr/>
              <w:t>8</w:t>
            </w:r>
          </w:p>
        </w:tc>
        <w:tc>
          <w:tcPr>
            <w:tcW w:type="dxa" w:w="2492"/>
          </w:tcPr>
          <w:p>
            <w:pPr>
              <w:pStyle w:val="null3"/>
            </w:pPr>
            <w:r>
              <w:rPr/>
              <w:t>非联合体承诺书</w:t>
            </w:r>
          </w:p>
        </w:tc>
        <w:tc>
          <w:tcPr>
            <w:tcW w:type="dxa" w:w="3322"/>
          </w:tcPr>
          <w:p>
            <w:pPr>
              <w:pStyle w:val="null3"/>
            </w:pPr>
            <w:r>
              <w:rPr/>
              <w:t>本项目不接受联合体磋商</w:t>
            </w:r>
          </w:p>
        </w:tc>
        <w:tc>
          <w:tcPr>
            <w:tcW w:type="dxa" w:w="1661"/>
          </w:tcPr>
          <w:p>
            <w:pPr>
              <w:pStyle w:val="null3"/>
            </w:pPr>
            <w:r>
              <w:rPr/>
              <w:t>供应商资质证明资料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 磋商一览表</w:t>
            </w:r>
          </w:p>
        </w:tc>
      </w:tr>
      <w:tr>
        <w:tc>
          <w:tcPr>
            <w:tcW w:type="dxa" w:w="831"/>
          </w:tcPr>
          <w:p>
            <w:pPr>
              <w:pStyle w:val="null3"/>
            </w:pPr>
            <w:r>
              <w:rPr/>
              <w:t>2</w:t>
            </w:r>
          </w:p>
        </w:tc>
        <w:tc>
          <w:tcPr>
            <w:tcW w:type="dxa" w:w="2492"/>
          </w:tcPr>
          <w:p>
            <w:pPr>
              <w:pStyle w:val="null3"/>
            </w:pPr>
            <w:r>
              <w:rPr/>
              <w:t>供应商名称是否与营业执照、资质证书一致</w:t>
            </w:r>
          </w:p>
        </w:tc>
        <w:tc>
          <w:tcPr>
            <w:tcW w:type="dxa" w:w="3322"/>
          </w:tcPr>
          <w:p>
            <w:pPr>
              <w:pStyle w:val="null3"/>
            </w:pPr>
            <w:r>
              <w:rPr/>
              <w:t>供应商名称是否与营业执照、资质证书一致</w:t>
            </w:r>
          </w:p>
        </w:tc>
        <w:tc>
          <w:tcPr>
            <w:tcW w:type="dxa" w:w="1661"/>
          </w:tcPr>
          <w:p>
            <w:pPr>
              <w:pStyle w:val="null3"/>
            </w:pPr>
            <w:r>
              <w:rPr/>
              <w:t>响应文件封面 响应函 供应商资质证明资料</w:t>
            </w:r>
          </w:p>
        </w:tc>
      </w:tr>
      <w:tr>
        <w:tc>
          <w:tcPr>
            <w:tcW w:type="dxa" w:w="831"/>
          </w:tcPr>
          <w:p>
            <w:pPr>
              <w:pStyle w:val="null3"/>
            </w:pPr>
            <w:r>
              <w:rPr/>
              <w:t>3</w:t>
            </w:r>
          </w:p>
        </w:tc>
        <w:tc>
          <w:tcPr>
            <w:tcW w:type="dxa" w:w="2492"/>
          </w:tcPr>
          <w:p>
            <w:pPr>
              <w:pStyle w:val="null3"/>
            </w:pPr>
            <w:r>
              <w:rPr/>
              <w:t>响应报价</w:t>
            </w:r>
          </w:p>
        </w:tc>
        <w:tc>
          <w:tcPr>
            <w:tcW w:type="dxa" w:w="3322"/>
          </w:tcPr>
          <w:p>
            <w:pPr>
              <w:pStyle w:val="null3"/>
            </w:pPr>
            <w:r>
              <w:rPr/>
              <w:t>响应报价是否超过预算或最高限价</w:t>
            </w:r>
          </w:p>
        </w:tc>
        <w:tc>
          <w:tcPr>
            <w:tcW w:type="dxa" w:w="1661"/>
          </w:tcPr>
          <w:p>
            <w:pPr>
              <w:pStyle w:val="null3"/>
            </w:pPr>
            <w:r>
              <w:rPr/>
              <w:t>分项报价表 标的清单 报价表 磋商一览表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响应文件签字、盖章是否满足竞争性磋商文件要求</w:t>
            </w:r>
          </w:p>
        </w:tc>
        <w:tc>
          <w:tcPr>
            <w:tcW w:type="dxa" w:w="1661"/>
          </w:tcPr>
          <w:p>
            <w:pPr>
              <w:pStyle w:val="null3"/>
            </w:pPr>
            <w:r>
              <w:rPr/>
              <w:t>一楼一策综合治理方案 评估过程中的重难点分析 合理化建议 分项报价表 中小企业声明函 针对项目拟投入的人员配备 商务和技术响应偏离表 报价表 消防技术改造指导意见书 工作进度计划及服务质量保障措施 供应商业绩一览表 磋商一览表 响应文件封面 残疾人福利性单位声明函 学校消防安全管理体系制度 标的清单 安全隐患排查工作方案 学校三级消防应急预案体系构建 响应函 供应商资质证明资料 监狱企业的证明文件 消防安全评估方案</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磋商有效期是否满足竞争性磋商文件要求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商务要求</w:t>
            </w:r>
          </w:p>
        </w:tc>
        <w:tc>
          <w:tcPr>
            <w:tcW w:type="dxa" w:w="3322"/>
          </w:tcPr>
          <w:p>
            <w:pPr>
              <w:pStyle w:val="null3"/>
            </w:pPr>
            <w:r>
              <w:rPr/>
              <w:t>无与磋商文件商务要求条款不一致或增加了采购人难以接受的条款</w:t>
            </w:r>
          </w:p>
        </w:tc>
        <w:tc>
          <w:tcPr>
            <w:tcW w:type="dxa" w:w="1661"/>
          </w:tcPr>
          <w:p>
            <w:pPr>
              <w:pStyle w:val="null3"/>
            </w:pPr>
            <w:r>
              <w:rPr/>
              <w:t>商务和技术响应偏离表</w:t>
            </w:r>
          </w:p>
        </w:tc>
      </w:tr>
      <w:tr>
        <w:tc>
          <w:tcPr>
            <w:tcW w:type="dxa" w:w="831"/>
          </w:tcPr>
          <w:p>
            <w:pPr>
              <w:pStyle w:val="null3"/>
            </w:pPr>
            <w:r>
              <w:rPr/>
              <w:t>7</w:t>
            </w:r>
          </w:p>
        </w:tc>
        <w:tc>
          <w:tcPr>
            <w:tcW w:type="dxa" w:w="2492"/>
          </w:tcPr>
          <w:p>
            <w:pPr>
              <w:pStyle w:val="null3"/>
            </w:pPr>
            <w:r>
              <w:rPr/>
              <w:t>其他实质性要求</w:t>
            </w:r>
          </w:p>
        </w:tc>
        <w:tc>
          <w:tcPr>
            <w:tcW w:type="dxa" w:w="3322"/>
          </w:tcPr>
          <w:p>
            <w:pPr>
              <w:pStyle w:val="null3"/>
            </w:pPr>
            <w:r>
              <w:rPr/>
              <w:t>是否符合法律法规和磋商文件规定的其他实质性要求</w:t>
            </w:r>
          </w:p>
        </w:tc>
        <w:tc>
          <w:tcPr>
            <w:tcW w:type="dxa" w:w="1661"/>
          </w:tcPr>
          <w:p>
            <w:pPr>
              <w:pStyle w:val="null3"/>
            </w:pPr>
            <w:r>
              <w:rPr/>
              <w:t>商务和技术响应偏离表</w:t>
            </w:r>
          </w:p>
        </w:tc>
      </w:tr>
      <w:tr>
        <w:tc>
          <w:tcPr>
            <w:tcW w:type="dxa" w:w="831"/>
          </w:tcPr>
          <w:p>
            <w:pPr>
              <w:pStyle w:val="null3"/>
            </w:pPr>
            <w:r>
              <w:rPr/>
              <w:t>8</w:t>
            </w:r>
          </w:p>
        </w:tc>
        <w:tc>
          <w:tcPr>
            <w:tcW w:type="dxa" w:w="2492"/>
          </w:tcPr>
          <w:p>
            <w:pPr>
              <w:pStyle w:val="null3"/>
            </w:pPr>
            <w:r>
              <w:rPr/>
              <w:t>磋商保证金</w:t>
            </w:r>
          </w:p>
        </w:tc>
        <w:tc>
          <w:tcPr>
            <w:tcW w:type="dxa" w:w="3322"/>
          </w:tcPr>
          <w:p>
            <w:pPr>
              <w:pStyle w:val="null3"/>
            </w:pPr>
            <w:r>
              <w:rPr/>
              <w:t>是否按照磋商文件要求缴纳保证金</w:t>
            </w:r>
          </w:p>
        </w:tc>
        <w:tc>
          <w:tcPr>
            <w:tcW w:type="dxa" w:w="1661"/>
          </w:tcPr>
          <w:p>
            <w:pPr>
              <w:pStyle w:val="null3"/>
            </w:pPr>
            <w:r>
              <w:rPr/>
              <w:t>磋商保证金 保证金退还信息确认表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详细评审75.0000分</w:t>
            </w:r>
          </w:p>
          <w:p>
            <w:pPr>
              <w:pStyle w:val="null3"/>
            </w:pPr>
            <w:r>
              <w:rPr/>
              <w:t>报价得分25.0000分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安全隐患排查工作方案</w:t>
            </w:r>
          </w:p>
        </w:tc>
        <w:tc>
          <w:tcPr>
            <w:tcW w:type="dxa" w:w="2492"/>
          </w:tcPr>
          <w:p>
            <w:pPr>
              <w:pStyle w:val="null3"/>
            </w:pPr>
            <w:r>
              <w:rPr/>
              <w:t>隐患排查工作细则内容完整，隐患类型划分清晰，方案合理可行，根据方案的适宜性、合理性等情况进行综合评分: 工作方案内容全面、合理，隐患评定细则完整、评定方法合理。得6.1-8分； 工作方案内容全面，隐患评定细则较为完整、评定方法较为合理，具备一定可操作性。得3.1-6分； 隐患评定细则不完整，方案不够符合辖区实际，可操作性差。得0-3分。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安全隐患排查工作方案</w:t>
            </w:r>
          </w:p>
        </w:tc>
      </w:tr>
      <w:tr>
        <w:tc>
          <w:tcPr>
            <w:tcW w:type="dxa" w:w="831"/>
            <w:vMerge/>
          </w:tcPr>
          <w:p/>
        </w:tc>
        <w:tc>
          <w:tcPr>
            <w:tcW w:type="dxa" w:w="1661"/>
          </w:tcPr>
          <w:p>
            <w:pPr>
              <w:pStyle w:val="null3"/>
            </w:pPr>
            <w:r>
              <w:rPr/>
              <w:t>消防安全评估方案</w:t>
            </w:r>
          </w:p>
        </w:tc>
        <w:tc>
          <w:tcPr>
            <w:tcW w:type="dxa" w:w="2492"/>
          </w:tcPr>
          <w:p>
            <w:pPr>
              <w:pStyle w:val="null3"/>
            </w:pPr>
            <w:r>
              <w:rPr/>
              <w:t>根据消防安全法律法规和行业技术标准，结合校区基本情况编写消防安全评估方案，根据方案的可行性、合理性等情况进行综合评分： 评估工作方案全面、合理，可行性强，得6.1-8分； 评估工作方案全面，评估方法较合理，可行性一般，得3.1-6分； 评估工作方案不完整，合理性、可行性较差，得0-3分。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消防安全评估方案</w:t>
            </w:r>
          </w:p>
        </w:tc>
      </w:tr>
      <w:tr>
        <w:tc>
          <w:tcPr>
            <w:tcW w:type="dxa" w:w="831"/>
            <w:vMerge/>
          </w:tcPr>
          <w:p/>
        </w:tc>
        <w:tc>
          <w:tcPr>
            <w:tcW w:type="dxa" w:w="1661"/>
          </w:tcPr>
          <w:p>
            <w:pPr>
              <w:pStyle w:val="null3"/>
            </w:pPr>
            <w:r>
              <w:rPr/>
              <w:t>一楼一策综合治理方案</w:t>
            </w:r>
          </w:p>
        </w:tc>
        <w:tc>
          <w:tcPr>
            <w:tcW w:type="dxa" w:w="2492"/>
          </w:tcPr>
          <w:p>
            <w:pPr>
              <w:pStyle w:val="null3"/>
            </w:pPr>
            <w:r>
              <w:rPr/>
              <w:t>针对校区各建筑进行综合调研，流程规范、方案合理，对情况了解，根据方案的适宜性、合理性等情况进行综合评分： 符合学校实际，方案合理，目标明确，调研方法与流程规范，工作方案切实可行得 6.1-8分； 工作方案具备一定的可操作性得 3.1-6分； 方案可操作性差得 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一楼一策综合治理方案</w:t>
            </w:r>
          </w:p>
        </w:tc>
      </w:tr>
      <w:tr>
        <w:tc>
          <w:tcPr>
            <w:tcW w:type="dxa" w:w="831"/>
            <w:vMerge/>
          </w:tcPr>
          <w:p/>
        </w:tc>
        <w:tc>
          <w:tcPr>
            <w:tcW w:type="dxa" w:w="1661"/>
          </w:tcPr>
          <w:p>
            <w:pPr>
              <w:pStyle w:val="null3"/>
            </w:pPr>
            <w:r>
              <w:rPr/>
              <w:t>学校消防安全管理体系制度</w:t>
            </w:r>
          </w:p>
        </w:tc>
        <w:tc>
          <w:tcPr>
            <w:tcW w:type="dxa" w:w="2492"/>
          </w:tcPr>
          <w:p>
            <w:pPr>
              <w:pStyle w:val="null3"/>
            </w:pPr>
            <w:r>
              <w:rPr/>
              <w:t>体系制度明确，方案合理，根据方案的适宜性、合理性等情况进行综合评分： 体系制度明确，方案合理，切实可行得 6.1-8分； 体系制度明确，方案较合理，可行性一般得 3.1-6分； 体系制度模糊，方案合理性、可行性较差得 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学校消防安全管理体系制度</w:t>
            </w:r>
          </w:p>
        </w:tc>
      </w:tr>
      <w:tr>
        <w:tc>
          <w:tcPr>
            <w:tcW w:type="dxa" w:w="831"/>
            <w:vMerge/>
          </w:tcPr>
          <w:p/>
        </w:tc>
        <w:tc>
          <w:tcPr>
            <w:tcW w:type="dxa" w:w="1661"/>
          </w:tcPr>
          <w:p>
            <w:pPr>
              <w:pStyle w:val="null3"/>
            </w:pPr>
            <w:r>
              <w:rPr/>
              <w:t>学校三级消防应急预案体系构建</w:t>
            </w:r>
          </w:p>
        </w:tc>
        <w:tc>
          <w:tcPr>
            <w:tcW w:type="dxa" w:w="2492"/>
          </w:tcPr>
          <w:p>
            <w:pPr>
              <w:pStyle w:val="null3"/>
            </w:pPr>
            <w:r>
              <w:rPr/>
              <w:t>各级职能清晰，流程规范、方案合理，根据构建方案的合理性、可行性等情况进行综合评分： 各级职能清晰，方案合理、切实可行得 6.1-8分； 各级职能清晰，方案较合理，可行性一般得 3.1-6分； 各级职能不清晰，方案合理性、可行性较差得 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学校三级消防应急预案体系构建</w:t>
            </w:r>
          </w:p>
        </w:tc>
      </w:tr>
      <w:tr>
        <w:tc>
          <w:tcPr>
            <w:tcW w:type="dxa" w:w="831"/>
            <w:vMerge/>
          </w:tcPr>
          <w:p/>
        </w:tc>
        <w:tc>
          <w:tcPr>
            <w:tcW w:type="dxa" w:w="1661"/>
          </w:tcPr>
          <w:p>
            <w:pPr>
              <w:pStyle w:val="null3"/>
            </w:pPr>
            <w:r>
              <w:rPr/>
              <w:t>消防技术改造指导意见书</w:t>
            </w:r>
          </w:p>
        </w:tc>
        <w:tc>
          <w:tcPr>
            <w:tcW w:type="dxa" w:w="2492"/>
          </w:tcPr>
          <w:p>
            <w:pPr>
              <w:pStyle w:val="null3"/>
            </w:pPr>
            <w:r>
              <w:rPr/>
              <w:t>针对校区各建筑进行综合调研，编写消防技术改造指导意见书，根据方案的合理性、可行性等情况进行综合评分： 方案合理，作方案切实可行。得4.1-5分； 方案较合理，工作方案具备一定的可行性。得2.1-4分； 方案合理性较差，方案可操作性差。得0-2分。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消防技术改造指导意见书</w:t>
            </w:r>
          </w:p>
        </w:tc>
      </w:tr>
      <w:tr>
        <w:tc>
          <w:tcPr>
            <w:tcW w:type="dxa" w:w="831"/>
            <w:vMerge/>
          </w:tcPr>
          <w:p/>
        </w:tc>
        <w:tc>
          <w:tcPr>
            <w:tcW w:type="dxa" w:w="1661"/>
          </w:tcPr>
          <w:p>
            <w:pPr>
              <w:pStyle w:val="null3"/>
            </w:pPr>
            <w:r>
              <w:rPr/>
              <w:t>评估过程中的重难点分析</w:t>
            </w:r>
          </w:p>
        </w:tc>
        <w:tc>
          <w:tcPr>
            <w:tcW w:type="dxa" w:w="2492"/>
          </w:tcPr>
          <w:p>
            <w:pPr>
              <w:pStyle w:val="null3"/>
            </w:pPr>
            <w:r>
              <w:rPr/>
              <w:t>对本项目实施过程的重点难点能够全面把握，分析透彻全面，并且有可行的解决方案的得8.1-12分; 对本项目实施过程的重点难点把握基本全面，采用的解决方案合理性，可行性一般的得4.1-8分; 对本项目实施过程的重点难点把握不清，解决方案的合理性和可行性较差的得0-4分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评估过程中的重难点分析</w:t>
            </w:r>
          </w:p>
        </w:tc>
      </w:tr>
      <w:tr>
        <w:tc>
          <w:tcPr>
            <w:tcW w:type="dxa" w:w="831"/>
            <w:vMerge/>
          </w:tcPr>
          <w:p/>
        </w:tc>
        <w:tc>
          <w:tcPr>
            <w:tcW w:type="dxa" w:w="1661"/>
          </w:tcPr>
          <w:p>
            <w:pPr>
              <w:pStyle w:val="null3"/>
            </w:pPr>
            <w:r>
              <w:rPr/>
              <w:t>针对项目拟投入的人员配备</w:t>
            </w:r>
          </w:p>
        </w:tc>
        <w:tc>
          <w:tcPr>
            <w:tcW w:type="dxa" w:w="2492"/>
          </w:tcPr>
          <w:p>
            <w:pPr>
              <w:pStyle w:val="null3"/>
            </w:pPr>
            <w:r>
              <w:rPr/>
              <w:t>供应商针对本项目提供项目管理组织架构及项目组人员配备情况明细表，项目负责人及项目组成员具有相关经验，并能提供相关证明材料（包含详细的人员信息、社保、相关资质等内容，在服务期内所提供人员不可变更）。 1.项目组成员（不含项目负责人、技术负责人）具有一级注册消防工程师资格每提供一人得0.5分，最高得4分。 2.项目组成员（不含项目负责人、技术负责人）具有（暖通、给排水、电气、自动化）专业中级职称及以上（含中级），每提供1人得0.5分，最高得4分。 评审依据：以上2项人员证书不可重复，并提供本单位2023年6月至今任意三个月的社保缴纳证明。</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针对项目拟投入的人员配备</w:t>
            </w:r>
          </w:p>
        </w:tc>
      </w:tr>
      <w:tr>
        <w:tc>
          <w:tcPr>
            <w:tcW w:type="dxa" w:w="831"/>
            <w:vMerge/>
          </w:tcPr>
          <w:p/>
        </w:tc>
        <w:tc>
          <w:tcPr>
            <w:tcW w:type="dxa" w:w="1661"/>
          </w:tcPr>
          <w:p>
            <w:pPr>
              <w:pStyle w:val="null3"/>
            </w:pPr>
            <w:r>
              <w:rPr/>
              <w:t>工作进度计划及服务质量保障措施</w:t>
            </w:r>
          </w:p>
        </w:tc>
        <w:tc>
          <w:tcPr>
            <w:tcW w:type="dxa" w:w="2492"/>
          </w:tcPr>
          <w:p>
            <w:pPr>
              <w:pStyle w:val="null3"/>
            </w:pPr>
            <w:r>
              <w:rPr/>
              <w:t>工作进度计划和服务质量统筹部署，相关工作安排可操作性强，满足工作进度和质量要求，服务质量保障措施详细、合理、完善，得4.1-5分； 考虑了工作进度计划和服务质量保障，相关工作安排具有可操作性，基本满足工作进度和质量要求，服务质量保障措施内容较为具体，得2.1-4分； 未将工作进度计划和服务质量保障统筹考虑，相关工作安排可操作性差，难以满足工作进度和质量要求，服务质量保障措施的内容不具体，得0-2分。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工作进度计划及服务质量保障措施</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供应商针对本项目提供的其他合理化建议及意见，确保服务工作的优质高效。根据所提建议横向比较：计0-3分，未提供不计分。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合理化建议</w:t>
            </w:r>
          </w:p>
        </w:tc>
      </w:tr>
      <w:tr>
        <w:tc>
          <w:tcPr>
            <w:tcW w:type="dxa" w:w="831"/>
            <w:vMerge/>
          </w:tcPr>
          <w:p/>
        </w:tc>
        <w:tc>
          <w:tcPr>
            <w:tcW w:type="dxa" w:w="1661"/>
          </w:tcPr>
          <w:p>
            <w:pPr>
              <w:pStyle w:val="null3"/>
            </w:pPr>
            <w:r>
              <w:rPr/>
              <w:t>业绩</w:t>
            </w:r>
          </w:p>
        </w:tc>
        <w:tc>
          <w:tcPr>
            <w:tcW w:type="dxa" w:w="2492"/>
          </w:tcPr>
          <w:p>
            <w:pPr>
              <w:pStyle w:val="null3"/>
            </w:pPr>
            <w:r>
              <w:rPr/>
              <w:t>1.供应商提供（2021年01月01日至今）具有类似项目业绩，每提供 1份得0.5分，满分1分（业绩以中标通知书及合同协议书为准，时间以中标通知书发出时间或合同签订时间为准）。 2. 供应商提供（2021年01月01日至今）项目负责人或项目技术负责人具有类似项目业绩，每提供 1份得0.5分，满分1分（业绩以单位出具消防安全评估报告或社会消防技术服务信息系统查询截图为准）。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供应商业绩一览表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有效报价中的最低价为评标基准价，按照下列公式计算每个供应商的投标价格得分。 报价得分＝（评标基准价/最终报价）×25。 注：采购人认为供应商提交投标报价过低，不能按质按量满足项目需求时，有权要求供应商对报价做出详细说明，否则视为废标。</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详见附件：安全隐患排查工作方案</w:t>
      </w:r>
    </w:p>
    <w:p>
      <w:pPr>
        <w:pStyle w:val="null3"/>
        <w:ind w:firstLine="960"/>
      </w:pPr>
      <w:r>
        <w:rPr/>
        <w:t>详见附件：消防安全评估方案</w:t>
      </w:r>
    </w:p>
    <w:p>
      <w:pPr>
        <w:pStyle w:val="null3"/>
        <w:ind w:firstLine="960"/>
      </w:pPr>
      <w:r>
        <w:rPr/>
        <w:t>详见附件：一楼一策综合治理方案</w:t>
      </w:r>
    </w:p>
    <w:p>
      <w:pPr>
        <w:pStyle w:val="null3"/>
        <w:ind w:firstLine="960"/>
      </w:pPr>
      <w:r>
        <w:rPr/>
        <w:t>详见附件：学校消防安全管理体系制度</w:t>
      </w:r>
    </w:p>
    <w:p>
      <w:pPr>
        <w:pStyle w:val="null3"/>
        <w:ind w:firstLine="960"/>
      </w:pPr>
      <w:r>
        <w:rPr/>
        <w:t>详见附件：学校三级消防应急预案体系构建</w:t>
      </w:r>
    </w:p>
    <w:p>
      <w:pPr>
        <w:pStyle w:val="null3"/>
        <w:ind w:firstLine="960"/>
      </w:pPr>
      <w:r>
        <w:rPr/>
        <w:t>详见附件：消防技术改造指导意见书</w:t>
      </w:r>
    </w:p>
    <w:p>
      <w:pPr>
        <w:pStyle w:val="null3"/>
        <w:ind w:firstLine="960"/>
      </w:pPr>
      <w:r>
        <w:rPr/>
        <w:t>详见附件：评估过程中的重难点分析</w:t>
      </w:r>
    </w:p>
    <w:p>
      <w:pPr>
        <w:pStyle w:val="null3"/>
        <w:ind w:firstLine="960"/>
      </w:pPr>
      <w:r>
        <w:rPr/>
        <w:t>详见附件：针对项目拟投入的人员配备</w:t>
      </w:r>
    </w:p>
    <w:p>
      <w:pPr>
        <w:pStyle w:val="null3"/>
        <w:ind w:firstLine="960"/>
      </w:pPr>
      <w:r>
        <w:rPr/>
        <w:t>详见附件：工作进度计划及服务质量保障措施</w:t>
      </w:r>
    </w:p>
    <w:p>
      <w:pPr>
        <w:pStyle w:val="null3"/>
        <w:ind w:firstLine="960"/>
      </w:pPr>
      <w:r>
        <w:rPr/>
        <w:t>详见附件：合理化建议</w:t>
      </w:r>
    </w:p>
    <w:p>
      <w:pPr>
        <w:pStyle w:val="null3"/>
        <w:ind w:firstLine="960"/>
      </w:pPr>
      <w:r>
        <w:rPr/>
        <w:t>详见附件：供应商业绩一览表</w:t>
      </w:r>
    </w:p>
    <w:p>
      <w:pPr>
        <w:pStyle w:val="null3"/>
        <w:ind w:firstLine="960"/>
      </w:pPr>
      <w:r>
        <w:rPr/>
        <w:t>详见附件：磋商保证金</w:t>
      </w:r>
    </w:p>
    <w:p>
      <w:pPr>
        <w:pStyle w:val="null3"/>
        <w:ind w:firstLine="960"/>
      </w:pPr>
      <w:r>
        <w:rPr/>
        <w:t>详见附件：保证金退还信息确认表</w:t>
      </w:r>
    </w:p>
    <w:p>
      <w:pPr>
        <w:pStyle w:val="null3"/>
        <w:ind w:firstLine="960"/>
      </w:pPr>
      <w:r>
        <w:rPr/>
        <w:t>详见附件：磋商一览表</w:t>
      </w:r>
    </w:p>
    <w:p>
      <w:pPr>
        <w:pStyle w:val="null3"/>
        <w:ind w:firstLine="960"/>
      </w:pPr>
      <w:r>
        <w:rPr/>
        <w:t>详见附件：分项报价表</w:t>
      </w:r>
    </w:p>
    <w:p>
      <w:pPr>
        <w:pStyle w:val="null3"/>
        <w:ind w:firstLine="960"/>
      </w:pPr>
      <w:r>
        <w:rPr/>
        <w:t>详见附件：供应商资质证明资料</w:t>
      </w:r>
    </w:p>
    <w:p>
      <w:pPr>
        <w:pStyle w:val="null3"/>
        <w:ind w:firstLine="960"/>
      </w:pPr>
      <w:r>
        <w:rPr/>
        <w:t>详见附件：商务和技术响应偏离表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详见附件：参考合同.docx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