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开展陕西福彩“福暖三秦”全媒体公益营销宣传活动项目</w:t>
      </w:r>
    </w:p>
    <w:p>
      <w:pPr>
        <w:pStyle w:val="null3"/>
        <w:jc w:val="center"/>
        <w:outlineLvl w:val="2"/>
      </w:pPr>
      <w:r>
        <w:rPr>
          <w:sz w:val="28"/>
          <w:b/>
        </w:rPr>
        <w:t>采购项目编号：</w:t>
      </w:r>
      <w:r>
        <w:rPr>
          <w:sz w:val="28"/>
          <w:b/>
        </w:rPr>
        <w:t>SDZC2024-143</w:t>
      </w:r>
      <w:r>
        <w:br/>
      </w:r>
      <w:r>
        <w:br/>
      </w:r>
      <w:r>
        <w:br/>
      </w:r>
    </w:p>
    <w:p>
      <w:pPr>
        <w:pStyle w:val="null3"/>
        <w:jc w:val="center"/>
        <w:outlineLvl w:val="2"/>
      </w:pPr>
      <w:r>
        <w:rPr>
          <w:sz w:val="28"/>
          <w:b/>
        </w:rPr>
        <w:t>陕西省福利彩票发行中心</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2024年07月11日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陕西上德招标有限公司</w:t>
      </w:r>
      <w:r>
        <w:rPr/>
        <w:t>（以下简称“代理机构”）受</w:t>
      </w:r>
      <w:r>
        <w:rPr/>
        <w:t>陕西省福利彩票发行中心</w:t>
      </w:r>
      <w:r>
        <w:rPr/>
        <w:t>委托，拟对</w:t>
      </w:r>
      <w:r>
        <w:rPr/>
        <w:t>开展陕西福彩“福暖三秦”全媒体公益营销宣传活动项目</w:t>
      </w:r>
      <w:r>
        <w:rPr/>
        <w:t>采用竞争性磋商采购方式进行采购，兹邀请供应商参加本项目的竞争性磋商。</w:t>
      </w:r>
    </w:p>
    <w:p>
      <w:pPr>
        <w:pStyle w:val="null3"/>
        <w:outlineLvl w:val="2"/>
      </w:pPr>
      <w:r>
        <w:rPr>
          <w:sz w:val="28"/>
          <w:b/>
        </w:rPr>
        <w:t>一、项目编号：</w:t>
      </w:r>
      <w:r>
        <w:rPr>
          <w:sz w:val="28"/>
          <w:b/>
        </w:rPr>
        <w:t>SDZC2024-143</w:t>
      </w:r>
    </w:p>
    <w:p>
      <w:pPr>
        <w:pStyle w:val="null3"/>
        <w:outlineLvl w:val="2"/>
      </w:pPr>
      <w:r>
        <w:rPr>
          <w:sz w:val="28"/>
          <w:b/>
        </w:rPr>
        <w:t>二、项目名称：</w:t>
      </w:r>
      <w:r>
        <w:rPr>
          <w:sz w:val="28"/>
          <w:b/>
        </w:rPr>
        <w:t>开展陕西福彩“福暖三秦”全媒体公益营销宣传活动项目</w:t>
      </w:r>
    </w:p>
    <w:p>
      <w:pPr>
        <w:pStyle w:val="null3"/>
        <w:outlineLvl w:val="2"/>
      </w:pPr>
      <w:r>
        <w:rPr>
          <w:sz w:val="28"/>
          <w:b/>
        </w:rPr>
        <w:t>三、磋商项目简介</w:t>
      </w:r>
    </w:p>
    <w:p>
      <w:pPr>
        <w:pStyle w:val="null3"/>
        <w:ind w:firstLine="480"/>
      </w:pPr>
      <w:r>
        <w:rPr/>
        <w:t>开展陕西福彩“福暖三秦”全媒体公益营销宣传活动项目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采购包1（开展陕西福彩“福暖三秦”全媒体公益营销宣传活动项目）：属于专门面向中小企业采购。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认可的担保函；</w:t>
      </w:r>
    </w:p>
    <w:p>
      <w:pPr>
        <w:pStyle w:val="null3"/>
      </w:pPr>
      <w:r>
        <w:rPr/>
        <w:t>3、税收缴纳证明：税收缴纳证明：提供截止至开标时间前六个月内任意一个月的缴纳凭据；（增值税、企业所得税至少提供一种，依法免税的供应商应提供相关文件证明）；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5、具有履行本合同所必需的设备和专业技术能力的说明及承诺：提供具有履行本合同所必需的设备和专业技术能力的说明及承诺（提供书面说明及承诺，加盖供应商公章）；</w:t>
      </w:r>
    </w:p>
    <w:p>
      <w:pPr>
        <w:pStyle w:val="null3"/>
      </w:pPr>
      <w:r>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7、磋商担保：磋商保证金交纳凭证或担保函；（磋商保证交纳金凭证为银行凭证及基本账户证明资料，担保函为财政部门认可的政府采购信用担保机构出具）</w:t>
      </w:r>
    </w:p>
    <w:p>
      <w:pPr>
        <w:pStyle w:val="null3"/>
      </w:pPr>
      <w:r>
        <w:rPr/>
        <w:t>8、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响应文件格式）；</w:t>
      </w:r>
    </w:p>
    <w:p>
      <w:pPr>
        <w:pStyle w:val="null3"/>
      </w:pPr>
      <w:r>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t>10、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陕西省福利彩票发行中心</w:t>
      </w:r>
    </w:p>
    <w:p>
      <w:pPr>
        <w:pStyle w:val="null3"/>
      </w:pPr>
      <w:r>
        <w:rPr/>
        <w:t xml:space="preserve"> 地址： </w:t>
      </w:r>
      <w:r>
        <w:rPr/>
        <w:t>西安市未央路副102号</w:t>
      </w:r>
    </w:p>
    <w:p>
      <w:pPr>
        <w:pStyle w:val="null3"/>
      </w:pPr>
      <w:r>
        <w:rPr/>
        <w:t xml:space="preserve"> 邮编： </w:t>
      </w:r>
      <w:r>
        <w:rPr/>
        <w:t>710016</w:t>
      </w:r>
    </w:p>
    <w:p>
      <w:pPr>
        <w:pStyle w:val="null3"/>
      </w:pPr>
      <w:r>
        <w:rPr/>
        <w:t xml:space="preserve"> 联系人： </w:t>
      </w:r>
      <w:r>
        <w:rPr/>
        <w:t>王老师</w:t>
      </w:r>
    </w:p>
    <w:p>
      <w:pPr>
        <w:pStyle w:val="null3"/>
      </w:pPr>
      <w:r>
        <w:rPr/>
        <w:t xml:space="preserve"> 联系电话： </w:t>
      </w:r>
      <w:r>
        <w:rPr/>
        <w:t>029-68742256</w:t>
      </w:r>
    </w:p>
    <w:p>
      <w:pPr>
        <w:pStyle w:val="null3"/>
        <w:outlineLvl w:val="3"/>
      </w:pPr>
      <w:r>
        <w:rPr>
          <w:sz w:val="24"/>
          <w:b/>
        </w:rPr>
        <w:t>代理机构：</w:t>
      </w:r>
      <w:r>
        <w:rPr>
          <w:sz w:val="24"/>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710018</w:t>
      </w:r>
    </w:p>
    <w:p>
      <w:pPr>
        <w:pStyle w:val="null3"/>
      </w:pPr>
      <w:r>
        <w:rPr/>
        <w:t xml:space="preserve"> 联系人： </w:t>
      </w:r>
      <w:r>
        <w:rPr/>
        <w:t>赵倩茹（9号工位）周荣荣</w:t>
      </w:r>
    </w:p>
    <w:p>
      <w:pPr>
        <w:pStyle w:val="null3"/>
      </w:pPr>
      <w:r>
        <w:rPr/>
        <w:t xml:space="preserve"> 联系电话： </w:t>
      </w:r>
      <w:r>
        <w:rPr/>
        <w:t>029-86673953/86518381/89299829/89293231转8009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采购包1保证金金额：29,000.00元</w:t>
            </w:r>
          </w:p>
          <w:p>
            <w:pPr>
              <w:pStyle w:val="null3"/>
            </w:pPr>
            <w:r>
              <w:rPr/>
              <w:t>缴交渠道：电子保函,转账、支票、汇票等（需通过实体账户、户名及开户行信息）</w:t>
            </w:r>
          </w:p>
          <w:p>
            <w:pPr>
              <w:pStyle w:val="null3"/>
            </w:pPr>
            <w:r>
              <w:rPr/>
              <w:t>开户名称：陕西上德招标有限公司</w:t>
            </w:r>
          </w:p>
          <w:p>
            <w:pPr>
              <w:pStyle w:val="null3"/>
            </w:pPr>
            <w:r>
              <w:rPr/>
              <w:t>开户银行：西安银行股份有限公司文景路支行</w:t>
            </w:r>
          </w:p>
          <w:p>
            <w:pPr>
              <w:pStyle w:val="null3"/>
            </w:pPr>
            <w:r>
              <w:rPr/>
              <w:t>银行账号：707011510000013522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陕西省福利彩票发行中心</w:t>
      </w:r>
      <w:r>
        <w:rPr/>
        <w:t>和</w:t>
      </w:r>
      <w:r>
        <w:rPr/>
        <w:t>陕西上德招标有限公司</w:t>
      </w:r>
      <w:r>
        <w:rPr/>
        <w:t>享有。对磋商文件中供应商参加本次政府采购活动应当具备的条件，磋商项目技术、服务、商务及其他要求，评审细则及标准由</w:t>
      </w:r>
      <w:r>
        <w:rPr/>
        <w:t>陕西省福利彩票发行中心</w:t>
      </w:r>
      <w:r>
        <w:rPr/>
        <w:t>负责解释。除上述磋商文件内容，其他内容由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陕西省福利彩票发行中心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合同约定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联系人：赵倩茹（9号工位）</w:t>
      </w:r>
    </w:p>
    <w:p>
      <w:pPr>
        <w:pStyle w:val="null3"/>
      </w:pPr>
      <w:r>
        <w:rPr/>
        <w:t>联系电话：029-89293231、86673953转8009</w:t>
      </w:r>
    </w:p>
    <w:p>
      <w:pPr>
        <w:pStyle w:val="null3"/>
      </w:pPr>
      <w:r>
        <w:rPr/>
        <w:t>地址：西安市经开区凤城八路正尚国际金融广场A座7层703(张家堡转盘东南角)</w:t>
      </w:r>
    </w:p>
    <w:p>
      <w:pPr>
        <w:pStyle w:val="null3"/>
      </w:pPr>
      <w:r>
        <w:rPr/>
        <w:t>邮编：710018</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开展“情暖三秦”全媒体公益营销宣传活动项目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1,450,000.00</w:t>
      </w:r>
    </w:p>
    <w:p>
      <w:pPr>
        <w:pStyle w:val="null3"/>
      </w:pPr>
      <w:r>
        <w:rPr/>
        <w:t>采购包最高限价（元）: 1,450,000.00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开展陕西福彩“福暖三秦”全媒体 公益营销宣传活动</w:t>
            </w:r>
          </w:p>
        </w:tc>
        <w:tc>
          <w:tcPr>
            <w:tcW w:type="dxa" w:w="831"/>
          </w:tcPr>
          <w:p>
            <w:pPr>
              <w:pStyle w:val="null3"/>
              <w:jc w:val="right"/>
            </w:pPr>
            <w:r>
              <w:rPr/>
              <w:t>1.00</w:t>
            </w:r>
          </w:p>
        </w:tc>
        <w:tc>
          <w:tcPr>
            <w:tcW w:type="dxa" w:w="831"/>
          </w:tcPr>
          <w:p>
            <w:pPr>
              <w:pStyle w:val="null3"/>
              <w:jc w:val="right"/>
            </w:pPr>
            <w:r>
              <w:rPr/>
              <w:t>1,450,000.00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标的名称：开展陕西福彩“福暖三秦”全媒体 公益营销宣传活动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2"/>
            </w:pPr>
            <w:r>
              <w:rPr/>
              <w:t>（一） “爱在三秦”公益行主题宣传：</w:t>
            </w:r>
          </w:p>
          <w:p>
            <w:pPr>
              <w:pStyle w:val="null3"/>
            </w:pPr>
            <w:r>
              <w:rPr/>
              <w:t>活动执行：</w:t>
            </w:r>
          </w:p>
          <w:p>
            <w:pPr>
              <w:pStyle w:val="null3"/>
            </w:pPr>
            <w:r>
              <w:rPr/>
              <w:t>1.供应商需具备丰富的活动策划和组织经验，在该项目中负责组织1次走进福彩公益金资助项目宣传活动，对近年来福彩公益金资助的重点项目进行实地采访报道，内容围绕以养老、儿童、社区、公益驿站、社会组织等主题，进行地市的宣传活动方案策划。方案需邀请中省主流媒体记者和网络媒体大V，策划内容含活动主题、时间、地点、执行团队（含导演、创意策划师、平面设计师、摄影师、摄像师、导播）等，确保全年地市活动的落地执行。</w:t>
            </w:r>
          </w:p>
          <w:p>
            <w:pPr>
              <w:pStyle w:val="null3"/>
            </w:pPr>
            <w:r>
              <w:rPr/>
              <w:t>2.活动方案应确保活动内容符合福彩公益金的使用宗旨和宣传要求。</w:t>
            </w:r>
          </w:p>
          <w:p>
            <w:pPr>
              <w:pStyle w:val="null3"/>
            </w:pPr>
            <w:r>
              <w:rPr/>
              <w:t>3.供应商应负责活动的全程组织和执行，包括场地布置、设备租赁、人员安排等。活动现场拍摄机位不少于3个，录制视频采用H.264编码，分辨率不低于2K，所有活动素材需存档备份移交给采购人。</w:t>
            </w:r>
          </w:p>
          <w:p>
            <w:pPr>
              <w:pStyle w:val="null3"/>
            </w:pPr>
            <w:r>
              <w:rPr/>
              <w:t>4.单次活动结束后，供应商应按要求向采购人提交活动总结报告，内容包括活动效果、参与人数、媒体报道等情况。</w:t>
            </w:r>
          </w:p>
          <w:p>
            <w:pPr>
              <w:pStyle w:val="null3"/>
            </w:pPr>
            <w:r>
              <w:rPr/>
              <w:t>5.活动费用包括媒体行食宿、保险、车辆租赁、辅料和物资配备、视频图文设计制作等。</w:t>
            </w:r>
          </w:p>
          <w:p>
            <w:pPr>
              <w:pStyle w:val="null3"/>
            </w:pPr>
            <w:r>
              <w:rPr/>
              <w:t>媒体宣传：</w:t>
            </w:r>
          </w:p>
          <w:p>
            <w:pPr>
              <w:pStyle w:val="null3"/>
            </w:pPr>
            <w:r>
              <w:rPr/>
              <w:t>1.供应商负责邀请到主流媒体记者和网络媒体大 V （粉丝数量不低于10万）参与活动,主流媒体包括陕西日报、陕西广播电视台、华商报等不低于10家媒体。</w:t>
            </w:r>
          </w:p>
          <w:p>
            <w:pPr>
              <w:pStyle w:val="null3"/>
            </w:pPr>
            <w:r>
              <w:rPr/>
              <w:t>2.供应商邀请的媒体应来自于报纸、电视台、网站、社交媒体等不同类型，在活动前应向采购人提供媒体邀请名单和报道计划。全年安排不低于30次宣传或报道，确保宣传的覆盖面和影响力。</w:t>
            </w:r>
          </w:p>
          <w:p>
            <w:pPr>
              <w:pStyle w:val="null3"/>
            </w:pPr>
            <w:r>
              <w:rPr/>
              <w:t>3.供应商应负责与采购人及媒体的沟通和协调，确保媒体的报道质量和及时性及完整性。</w:t>
            </w:r>
          </w:p>
          <w:p>
            <w:pPr>
              <w:pStyle w:val="null3"/>
            </w:pPr>
            <w:r>
              <w:rPr/>
              <w:t>主题策划：</w:t>
            </w:r>
          </w:p>
          <w:p>
            <w:pPr>
              <w:pStyle w:val="null3"/>
            </w:pPr>
            <w:r>
              <w:rPr/>
              <w:t>1.供应商应根据不同地市的特点和需求，制定个性化的主题策划方案，包括养老、儿童、社区、公益驿站、社会组织等主题。</w:t>
            </w:r>
          </w:p>
          <w:p>
            <w:pPr>
              <w:pStyle w:val="null3"/>
            </w:pPr>
            <w:r>
              <w:rPr/>
              <w:t>2.主题策划方案应突出福彩公益金的使用效果和社会效益，具有较强的吸引力和感染力。</w:t>
            </w:r>
          </w:p>
          <w:p>
            <w:pPr>
              <w:pStyle w:val="null3"/>
            </w:pPr>
            <w:r>
              <w:rPr/>
              <w:t>3.供应商应负责主题策划方案的实施和执行，确保宣传内容的针对性和实效性。</w:t>
            </w:r>
          </w:p>
          <w:p>
            <w:pPr>
              <w:pStyle w:val="null3"/>
            </w:pPr>
            <w:r>
              <w:rPr/>
              <w:t>实地采访报道：</w:t>
            </w:r>
          </w:p>
          <w:p>
            <w:pPr>
              <w:pStyle w:val="null3"/>
            </w:pPr>
            <w:r>
              <w:rPr/>
              <w:t>1.供应商需安排专业的采访团队（含导演、主持人、摄像师、收音师、灯光师等），对福彩公益金资助的重点项目进行深入实地采访。</w:t>
            </w:r>
          </w:p>
          <w:p>
            <w:pPr>
              <w:pStyle w:val="null3"/>
            </w:pPr>
            <w:r>
              <w:rPr/>
              <w:t>2.供应商团队应具备丰富的采访经验和专业的摄影摄像设备，能够拍摄高质量的采访素材。供应商负责采访素材的整理和编辑，撰写高质量的新闻稿件，经采购人审核后在相关媒体上进行广泛宣传报道。</w:t>
            </w:r>
          </w:p>
          <w:p>
            <w:pPr>
              <w:pStyle w:val="null3"/>
            </w:pPr>
            <w:r>
              <w:rPr/>
              <w:t>3.供应商应在活动结束后向采购人提交实地采访报道汇总，包括不限于采访稿件、图片、视频等素材。</w:t>
            </w:r>
          </w:p>
          <w:p>
            <w:pPr>
              <w:pStyle w:val="null3"/>
            </w:pPr>
            <w:r>
              <w:rPr/>
              <w:t>（二）短视频宣传</w:t>
            </w:r>
          </w:p>
          <w:p>
            <w:pPr>
              <w:pStyle w:val="null3"/>
            </w:pPr>
            <w:r>
              <w:rPr/>
              <w:t>视频策划：</w:t>
            </w:r>
          </w:p>
          <w:p>
            <w:pPr>
              <w:pStyle w:val="null3"/>
            </w:pPr>
            <w:r>
              <w:rPr/>
              <w:t>1.供应商需具备专业的视频策划和创意能力，能够根据福彩公益品牌形象和宣传需求，制定新颖、独特的执行方案。</w:t>
            </w:r>
          </w:p>
          <w:p>
            <w:pPr>
              <w:pStyle w:val="null3"/>
            </w:pPr>
            <w:r>
              <w:rPr/>
              <w:t>2.视频拍摄方案应包括视频主题、文案脚本、执行规划等详细内容。</w:t>
            </w:r>
          </w:p>
          <w:p>
            <w:pPr>
              <w:pStyle w:val="null3"/>
            </w:pPr>
            <w:r>
              <w:rPr/>
              <w:t>视频拍摄与制作：</w:t>
            </w:r>
          </w:p>
          <w:p>
            <w:pPr>
              <w:pStyle w:val="null3"/>
            </w:pPr>
            <w:r>
              <w:rPr/>
              <w:t>1.供应商应配备专业的拍摄设备和制作团队，能够拍摄制作高质量的公益主题短视频，全年完成包括精品长视频版本15部和普通短视频版本30部。</w:t>
            </w:r>
          </w:p>
          <w:p>
            <w:pPr>
              <w:pStyle w:val="null3"/>
            </w:pPr>
            <w:r>
              <w:rPr/>
              <w:t>2.精品长视频版本单部时长不低于3分钟，普通短视频单部时长不低于1 分钟。</w:t>
            </w:r>
          </w:p>
          <w:p>
            <w:pPr>
              <w:pStyle w:val="null3"/>
            </w:pPr>
            <w:r>
              <w:rPr/>
              <w:t>3.供应商视频制作应采用全高清模式制作，成片分辨率不低于1080P，视频格式能够满足各类型平台的播放要求。</w:t>
            </w:r>
          </w:p>
          <w:p>
            <w:pPr>
              <w:pStyle w:val="null3"/>
            </w:pPr>
            <w:r>
              <w:rPr/>
              <w:t>4.供应商要制作专用的形象ip及片头片尾等。</w:t>
            </w:r>
          </w:p>
          <w:p>
            <w:pPr>
              <w:pStyle w:val="null3"/>
            </w:pPr>
            <w:r>
              <w:rPr/>
              <w:t>视频版权：</w:t>
            </w:r>
          </w:p>
          <w:p>
            <w:pPr>
              <w:pStyle w:val="null3"/>
            </w:pPr>
            <w:r>
              <w:rPr/>
              <w:t>1.供应商所制作的视频均为原创视频，不涉及任何版权问题，确保视频的合法性和安全性。</w:t>
            </w:r>
          </w:p>
          <w:p>
            <w:pPr>
              <w:pStyle w:val="null3"/>
            </w:pPr>
            <w:r>
              <w:rPr/>
              <w:t>2.供应商应在响应文件中提供视频版权声明，以证明其视频的合法性。</w:t>
            </w:r>
          </w:p>
          <w:p>
            <w:pPr>
              <w:pStyle w:val="null3"/>
            </w:pPr>
            <w:r>
              <w:rPr/>
              <w:t>视频审核与修改：</w:t>
            </w:r>
          </w:p>
          <w:p>
            <w:pPr>
              <w:pStyle w:val="null3"/>
            </w:pPr>
            <w:r>
              <w:rPr/>
              <w:t>1.供应商应根据采购人的要求，对拍摄制作的视频进行审核和修改，确保视频内容符合福彩公益品牌形象和宣传需求。</w:t>
            </w:r>
          </w:p>
          <w:p>
            <w:pPr>
              <w:pStyle w:val="null3"/>
            </w:pPr>
            <w:r>
              <w:rPr/>
              <w:t>2.视频审核和修改应在规定的时间内完成，并提交给采购人审核。</w:t>
            </w:r>
          </w:p>
          <w:p>
            <w:pPr>
              <w:pStyle w:val="null3"/>
            </w:pPr>
            <w:r>
              <w:rPr/>
              <w:t>（三）专题直播活动</w:t>
            </w:r>
          </w:p>
          <w:p>
            <w:pPr>
              <w:pStyle w:val="null3"/>
            </w:pPr>
            <w:r>
              <w:rPr/>
              <w:t>直播活动策划：</w:t>
            </w:r>
          </w:p>
          <w:p>
            <w:pPr>
              <w:pStyle w:val="null3"/>
            </w:pPr>
            <w:r>
              <w:rPr/>
              <w:t>1.供应商需具备丰富的直播活动策划经验，能够根据不同的题材和需求，制定详细的直播活动方案，包括直播主题、直播脚本、时间、地点、参与人员等。全年组织专题直播场次不低于15场，单次直播时长不低于90分钟，以重大营销、公益资助、合买大奖、刮刮乐卖场等题材为主。</w:t>
            </w:r>
          </w:p>
          <w:p>
            <w:pPr>
              <w:pStyle w:val="null3"/>
            </w:pPr>
            <w:r>
              <w:rPr/>
              <w:t>2.现场主播人数不少于3人，单场观看人次不少于10万。</w:t>
            </w:r>
          </w:p>
          <w:p>
            <w:pPr>
              <w:pStyle w:val="null3"/>
            </w:pPr>
            <w:r>
              <w:rPr/>
              <w:t>3.供应商应负责直播活动的全程策划和执行，包括场地布置、设备租赁、人员安排等。</w:t>
            </w:r>
          </w:p>
          <w:p>
            <w:pPr>
              <w:pStyle w:val="null3"/>
            </w:pPr>
            <w:r>
              <w:rPr/>
              <w:t>直播平台选择：</w:t>
            </w:r>
          </w:p>
          <w:p>
            <w:pPr>
              <w:pStyle w:val="null3"/>
            </w:pPr>
            <w:r>
              <w:rPr/>
              <w:t>1.供应商应根据采购人实际情况，选择稳定、流畅、用户体验好的直播平台（抖音、微信视频、大V自由平台等同时宣传），并确保直播平台的安全性和合法性。</w:t>
            </w:r>
          </w:p>
          <w:p>
            <w:pPr>
              <w:pStyle w:val="null3"/>
            </w:pPr>
            <w:r>
              <w:rPr/>
              <w:t>2.直播平台应支持多种直播方式，如视频直播、图文直播、语音直播等，以满足不同的直播需求。</w:t>
            </w:r>
          </w:p>
          <w:p>
            <w:pPr>
              <w:pStyle w:val="null3"/>
            </w:pPr>
            <w:r>
              <w:rPr/>
              <w:t>3.供应商应负责直播平台的技术支持和维护，确保直播活动的顺利进行。</w:t>
            </w:r>
          </w:p>
          <w:p>
            <w:pPr>
              <w:pStyle w:val="null3"/>
            </w:pPr>
            <w:r>
              <w:rPr/>
              <w:t>直播内容制作：</w:t>
            </w:r>
          </w:p>
          <w:p>
            <w:pPr>
              <w:pStyle w:val="null3"/>
            </w:pPr>
            <w:r>
              <w:rPr/>
              <w:t>1.供应商需配备专业的直播团队（导演、主播、助播、摄像师、灯光师、收音师、导播、化妆师等），能够制作高质量的直播内容，含直播预告、直播脚本、互动引导、福利设定等。并设计丰富的直播互动环节，提高观众的参与度和粘性，如问答、抽奖、投票等。</w:t>
            </w:r>
          </w:p>
          <w:p>
            <w:pPr>
              <w:pStyle w:val="null3"/>
            </w:pPr>
            <w:r>
              <w:rPr/>
              <w:t>2.直播内容应符合福彩公益金的使用宗旨和宣传要求，突出福彩公益事业的成就和贡献。</w:t>
            </w:r>
          </w:p>
          <w:p>
            <w:pPr>
              <w:pStyle w:val="null3"/>
            </w:pPr>
            <w:r>
              <w:rPr/>
              <w:t>3.供应商应负责直播互动和推广的效果评估，及时调整直播策略和推广方案。</w:t>
            </w:r>
          </w:p>
          <w:p>
            <w:pPr>
              <w:pStyle w:val="null3"/>
            </w:pPr>
            <w:r>
              <w:rPr/>
              <w:t>4.供应商须确保直播内容的合法性和安全性。</w:t>
            </w:r>
          </w:p>
          <w:p>
            <w:pPr>
              <w:pStyle w:val="null3"/>
            </w:pPr>
            <w:r>
              <w:rPr/>
              <w:t>5.室外直播要负责直播场地费用、网络通信费用、网络聚合器、切换台等相关设施设备。每场直播不少于三个机位，输出画面4K高清。</w:t>
            </w:r>
          </w:p>
          <w:p>
            <w:pPr>
              <w:pStyle w:val="null3"/>
            </w:pPr>
            <w:r>
              <w:rPr/>
              <w:t>6.直播要作必要的推流，供应商须购置互动奖品、登记发放奖品等。</w:t>
            </w:r>
          </w:p>
          <w:p>
            <w:pPr>
              <w:pStyle w:val="null3"/>
            </w:pPr>
            <w:r>
              <w:rPr/>
              <w:t>培训服务：</w:t>
            </w:r>
          </w:p>
          <w:p>
            <w:pPr>
              <w:pStyle w:val="null3"/>
            </w:pPr>
            <w:r>
              <w:rPr/>
              <w:t>1.供应商需组织部分地市和精英业主开展直播和短视频深度培训，提供专业的培训录制课程和现场指导，帮助采购人地市和业主提升直播和短视频制作能力。</w:t>
            </w:r>
          </w:p>
          <w:p>
            <w:pPr>
              <w:pStyle w:val="null3"/>
            </w:pPr>
            <w:r>
              <w:rPr/>
              <w:t>2.培训内容应包括直播技巧和短视频内容定位、拍摄、剪辑、社群引流等方面的内容，具有较强的实用性和针对性，单场课时不低于3小时。</w:t>
            </w:r>
          </w:p>
          <w:p>
            <w:pPr>
              <w:pStyle w:val="null3"/>
            </w:pPr>
            <w:r>
              <w:rPr/>
              <w:t>3.供应商负责培训服务的效果评估，及时调整培训课程和指导方案。</w:t>
            </w:r>
          </w:p>
          <w:p>
            <w:pPr>
              <w:pStyle w:val="null3"/>
            </w:pPr>
            <w:r>
              <w:rPr/>
              <w:t>（四）项目团队服务要求</w:t>
            </w:r>
          </w:p>
          <w:p>
            <w:pPr>
              <w:pStyle w:val="null3"/>
            </w:pPr>
            <w:r>
              <w:rPr/>
              <w:t>1.供应商必须针对本项目实际需求，搭建专业的项目服务团队。供应商需提供包含项目负责人在内至少15名执行人员，岗位及人员须包含：项目策划1人、自媒体写手1人、美编设计1人、主播3人、制作及摄像1人。</w:t>
            </w:r>
          </w:p>
          <w:p>
            <w:pPr>
              <w:pStyle w:val="null3"/>
            </w:pPr>
            <w:r>
              <w:rPr/>
              <w:t>2.为建立与采购人顺畅的沟通机制：供应商需明确由专人负责主动与采购人进行沟通，建立良好的沟通机制，将项目进行中遇到的问题、采用的解决方法、产生的阶段性成果等相关事项及时地反馈给采购人。</w:t>
            </w:r>
          </w:p>
          <w:p>
            <w:pPr>
              <w:pStyle w:val="null3"/>
            </w:pPr>
            <w:r>
              <w:rPr/>
              <w:t>（五）服务及要求</w:t>
            </w:r>
          </w:p>
          <w:p>
            <w:pPr>
              <w:pStyle w:val="null3"/>
            </w:pPr>
            <w:r>
              <w:rPr/>
              <w:t>1.服务期间提供驻场人员1人，全天候现场及电话远程服务；</w:t>
            </w:r>
          </w:p>
          <w:p>
            <w:pPr>
              <w:pStyle w:val="null3"/>
            </w:pPr>
            <w:r>
              <w:rPr/>
              <w:t>2.提供7×24小时的服务受理和技术咨询服务，对重大问题提供7×24小时的现场支援，对采购人的要求，在接到电话通知后及时响应并予以解决或者提供解决方案。</w:t>
            </w:r>
          </w:p>
          <w:p>
            <w:pPr>
              <w:pStyle w:val="null3"/>
            </w:pPr>
            <w:r>
              <w:rPr/>
              <w:t>3.敏感时期、重大节假日提供技术人员值守服务。</w:t>
            </w:r>
          </w:p>
          <w:p>
            <w:pPr>
              <w:pStyle w:val="null3"/>
              <w:ind w:firstLine="482"/>
            </w:pPr>
          </w:p>
        </w:tc>
      </w:tr>
    </w:tbl>
    <w:p>
      <w:pPr>
        <w:pStyle w:val="null3"/>
        <w:outlineLvl w:val="2"/>
      </w:pPr>
      <w:r>
        <w:rPr>
          <w:sz w:val="28"/>
          <w:b/>
        </w:rPr>
        <w:t>3.2.3人员配置要求</w:t>
      </w:r>
    </w:p>
    <w:p>
      <w:pPr>
        <w:pStyle w:val="null3"/>
      </w:pPr>
      <w:r>
        <w:rPr/>
        <w:t>采购包1：</w:t>
      </w:r>
    </w:p>
    <w:p>
      <w:pPr>
        <w:pStyle w:val="null3"/>
      </w:pPr>
      <w:r>
        <w:rPr/>
        <w:t>根据项目情况合理配置</w:t>
      </w:r>
    </w:p>
    <w:p>
      <w:pPr>
        <w:pStyle w:val="null3"/>
        <w:outlineLvl w:val="2"/>
      </w:pPr>
      <w:r>
        <w:rPr>
          <w:sz w:val="28"/>
          <w:b/>
        </w:rPr>
        <w:t>3.2.4设施设备要求</w:t>
      </w:r>
    </w:p>
    <w:p>
      <w:pPr>
        <w:pStyle w:val="null3"/>
      </w:pPr>
      <w:r>
        <w:rPr/>
        <w:t>采购包1：</w:t>
      </w:r>
    </w:p>
    <w:p>
      <w:pPr>
        <w:pStyle w:val="null3"/>
      </w:pPr>
      <w:r>
        <w:rPr/>
        <w:t>根据项目情况合理配置</w:t>
      </w:r>
    </w:p>
    <w:p>
      <w:pPr>
        <w:pStyle w:val="null3"/>
        <w:outlineLvl w:val="2"/>
      </w:pPr>
      <w:r>
        <w:rPr>
          <w:sz w:val="28"/>
          <w:b/>
        </w:rPr>
        <w:t>3.2.5其他要求</w:t>
      </w:r>
    </w:p>
    <w:p>
      <w:pPr>
        <w:pStyle w:val="null3"/>
      </w:pPr>
      <w:r>
        <w:rPr/>
        <w:t>采购包1：</w:t>
      </w:r>
    </w:p>
    <w:p>
      <w:pPr>
        <w:pStyle w:val="null3"/>
      </w:pPr>
      <w:r>
        <w:rPr/>
        <w:t>供应商应遵照国家规范规定的技术服务内容及要求作出明确承诺</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服务期限为一年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1.成交单位应负责在项目验收前将项目过程中产生的全部各种相关各阶段文档整理好装订提交，并提交相关文档。 2.对整个项目的验收包括检查应用系统是否实现了采购人在响应文件中所要求的功能,是否与成交单位提出的解决方案中既定目标功能完全一致。 3.本项目的最终验收由采购人、成交单位共同进行。 4.验收依据 （1）合同文本及合同补充文件（条款） （2）竞争性磋商文件 （3）竞争性磋商响应文件。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达到“合同签订后15个工作日内，支付合同总价的40%作为预付款，甲方每次付款前，乙方应向甲方开具等额合格的增值税普通发票，若乙方开具的发票不合格，甲方有权拒绝支付相应款项，直到乙方开具合格发票为止，因此导致甲方迟延付款的，甲方不承担任何责任”</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达到“服务期限满半年后支付合同的40%，甲方每次付款前，乙方应向甲方开具等额合格的增值税普通发票，若乙方开具的发票不合格，甲方有权拒绝支付相应款项，直到乙方开具合格发票为止，因此导致甲方迟延付款的，甲方不承担任何责任”</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 xml:space="preserve"> 达到“服务期满后的15个工作日内支付合同总价的20%，甲方每次付款前，乙方应向甲方开具等额合格的增值税普通发票，若乙方开具的发票不合格，甲方有权拒绝支付相应款项，直到乙方开具合格发票为止，因此导致甲方迟延付款的，甲方不承担任何责任”</w:t>
      </w:r>
      <w:r>
        <w:rPr/>
        <w:t xml:space="preserve"> ，达到付款条件起 </w:t>
      </w:r>
      <w:r>
        <w:rPr/>
        <w:t>15</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w:t>
      </w:r>
    </w:p>
    <w:p>
      <w:pPr>
        <w:pStyle w:val="null3"/>
        <w:outlineLvl w:val="2"/>
      </w:pPr>
      <w:r>
        <w:rPr>
          <w:sz w:val="28"/>
          <w:b/>
        </w:rPr>
        <w:t>3.4其他要求</w:t>
      </w:r>
    </w:p>
    <w:p>
      <w:pPr>
        <w:pStyle w:val="null3"/>
      </w:pPr>
      <w:r>
        <w:rPr/>
        <w:t>成交人在领取成交通知书时提供一正两副纸质竞争性磋商响应文件，纸质竞争性磋商响应文件采用书籍（胶装）方式装订成册，与电子竞争性磋商响应文件一致的签字、盖章的完整版本。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本项目专门面向小微企业采购；须符合《政府采购促进中小企业发展管理办法》（财库〔2020〕46号）规定的小微企业参加。</w:t>
            </w:r>
          </w:p>
        </w:tc>
        <w:tc>
          <w:tcPr>
            <w:tcW w:type="dxa" w:w="1661"/>
          </w:tcPr>
          <w:p>
            <w:pPr>
              <w:pStyle w:val="null3"/>
            </w:pPr>
            <w:r>
              <w:rPr/>
              <w:t>资格证明文件 《中小企业声明函》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认可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税收缴纳证明：提供截止至开标时间前六个月内任意一个月的缴纳凭据；（增值税、企业所得税至少提供一种，依法免税的供应商应提供相关文件证明）；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磋商担保</w:t>
            </w:r>
          </w:p>
        </w:tc>
        <w:tc>
          <w:tcPr>
            <w:tcW w:type="dxa" w:w="3322"/>
          </w:tcPr>
          <w:p>
            <w:pPr>
              <w:pStyle w:val="null3"/>
            </w:pPr>
            <w:r>
              <w:rPr/>
              <w:t>磋商保证金交纳凭证或担保函；（磋商保证交纳金凭证为银行凭证及基本账户证明资料，担保函为财政部门认可的政府采购信用担保机构出具）</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响应文件格式）；</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控股关系</w:t>
            </w:r>
          </w:p>
        </w:tc>
        <w:tc>
          <w:tcPr>
            <w:tcW w:type="dxa" w:w="3322"/>
          </w:tcPr>
          <w:p>
            <w:pPr>
              <w:pStyle w:val="null3"/>
            </w:pPr>
            <w:r>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响应函</w:t>
            </w:r>
          </w:p>
        </w:tc>
      </w:tr>
      <w:tr>
        <w:tc>
          <w:tcPr>
            <w:tcW w:type="dxa" w:w="831"/>
          </w:tcPr>
          <w:p>
            <w:pPr>
              <w:pStyle w:val="null3"/>
            </w:pPr>
            <w:r>
              <w:rPr/>
              <w:t>2</w:t>
            </w:r>
          </w:p>
        </w:tc>
        <w:tc>
          <w:tcPr>
            <w:tcW w:type="dxa" w:w="2492"/>
          </w:tcPr>
          <w:p>
            <w:pPr>
              <w:pStyle w:val="null3"/>
            </w:pPr>
            <w:r>
              <w:rPr/>
              <w:t>除明确允许供应商可以自行编写的外，磋商响应文件须按照磋商文件给定的格式编制</w:t>
            </w:r>
          </w:p>
        </w:tc>
        <w:tc>
          <w:tcPr>
            <w:tcW w:type="dxa" w:w="3322"/>
          </w:tcPr>
          <w:p>
            <w:pPr>
              <w:pStyle w:val="null3"/>
            </w:pPr>
            <w:r>
              <w:rPr/>
              <w:t>除明确允许供应商可以自行编写的外，磋商响应文件是否按照磋商文件给定的格式编制</w:t>
            </w:r>
          </w:p>
        </w:tc>
        <w:tc>
          <w:tcPr>
            <w:tcW w:type="dxa" w:w="1661"/>
          </w:tcPr>
          <w:p>
            <w:pPr>
              <w:pStyle w:val="null3"/>
            </w:pPr>
            <w:r>
              <w:rPr/>
              <w:t>合理化建议 业绩 供应商认为有必要说明的事宜（若有） 《残疾人福利性单位声明函》（格式，若有） 服务保障 重点、难点分析 应急预案 响应文件封面 服务条款响应偏离表（格式） 监狱企业证明文件（若有） 《拒绝政府采购领域商业贿赂承诺书》（格式） 商务条款响应偏离表（格式） 资格证明文件 《中小企业声明函》 售后服务 培训方案 内部管理制度 标的清单 法定代表人授权委托书（格式） 响应函 实施方案</w:t>
            </w:r>
          </w:p>
        </w:tc>
      </w:tr>
      <w:tr>
        <w:tc>
          <w:tcPr>
            <w:tcW w:type="dxa" w:w="831"/>
          </w:tcPr>
          <w:p>
            <w:pPr>
              <w:pStyle w:val="null3"/>
            </w:pPr>
            <w:r>
              <w:rPr/>
              <w:t>3</w:t>
            </w:r>
          </w:p>
        </w:tc>
        <w:tc>
          <w:tcPr>
            <w:tcW w:type="dxa" w:w="2492"/>
          </w:tcPr>
          <w:p>
            <w:pPr>
              <w:pStyle w:val="null3"/>
            </w:pPr>
            <w:r>
              <w:rPr/>
              <w:t>磋商响应文件须按照磋商文件的要求盖章签字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合理化建议 业绩 供应商认为有必要说明的事宜（若有） 《残疾人福利性单位声明函》（格式，若有） 服务保障 重点、难点分析 应急预案 响应文件封面 服务条款响应偏离表（格式） 监狱企业证明文件（若有） 《拒绝政府采购领域商业贿赂承诺书》（格式） 商务条款响应偏离表（格式） 资格证明文件 《中小企业声明函》 售后服务 培训方案 内部管理制度 标的清单 法定代表人授权委托书（格式） 响应函 实施方案</w:t>
            </w:r>
          </w:p>
        </w:tc>
      </w:tr>
      <w:tr>
        <w:tc>
          <w:tcPr>
            <w:tcW w:type="dxa" w:w="831"/>
          </w:tcPr>
          <w:p>
            <w:pPr>
              <w:pStyle w:val="null3"/>
            </w:pPr>
            <w:r>
              <w:rPr/>
              <w:t>4</w:t>
            </w:r>
          </w:p>
        </w:tc>
        <w:tc>
          <w:tcPr>
            <w:tcW w:type="dxa" w:w="2492"/>
          </w:tcPr>
          <w:p>
            <w:pPr>
              <w:pStyle w:val="null3"/>
            </w:pPr>
            <w:r>
              <w:rPr/>
              <w:t>磋商报价是否超过采购预算</w:t>
            </w:r>
          </w:p>
        </w:tc>
        <w:tc>
          <w:tcPr>
            <w:tcW w:type="dxa" w:w="3322"/>
          </w:tcPr>
          <w:p>
            <w:pPr>
              <w:pStyle w:val="null3"/>
            </w:pPr>
            <w:r>
              <w:rPr/>
              <w:t>磋商报价不得超过采购预算</w:t>
            </w:r>
          </w:p>
        </w:tc>
        <w:tc>
          <w:tcPr>
            <w:tcW w:type="dxa" w:w="1661"/>
          </w:tcPr>
          <w:p>
            <w:pPr>
              <w:pStyle w:val="null3"/>
            </w:pPr>
            <w:r>
              <w:rPr/>
              <w:t>响应文件封面 标的清单 响应函</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磋商有效期是否符合磋商文件的要求</w:t>
            </w:r>
          </w:p>
        </w:tc>
        <w:tc>
          <w:tcPr>
            <w:tcW w:type="dxa" w:w="1661"/>
          </w:tcPr>
          <w:p>
            <w:pPr>
              <w:pStyle w:val="null3"/>
            </w:pPr>
            <w:r>
              <w:rPr/>
              <w:t>合理化建议 业绩 供应商认为有必要说明的事宜（若有） 《残疾人福利性单位声明函》（格式，若有） 服务保障 重点、难点分析 应急预案 响应文件封面 服务条款响应偏离表（格式） 监狱企业证明文件（若有） 《拒绝政府采购领域商业贿赂承诺书》（格式） 商务条款响应偏离表（格式） 资格证明文件 《中小企业声明函》 售后服务 培训方案 内部管理制度 标的清单 法定代表人授权委托书（格式） 响应函 实施方案</w:t>
            </w:r>
          </w:p>
        </w:tc>
      </w:tr>
      <w:tr>
        <w:tc>
          <w:tcPr>
            <w:tcW w:type="dxa" w:w="831"/>
          </w:tcPr>
          <w:p>
            <w:pPr>
              <w:pStyle w:val="null3"/>
            </w:pPr>
            <w:r>
              <w:rPr/>
              <w:t>6</w:t>
            </w:r>
          </w:p>
        </w:tc>
        <w:tc>
          <w:tcPr>
            <w:tcW w:type="dxa" w:w="2492"/>
          </w:tcPr>
          <w:p>
            <w:pPr>
              <w:pStyle w:val="null3"/>
            </w:pPr>
            <w:r>
              <w:rPr/>
              <w:t>对磋商文件商务要求须作出明确且实质性响应</w:t>
            </w:r>
          </w:p>
        </w:tc>
        <w:tc>
          <w:tcPr>
            <w:tcW w:type="dxa" w:w="3322"/>
          </w:tcPr>
          <w:p>
            <w:pPr>
              <w:pStyle w:val="null3"/>
            </w:pPr>
            <w:r>
              <w:rPr/>
              <w:t>对磋商文件商务要求是否作出明确且实质性响应</w:t>
            </w:r>
          </w:p>
        </w:tc>
        <w:tc>
          <w:tcPr>
            <w:tcW w:type="dxa" w:w="1661"/>
          </w:tcPr>
          <w:p>
            <w:pPr>
              <w:pStyle w:val="null3"/>
            </w:pPr>
            <w:r>
              <w:rPr/>
              <w:t>响应文件封面 商务条款响应偏离表（格式）</w:t>
            </w:r>
          </w:p>
        </w:tc>
      </w:tr>
      <w:tr>
        <w:tc>
          <w:tcPr>
            <w:tcW w:type="dxa" w:w="831"/>
          </w:tcPr>
          <w:p>
            <w:pPr>
              <w:pStyle w:val="null3"/>
            </w:pPr>
            <w:r>
              <w:rPr/>
              <w:t>7</w:t>
            </w:r>
          </w:p>
        </w:tc>
        <w:tc>
          <w:tcPr>
            <w:tcW w:type="dxa" w:w="2492"/>
          </w:tcPr>
          <w:p>
            <w:pPr>
              <w:pStyle w:val="null3"/>
            </w:pPr>
            <w:r>
              <w:rPr/>
              <w:t>对磋商文件服务内容和要求未作出明确响应，对不得偏离的要求须作实质性响应</w:t>
            </w:r>
          </w:p>
        </w:tc>
        <w:tc>
          <w:tcPr>
            <w:tcW w:type="dxa" w:w="3322"/>
          </w:tcPr>
          <w:p>
            <w:pPr>
              <w:pStyle w:val="null3"/>
            </w:pPr>
            <w:r>
              <w:rPr/>
              <w:t>对磋商文件服务内容和要求未作出明确响应，对不得偏离的要求是否作了实质性响应</w:t>
            </w:r>
          </w:p>
        </w:tc>
        <w:tc>
          <w:tcPr>
            <w:tcW w:type="dxa" w:w="1661"/>
          </w:tcPr>
          <w:p>
            <w:pPr>
              <w:pStyle w:val="null3"/>
            </w:pPr>
            <w:r>
              <w:rPr/>
              <w:t>响应文件封面 服务条款响应偏离表（格式）</w:t>
            </w:r>
          </w:p>
        </w:tc>
      </w:tr>
      <w:tr>
        <w:tc>
          <w:tcPr>
            <w:tcW w:type="dxa" w:w="831"/>
          </w:tcPr>
          <w:p>
            <w:pPr>
              <w:pStyle w:val="null3"/>
            </w:pPr>
            <w:r>
              <w:rPr/>
              <w:t>8</w:t>
            </w:r>
          </w:p>
        </w:tc>
        <w:tc>
          <w:tcPr>
            <w:tcW w:type="dxa" w:w="2492"/>
          </w:tcPr>
          <w:p>
            <w:pPr>
              <w:pStyle w:val="null3"/>
            </w:pPr>
            <w:r>
              <w:rPr/>
              <w:t>法律、法规和磋商文件规定的其他无效响应情形</w:t>
            </w:r>
          </w:p>
        </w:tc>
        <w:tc>
          <w:tcPr>
            <w:tcW w:type="dxa" w:w="3322"/>
          </w:tcPr>
          <w:p>
            <w:pPr>
              <w:pStyle w:val="null3"/>
            </w:pPr>
            <w:r>
              <w:rPr/>
              <w:t>是否有法律、法规和磋商文件规定的其他无效响应情形</w:t>
            </w:r>
          </w:p>
        </w:tc>
        <w:tc>
          <w:tcPr>
            <w:tcW w:type="dxa" w:w="1661"/>
          </w:tcPr>
          <w:p>
            <w:pPr>
              <w:pStyle w:val="null3"/>
            </w:pPr>
            <w:r>
              <w:rPr/>
              <w:t>合理化建议 业绩 供应商认为有必要说明的事宜（若有） 《残疾人福利性单位声明函》（格式，若有） 服务保障 重点、难点分析 应急预案 服务条款响应偏离表（格式） 监狱企业证明文件（若有） 响应文件封面 《拒绝政府采购领域商业贿赂承诺书》（格式） 商务条款响应偏离表（格式） 资格证明文件 《中小企业声明函》 售后服务 培训方案 内部管理制度 标的清单 法定代表人授权委托书（格式） 响应函 实施方案</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针对项目特点及供应商对本项目的理解，提供项目具体实施方案包括但不限于项目整体设想、全年规划、主题策划方案、制作实施进度、视频素材储备方案等；方案切合实际，针对性强，可行性强，能满足采购人需求。 ①内容详细全面、架构完整、层次清楚、完善可行的计15分； ②针对以上方案内容，有1项欠缺或只有书面承诺，缺少具体措施办法的计13分； ③针对以上方案内容，有2项欠缺的计10分； ④针对以上方案内容，有3项欠缺的计6分； ⑤针对以上方案内容，有4项欠缺的计3分； ⑥未提供本项内容的不计分。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服务保障</w:t>
            </w:r>
          </w:p>
        </w:tc>
        <w:tc>
          <w:tcPr>
            <w:tcW w:type="dxa" w:w="2492"/>
          </w:tcPr>
          <w:p>
            <w:pPr>
              <w:pStyle w:val="null3"/>
            </w:pPr>
            <w:r>
              <w:rPr/>
              <w:t>针对项目服务要求，供应商提供服务保障措施，包括但不限于项目服务的质量控制措施、进度控制措施、拟投入本项目的人员安排、项目实施过程中人员到岗的保障措施、人员协调和管理措施等。 ①内容详细全面、架构完整、层次清楚、完善可行的计15分； ②针对以上方案内容，有1项欠缺或只有书面承诺，缺少具体措施办法的计13分； ③针对以上方案内容，有2项欠缺的计10分； ④针对以上方案内容，有3项欠缺的计6分； ⑤针对以上方案内容，有4项欠缺的计3分； ⑥未提供本项内容的不计分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服务保障</w:t>
            </w:r>
          </w:p>
        </w:tc>
      </w:tr>
      <w:tr>
        <w:tc>
          <w:tcPr>
            <w:tcW w:type="dxa" w:w="831"/>
            <w:vMerge/>
          </w:tcPr>
          <w:p/>
        </w:tc>
        <w:tc>
          <w:tcPr>
            <w:tcW w:type="dxa" w:w="1661"/>
          </w:tcPr>
          <w:p>
            <w:pPr>
              <w:pStyle w:val="null3"/>
            </w:pPr>
            <w:r>
              <w:rPr/>
              <w:t>重点、难点分析</w:t>
            </w:r>
          </w:p>
        </w:tc>
        <w:tc>
          <w:tcPr>
            <w:tcW w:type="dxa" w:w="2492"/>
          </w:tcPr>
          <w:p>
            <w:pPr>
              <w:pStyle w:val="null3"/>
            </w:pPr>
            <w:r>
              <w:rPr/>
              <w:t>针对项目特点，根据主题宣传、短视频宣传和直播宣传进行重点、难点分析，分别阐述执行细节，制定有特色的内容、创意方案等。 ①内容详细全面、架构完整、层次清楚、完善可行的计10分； ②针对以上方案内容，有1项欠缺或只有书面承诺，缺少具体措施办法的计6分； ③针对以上方案内容，有2项欠缺的计3分； ④未提供本项内容的不计分。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重点、难点分析</w:t>
            </w:r>
          </w:p>
        </w:tc>
      </w:tr>
      <w:tr>
        <w:tc>
          <w:tcPr>
            <w:tcW w:type="dxa" w:w="831"/>
            <w:vMerge/>
          </w:tcPr>
          <w:p/>
        </w:tc>
        <w:tc>
          <w:tcPr>
            <w:tcW w:type="dxa" w:w="1661"/>
          </w:tcPr>
          <w:p>
            <w:pPr>
              <w:pStyle w:val="null3"/>
            </w:pPr>
            <w:r>
              <w:rPr/>
              <w:t>培训方案</w:t>
            </w:r>
          </w:p>
        </w:tc>
        <w:tc>
          <w:tcPr>
            <w:tcW w:type="dxa" w:w="2492"/>
          </w:tcPr>
          <w:p>
            <w:pPr>
              <w:pStyle w:val="null3"/>
            </w:pPr>
            <w:r>
              <w:rPr/>
              <w:t>针对项目服务要求，提供完善的培训方案，内容包括但不限于直播技巧和短视频内容定位、拍摄、剪辑、社群引流及根据不同人群设置不同的方案等。 ①内容详细全面、架构完整、层次清楚、完善可行的计10分； ②针对以上方案内容，有1项欠缺或只有书面承诺，缺少具体措施办法的计6分； ③针对以上方案内容，有2项欠缺的计3分； ④未提供本项内容的不计分。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内部管理制度</w:t>
            </w:r>
          </w:p>
        </w:tc>
        <w:tc>
          <w:tcPr>
            <w:tcW w:type="dxa" w:w="2492"/>
          </w:tcPr>
          <w:p>
            <w:pPr>
              <w:pStyle w:val="null3"/>
            </w:pPr>
            <w:r>
              <w:rPr/>
              <w:t>针对本项目提出适用于本项目的内部管理制度，方案包括但不限于审核制度、内控制度、保密制度等。 ①内容详细全面、架构完整、层次清楚、完善可行的计5分； ②针对以上方案内容，有1项欠缺或只有书面承诺，缺少具体制度内容的计3分； ③针对以上方案内容，有2项欠缺的计1分； ④未提供本项内容的不计分。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内部管理制度</w:t>
            </w:r>
          </w:p>
        </w:tc>
      </w:tr>
      <w:tr>
        <w:tc>
          <w:tcPr>
            <w:tcW w:type="dxa" w:w="831"/>
            <w:vMerge/>
          </w:tcPr>
          <w:p/>
        </w:tc>
        <w:tc>
          <w:tcPr>
            <w:tcW w:type="dxa" w:w="1661"/>
          </w:tcPr>
          <w:p>
            <w:pPr>
              <w:pStyle w:val="null3"/>
            </w:pPr>
            <w:r>
              <w:rPr/>
              <w:t>应急预案</w:t>
            </w:r>
          </w:p>
        </w:tc>
        <w:tc>
          <w:tcPr>
            <w:tcW w:type="dxa" w:w="2492"/>
          </w:tcPr>
          <w:p>
            <w:pPr>
              <w:pStyle w:val="null3"/>
            </w:pPr>
            <w:r>
              <w:rPr/>
              <w:t>针对本项目提出适用于本项目的应急预案，方案包括但不限于网络安全、危机管理的应急预案、针对各种突发状况的解决及后期跟进服务能力等。 ①内容详细全面、架构完整、层次清楚、完善可行的计5分； ②针对以上方案内容，有1项欠缺或只有书面承诺，缺少具体措施办法的计3分； ③针对以上方案内容，有2项欠缺的计1分； ④未提供本项内容的不计分。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应急预案</w:t>
            </w:r>
          </w:p>
        </w:tc>
      </w:tr>
      <w:tr>
        <w:tc>
          <w:tcPr>
            <w:tcW w:type="dxa" w:w="831"/>
            <w:vMerge/>
          </w:tcPr>
          <w:p/>
        </w:tc>
        <w:tc>
          <w:tcPr>
            <w:tcW w:type="dxa" w:w="1661"/>
          </w:tcPr>
          <w:p>
            <w:pPr>
              <w:pStyle w:val="null3"/>
            </w:pPr>
            <w:r>
              <w:rPr/>
              <w:t>合理化建议</w:t>
            </w:r>
          </w:p>
        </w:tc>
        <w:tc>
          <w:tcPr>
            <w:tcW w:type="dxa" w:w="2492"/>
          </w:tcPr>
          <w:p>
            <w:pPr>
              <w:pStyle w:val="null3"/>
            </w:pPr>
            <w:r>
              <w:rPr/>
              <w:t>对本项目服务工作中的常见问题进行梳理，具有良好的解决方案并及时向采购人提供有利于本项目实施的可行性合理化建议。每提供一条有效可行的建议得1分，计满5分为止。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合理化建议</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以合同形式提供供应商2021年1月1日至今同类项目业绩，每份计5分，计满15分为止；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w:t>
            </w:r>
          </w:p>
        </w:tc>
        <w:tc>
          <w:tcPr>
            <w:tcW w:type="dxa" w:w="2492"/>
          </w:tcPr>
          <w:p>
            <w:pPr>
              <w:pStyle w:val="null3"/>
            </w:pPr>
            <w:r>
              <w:rPr/>
              <w:t>针对本采购项目提供详细具体可行的售后服务措施承诺、详尽可行的售后服务实施计划，并阐明可提供的咨询、后期服务内容等。 ①内容详细全面、架构完整、层次清楚、完善可行的计10分； ②针对以上方案内容，有1项欠缺或只有书面承诺，缺少具体措施计划的计6分； ③针对以上方案内容，有2项欠缺的计3分； ④未提供本项内容的不计分。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详见附件：服务条款响应偏离表（格式）</w:t>
      </w:r>
    </w:p>
    <w:p>
      <w:pPr>
        <w:pStyle w:val="null3"/>
        <w:ind w:firstLine="960"/>
      </w:pPr>
      <w:r>
        <w:rPr/>
        <w:t>详见附件：商务条款响应偏离表（格式）</w:t>
      </w:r>
    </w:p>
    <w:p>
      <w:pPr>
        <w:pStyle w:val="null3"/>
        <w:ind w:firstLine="960"/>
      </w:pPr>
      <w:r>
        <w:rPr/>
        <w:t>详见附件：法定代表人授权委托书（格式）</w:t>
      </w:r>
    </w:p>
    <w:p>
      <w:pPr>
        <w:pStyle w:val="null3"/>
        <w:ind w:firstLine="960"/>
      </w:pPr>
      <w:r>
        <w:rPr/>
        <w:t>详见附件：资格证明文件</w:t>
      </w:r>
    </w:p>
    <w:p>
      <w:pPr>
        <w:pStyle w:val="null3"/>
        <w:ind w:firstLine="960"/>
      </w:pPr>
      <w:r>
        <w:rPr/>
        <w:t>详见附件：实施方案</w:t>
      </w:r>
    </w:p>
    <w:p>
      <w:pPr>
        <w:pStyle w:val="null3"/>
        <w:ind w:firstLine="960"/>
      </w:pPr>
      <w:r>
        <w:rPr/>
        <w:t>详见附件：服务保障</w:t>
      </w:r>
    </w:p>
    <w:p>
      <w:pPr>
        <w:pStyle w:val="null3"/>
        <w:ind w:firstLine="960"/>
      </w:pPr>
      <w:r>
        <w:rPr/>
        <w:t>详见附件：重点、难点分析</w:t>
      </w:r>
    </w:p>
    <w:p>
      <w:pPr>
        <w:pStyle w:val="null3"/>
        <w:ind w:firstLine="960"/>
      </w:pPr>
      <w:r>
        <w:rPr/>
        <w:t>详见附件：培训方案</w:t>
      </w:r>
    </w:p>
    <w:p>
      <w:pPr>
        <w:pStyle w:val="null3"/>
        <w:ind w:firstLine="960"/>
      </w:pPr>
      <w:r>
        <w:rPr/>
        <w:t>详见附件：内部管理制度</w:t>
      </w:r>
    </w:p>
    <w:p>
      <w:pPr>
        <w:pStyle w:val="null3"/>
        <w:ind w:firstLine="960"/>
      </w:pPr>
      <w:r>
        <w:rPr/>
        <w:t>详见附件：应急预案</w:t>
      </w:r>
    </w:p>
    <w:p>
      <w:pPr>
        <w:pStyle w:val="null3"/>
        <w:ind w:firstLine="960"/>
      </w:pPr>
      <w:r>
        <w:rPr/>
        <w:t>详见附件：合理化建议</w:t>
      </w:r>
    </w:p>
    <w:p>
      <w:pPr>
        <w:pStyle w:val="null3"/>
        <w:ind w:firstLine="960"/>
      </w:pPr>
      <w:r>
        <w:rPr/>
        <w:t>详见附件：业绩</w:t>
      </w:r>
    </w:p>
    <w:p>
      <w:pPr>
        <w:pStyle w:val="null3"/>
        <w:ind w:firstLine="960"/>
      </w:pPr>
      <w:r>
        <w:rPr/>
        <w:t>详见附件：售后服务</w:t>
      </w:r>
    </w:p>
    <w:p>
      <w:pPr>
        <w:pStyle w:val="null3"/>
        <w:ind w:firstLine="960"/>
      </w:pPr>
      <w:r>
        <w:rPr/>
        <w:t>详见附件：供应商认为有必要说明的事宜（若有）</w:t>
      </w:r>
    </w:p>
    <w:p>
      <w:pPr>
        <w:pStyle w:val="null3"/>
        <w:ind w:firstLine="960"/>
      </w:pPr>
      <w:r>
        <w:rPr/>
        <w:t>详见附件：《拒绝政府采购领域商业贿赂承诺书》（格式）</w:t>
      </w:r>
    </w:p>
    <w:p>
      <w:pPr>
        <w:pStyle w:val="null3"/>
        <w:ind w:firstLine="960"/>
      </w:pPr>
      <w:r>
        <w:rPr/>
        <w:t>详见附件：《中小企业声明函》</w:t>
      </w:r>
    </w:p>
    <w:p>
      <w:pPr>
        <w:pStyle w:val="null3"/>
        <w:ind w:firstLine="960"/>
      </w:pPr>
      <w:r>
        <w:rPr/>
        <w:t>详见附件：《残疾人福利性单位声明函》（格式，若有）</w:t>
      </w:r>
    </w:p>
    <w:p>
      <w:pPr>
        <w:pStyle w:val="null3"/>
        <w:ind w:firstLine="960"/>
      </w:pPr>
      <w:r>
        <w:rPr/>
        <w:t>详见附件：监狱企业证明文件（若有）</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